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15" w:rsidRPr="009819FE" w:rsidRDefault="00063E15" w:rsidP="008314D1">
      <w:pPr>
        <w:pStyle w:val="Title"/>
        <w:pBdr>
          <w:bottom w:val="double" w:sz="6" w:space="0" w:color="auto"/>
        </w:pBdr>
      </w:pPr>
      <w:bookmarkStart w:id="0" w:name="_GoBack"/>
      <w:bookmarkEnd w:id="0"/>
      <w:r w:rsidRPr="009819FE">
        <w:t>М И Н И С Т Е Р С Т В О   Н А   Ф И Н А Н С И Т Е</w:t>
      </w:r>
    </w:p>
    <w:p w:rsidR="005F7245" w:rsidRPr="009819FE" w:rsidRDefault="005F7245" w:rsidP="00063E15">
      <w:pPr>
        <w:rPr>
          <w:sz w:val="16"/>
          <w:szCs w:val="16"/>
        </w:rPr>
      </w:pPr>
    </w:p>
    <w:p w:rsidR="0019151C" w:rsidRPr="009819FE" w:rsidRDefault="0019151C" w:rsidP="0019151C"/>
    <w:p w:rsidR="00E10331" w:rsidRPr="009819FE" w:rsidRDefault="00E10331" w:rsidP="0019151C"/>
    <w:p w:rsidR="00E9260C" w:rsidRPr="009819FE" w:rsidRDefault="00E9260C" w:rsidP="009B536C">
      <w:pPr>
        <w:pStyle w:val="Heading1"/>
        <w:rPr>
          <w:sz w:val="24"/>
        </w:rPr>
      </w:pPr>
      <w:r w:rsidRPr="009819FE">
        <w:rPr>
          <w:sz w:val="24"/>
        </w:rPr>
        <w:t>ИНФОРМАЦИЯ</w:t>
      </w:r>
    </w:p>
    <w:p w:rsidR="00E9260C" w:rsidRPr="009819FE" w:rsidRDefault="00E9260C" w:rsidP="009B536C">
      <w:pPr>
        <w:jc w:val="center"/>
        <w:rPr>
          <w:b/>
          <w:bCs/>
        </w:rPr>
      </w:pPr>
      <w:r w:rsidRPr="009819FE">
        <w:rPr>
          <w:b/>
          <w:bCs/>
        </w:rPr>
        <w:t xml:space="preserve">ЗА </w:t>
      </w:r>
      <w:r w:rsidR="004E7BF8" w:rsidRPr="009819FE">
        <w:rPr>
          <w:b/>
          <w:bCs/>
        </w:rPr>
        <w:t xml:space="preserve">КАСОВОТО </w:t>
      </w:r>
      <w:r w:rsidRPr="009819FE">
        <w:rPr>
          <w:b/>
          <w:bCs/>
        </w:rPr>
        <w:t xml:space="preserve">ИЗПЪЛНЕНИЕ НА </w:t>
      </w:r>
      <w:r w:rsidR="004E7BF8" w:rsidRPr="009819FE">
        <w:rPr>
          <w:b/>
          <w:bCs/>
        </w:rPr>
        <w:t>ДЪРЖАВНИЯ</w:t>
      </w:r>
      <w:r w:rsidRPr="009819FE">
        <w:rPr>
          <w:b/>
          <w:bCs/>
        </w:rPr>
        <w:t xml:space="preserve"> БЮДЖЕТ</w:t>
      </w:r>
      <w:r w:rsidR="004E7BF8" w:rsidRPr="009819FE">
        <w:rPr>
          <w:b/>
          <w:bCs/>
        </w:rPr>
        <w:t xml:space="preserve"> И НА ОСНОВНИТЕ ПОКАЗАТЕЛИ НА КОНСОЛИДИРАНАТА ФИСКАЛНА ПРОГРАМА </w:t>
      </w:r>
    </w:p>
    <w:p w:rsidR="003F47AB" w:rsidRPr="009819FE" w:rsidRDefault="003F47AB" w:rsidP="003F47AB">
      <w:pPr>
        <w:jc w:val="center"/>
        <w:rPr>
          <w:b/>
          <w:bCs/>
        </w:rPr>
      </w:pPr>
      <w:r w:rsidRPr="009819FE">
        <w:rPr>
          <w:b/>
          <w:bCs/>
        </w:rPr>
        <w:t xml:space="preserve">ЗА </w:t>
      </w:r>
      <w:r w:rsidR="009819FE" w:rsidRPr="009819FE">
        <w:rPr>
          <w:b/>
          <w:bCs/>
        </w:rPr>
        <w:t xml:space="preserve">ДЕВЕТМЕСЕЧИЕТО </w:t>
      </w:r>
      <w:r w:rsidRPr="009819FE">
        <w:rPr>
          <w:b/>
          <w:bCs/>
        </w:rPr>
        <w:t>НА 20</w:t>
      </w:r>
      <w:r w:rsidR="006D5D56" w:rsidRPr="009819FE">
        <w:rPr>
          <w:b/>
          <w:bCs/>
        </w:rPr>
        <w:t>2</w:t>
      </w:r>
      <w:r w:rsidR="005C4F64" w:rsidRPr="009819FE">
        <w:rPr>
          <w:b/>
          <w:bCs/>
        </w:rPr>
        <w:t>3</w:t>
      </w:r>
      <w:r w:rsidRPr="009819FE">
        <w:rPr>
          <w:b/>
          <w:bCs/>
        </w:rPr>
        <w:t xml:space="preserve"> ГОДИНА</w:t>
      </w:r>
    </w:p>
    <w:p w:rsidR="00430A35" w:rsidRPr="0059164A" w:rsidRDefault="00430A35" w:rsidP="003A06C5">
      <w:pPr>
        <w:rPr>
          <w:b/>
          <w:bCs/>
          <w:color w:val="0070C0"/>
        </w:rPr>
      </w:pPr>
    </w:p>
    <w:p w:rsidR="00E10331" w:rsidRPr="0059164A" w:rsidRDefault="00E10331" w:rsidP="003A06C5">
      <w:pPr>
        <w:rPr>
          <w:b/>
          <w:bCs/>
          <w:color w:val="0070C0"/>
        </w:rPr>
      </w:pPr>
    </w:p>
    <w:p w:rsidR="00E10331" w:rsidRPr="0059164A" w:rsidRDefault="00E10331" w:rsidP="003A06C5">
      <w:pPr>
        <w:rPr>
          <w:b/>
          <w:bCs/>
          <w:color w:val="0070C0"/>
        </w:rPr>
      </w:pPr>
    </w:p>
    <w:p w:rsidR="006B5C2D" w:rsidRPr="00EA538B" w:rsidRDefault="006B5C2D" w:rsidP="006B5C2D">
      <w:pPr>
        <w:keepNext/>
        <w:keepLines/>
        <w:spacing w:before="40"/>
        <w:jc w:val="both"/>
        <w:outlineLvl w:val="2"/>
        <w:rPr>
          <w:b/>
          <w:u w:val="single"/>
          <w:lang w:eastAsia="bg-BG"/>
        </w:rPr>
      </w:pPr>
      <w:bookmarkStart w:id="1" w:name="_Toc109903428"/>
      <w:r w:rsidRPr="00EA538B">
        <w:rPr>
          <w:b/>
          <w:u w:val="single"/>
          <w:lang w:eastAsia="bg-BG"/>
        </w:rPr>
        <w:t>Развитие на икономическата среда</w:t>
      </w:r>
    </w:p>
    <w:bookmarkEnd w:id="1"/>
    <w:p w:rsidR="00FC6222" w:rsidRPr="00F53464" w:rsidRDefault="00F134C6" w:rsidP="00EA538B">
      <w:pPr>
        <w:spacing w:before="120" w:after="200"/>
        <w:jc w:val="both"/>
      </w:pPr>
      <w:r w:rsidRPr="00F53464">
        <w:t>През първото полугодие на 2023 г. реалният растеж на брутния вътрешен продукт на България достигна 2</w:t>
      </w:r>
      <w:r>
        <w:t> </w:t>
      </w:r>
      <w:r w:rsidRPr="00F53464">
        <w:t>%. С положителен принос бяха потреблението и нетния</w:t>
      </w:r>
      <w:r w:rsidRPr="00BE4377">
        <w:t>т</w:t>
      </w:r>
      <w:r w:rsidRPr="00F53464">
        <w:t xml:space="preserve"> износ. Потреблението на домакинствата се повиши със 7,2</w:t>
      </w:r>
      <w:r>
        <w:t> </w:t>
      </w:r>
      <w:r w:rsidRPr="00F53464">
        <w:t>% подкрепено от подобрение</w:t>
      </w:r>
      <w:r>
        <w:t>то</w:t>
      </w:r>
      <w:r w:rsidRPr="00F53464">
        <w:t xml:space="preserve"> на доверието на потребителите и растеж</w:t>
      </w:r>
      <w:r>
        <w:t>а</w:t>
      </w:r>
      <w:r w:rsidRPr="00F53464">
        <w:t xml:space="preserve"> на кредитите</w:t>
      </w:r>
      <w:r>
        <w:rPr>
          <w:lang w:val="en-US"/>
        </w:rPr>
        <w:t xml:space="preserve"> </w:t>
      </w:r>
      <w:r>
        <w:t>за потребление</w:t>
      </w:r>
      <w:r w:rsidRPr="00F53464">
        <w:t>. При публичното потребление бе отчетен спад от 1,5</w:t>
      </w:r>
      <w:r>
        <w:t> </w:t>
      </w:r>
      <w:r w:rsidRPr="00F53464">
        <w:t>%. Инвестициите в основен капитал спаднаха с 3,6</w:t>
      </w:r>
      <w:r>
        <w:t> </w:t>
      </w:r>
      <w:r w:rsidRPr="00F53464">
        <w:t>%, като намалението се дължеше на слаба частна инвестиционна активност, докато при публичните капиталови разходи бе отчетен растеж. С висок отрицателен принос за динамиката на БВП за полугодието бе изменението на запасите (-5,5 пр.</w:t>
      </w:r>
      <w:r>
        <w:rPr>
          <w:lang w:val="en-US"/>
        </w:rPr>
        <w:t xml:space="preserve"> </w:t>
      </w:r>
      <w:r w:rsidRPr="00F53464">
        <w:t>п.). При износа на стоки и услуги също бе отчетено намаление (-1,3</w:t>
      </w:r>
      <w:r>
        <w:t> </w:t>
      </w:r>
      <w:r w:rsidRPr="00F53464">
        <w:t>%), но то бе надминато от спада на вноса (-7</w:t>
      </w:r>
      <w:r>
        <w:t> </w:t>
      </w:r>
      <w:r w:rsidRPr="00F53464">
        <w:t>%) и в резултат нетния</w:t>
      </w:r>
      <w:r>
        <w:t>т</w:t>
      </w:r>
      <w:r w:rsidRPr="00F53464">
        <w:t xml:space="preserve"> износ бе с основен положителен принос за растежа на БВП</w:t>
      </w:r>
      <w:r w:rsidR="00FC6222" w:rsidRPr="00F53464">
        <w:t xml:space="preserve">. </w:t>
      </w:r>
    </w:p>
    <w:p w:rsidR="00FC6222" w:rsidRPr="00F53464" w:rsidRDefault="00FC6222" w:rsidP="00FC6222">
      <w:pPr>
        <w:spacing w:after="200"/>
        <w:jc w:val="both"/>
        <w:rPr>
          <w:color w:val="000000"/>
          <w:highlight w:val="yellow"/>
        </w:rPr>
      </w:pPr>
      <w:r w:rsidRPr="00F53464">
        <w:t>Динамиката на краткосрочните индикатори през юли и август е близка до тази от второ тримесечие, което предполага задържане на растежа на икономиката. За периода юли-август промишленото производство спадна с 10,7%, а строителната продукция с 1,1</w:t>
      </w:r>
      <w:r>
        <w:t> </w:t>
      </w:r>
      <w:r w:rsidRPr="00F53464">
        <w:t>%. През август и септември бе отчетено леко намаление на индикатора за доверието на потребителите и на бизнес климата.</w:t>
      </w:r>
    </w:p>
    <w:p w:rsidR="00FC6222" w:rsidRPr="0015566D" w:rsidRDefault="00FC6222" w:rsidP="00FC6222">
      <w:pPr>
        <w:spacing w:after="200"/>
        <w:jc w:val="both"/>
        <w:rPr>
          <w:color w:val="000000"/>
        </w:rPr>
      </w:pPr>
      <w:r w:rsidRPr="0015566D">
        <w:rPr>
          <w:color w:val="000000"/>
        </w:rPr>
        <w:t>През първата половина на 2023 г. броят на зает</w:t>
      </w:r>
      <w:r>
        <w:rPr>
          <w:color w:val="000000"/>
        </w:rPr>
        <w:t>ите в икономиката се повиши с 1,</w:t>
      </w:r>
      <w:r w:rsidRPr="0015566D">
        <w:rPr>
          <w:color w:val="000000"/>
        </w:rPr>
        <w:t>7</w:t>
      </w:r>
      <w:r>
        <w:rPr>
          <w:color w:val="000000"/>
        </w:rPr>
        <w:t> </w:t>
      </w:r>
      <w:r w:rsidRPr="0015566D">
        <w:rPr>
          <w:color w:val="000000"/>
        </w:rPr>
        <w:t xml:space="preserve">% и достигна 3462 хиляди души. Ръстът на заетостта </w:t>
      </w:r>
      <w:r>
        <w:rPr>
          <w:color w:val="000000"/>
        </w:rPr>
        <w:t>е най-висок в строителството (2,6 %) и сектора на услугите (2,</w:t>
      </w:r>
      <w:r w:rsidRPr="0015566D">
        <w:rPr>
          <w:color w:val="000000"/>
        </w:rPr>
        <w:t>5</w:t>
      </w:r>
      <w:r>
        <w:rPr>
          <w:color w:val="000000"/>
        </w:rPr>
        <w:t> </w:t>
      </w:r>
      <w:r w:rsidRPr="0015566D">
        <w:rPr>
          <w:color w:val="000000"/>
        </w:rPr>
        <w:t>%), като увеличение на заетостта се наблюдава също и в аграрния сектор. Единствено в индустриалните отрасли като цяло заетостта се запазва близо до равнищата отчетени през първата половина на 2022 г.</w:t>
      </w:r>
    </w:p>
    <w:p w:rsidR="00FC6222" w:rsidRPr="00F53464" w:rsidRDefault="00184091" w:rsidP="00FC6222">
      <w:pPr>
        <w:spacing w:after="200"/>
        <w:jc w:val="both"/>
        <w:rPr>
          <w:color w:val="000000"/>
          <w:highlight w:val="yellow"/>
        </w:rPr>
      </w:pPr>
      <w:r>
        <w:rPr>
          <w:color w:val="000000"/>
        </w:rPr>
        <w:t>Въпреки положителната динамика</w:t>
      </w:r>
      <w:r w:rsidR="00FC6222" w:rsidRPr="0015566D">
        <w:rPr>
          <w:color w:val="000000"/>
        </w:rPr>
        <w:t xml:space="preserve"> на заетостта в страната, броят на безработните лица се запазва близък до този, наблюдаван през 2022 г., а коефициентите на безработица намаляват минимално. Според данните от Наблюдението на работната сила коефициентът на безработица за възрастовата група 15-64 г. средно за </w:t>
      </w:r>
      <w:r w:rsidR="00FC6222">
        <w:rPr>
          <w:color w:val="000000"/>
        </w:rPr>
        <w:t>първата половина на 2023 г. е 4,6</w:t>
      </w:r>
      <w:r w:rsidR="00ED1D36">
        <w:rPr>
          <w:color w:val="000000"/>
        </w:rPr>
        <w:t xml:space="preserve"> </w:t>
      </w:r>
      <w:r w:rsidR="00FC6222">
        <w:rPr>
          <w:color w:val="000000"/>
        </w:rPr>
        <w:t>% (при 4,8</w:t>
      </w:r>
      <w:r w:rsidR="00ED1D36">
        <w:rPr>
          <w:color w:val="000000"/>
        </w:rPr>
        <w:t xml:space="preserve"> </w:t>
      </w:r>
      <w:r w:rsidR="00FC6222">
        <w:rPr>
          <w:color w:val="000000"/>
        </w:rPr>
        <w:t>%</w:t>
      </w:r>
      <w:r w:rsidR="00FC6222" w:rsidRPr="0015566D">
        <w:rPr>
          <w:color w:val="000000"/>
        </w:rPr>
        <w:t xml:space="preserve"> за първата половина на 2022 г.). Все пак, според данните на Агенция по заетостта броят на регистрираните безработни през летните месеци на годината (юли-септември) вече е по-висок от този, регистрира</w:t>
      </w:r>
      <w:r w:rsidR="00FC6222">
        <w:rPr>
          <w:color w:val="000000"/>
        </w:rPr>
        <w:t>н през същите месеци на 2022 г.</w:t>
      </w:r>
      <w:r w:rsidR="00FC6222" w:rsidRPr="0015566D">
        <w:rPr>
          <w:color w:val="000000"/>
        </w:rPr>
        <w:t xml:space="preserve">, което е първи сигнал, че низходящата динамика на безработицата </w:t>
      </w:r>
      <w:r w:rsidR="00FC6222">
        <w:rPr>
          <w:color w:val="000000"/>
        </w:rPr>
        <w:t>ще бъде преустановена</w:t>
      </w:r>
      <w:r w:rsidR="00FC6222" w:rsidRPr="0015566D">
        <w:rPr>
          <w:color w:val="000000"/>
        </w:rPr>
        <w:t>. В същото време недостигът на трудов ресурс остава основно затруднение за развитието на бизнеса, което</w:t>
      </w:r>
      <w:r w:rsidR="00FC6222">
        <w:rPr>
          <w:color w:val="000000"/>
        </w:rPr>
        <w:t xml:space="preserve"> изкарва на преден план въпроса</w:t>
      </w:r>
      <w:r w:rsidR="00FC6222" w:rsidRPr="0015566D">
        <w:rPr>
          <w:color w:val="000000"/>
        </w:rPr>
        <w:t xml:space="preserve"> с привличането на неактивните лица на пазара на труда или на трудов ресурс от чужбина, който да се интегрира на българския трудов пазар.</w:t>
      </w:r>
    </w:p>
    <w:p w:rsidR="00FC6222" w:rsidRPr="00F53464" w:rsidRDefault="00FC6222" w:rsidP="00FC6222">
      <w:pPr>
        <w:spacing w:after="200"/>
        <w:jc w:val="both"/>
        <w:rPr>
          <w:color w:val="000000"/>
          <w:highlight w:val="yellow"/>
        </w:rPr>
      </w:pPr>
      <w:r w:rsidRPr="00723167">
        <w:rPr>
          <w:color w:val="000000"/>
        </w:rPr>
        <w:t>През първото полугодие на 2023 г. реалната производителност на труда нарасна с 0,3 % на годишна база, а номиналният растеж на компенсацията на един нает беше 14,6 %. Текущата динамика на номиналния растеж на компенсацията на един нает бе повлияна от преработващата промишленост (27</w:t>
      </w:r>
      <w:r>
        <w:rPr>
          <w:color w:val="000000"/>
        </w:rPr>
        <w:t> </w:t>
      </w:r>
      <w:r w:rsidRPr="00723167">
        <w:rPr>
          <w:color w:val="000000"/>
        </w:rPr>
        <w:t>%), където ръстът беше най-висок, докато в услугите той остана относително нисък (11,2</w:t>
      </w:r>
      <w:r>
        <w:rPr>
          <w:color w:val="000000"/>
        </w:rPr>
        <w:t> </w:t>
      </w:r>
      <w:r w:rsidRPr="00723167">
        <w:rPr>
          <w:color w:val="000000"/>
        </w:rPr>
        <w:t xml:space="preserve">%). През разглеждания период доходите от труд в страната нараснаха с двуцифрен темп и продължиха да компенсират </w:t>
      </w:r>
      <w:r>
        <w:rPr>
          <w:color w:val="000000"/>
        </w:rPr>
        <w:t>общия</w:t>
      </w:r>
      <w:r w:rsidRPr="00723167">
        <w:rPr>
          <w:color w:val="000000"/>
        </w:rPr>
        <w:t xml:space="preserve"> ръст на потребителските цени. Данните за средната работна заплата показват, че през първото полугодие на 2023 г. нейният ръст в частния сектор (18,2</w:t>
      </w:r>
      <w:r w:rsidR="00981316">
        <w:rPr>
          <w:color w:val="000000"/>
          <w:lang w:val="en-US"/>
        </w:rPr>
        <w:t xml:space="preserve"> </w:t>
      </w:r>
      <w:r w:rsidRPr="00723167">
        <w:rPr>
          <w:color w:val="000000"/>
        </w:rPr>
        <w:t>%) е надхвърлил този в обществения сектор (16,7%). Общо за икономиката, средната работна заплата се е повишила със 17,8% в номинално изражение, като реалният ръст се запазва положителен от 3,4</w:t>
      </w:r>
      <w:r w:rsidR="007F5609">
        <w:rPr>
          <w:color w:val="000000"/>
        </w:rPr>
        <w:t xml:space="preserve"> </w:t>
      </w:r>
      <w:r w:rsidRPr="00723167">
        <w:rPr>
          <w:color w:val="000000"/>
        </w:rPr>
        <w:t>% (</w:t>
      </w:r>
      <w:proofErr w:type="spellStart"/>
      <w:r w:rsidRPr="00723167">
        <w:rPr>
          <w:color w:val="000000"/>
        </w:rPr>
        <w:t>дефлиран</w:t>
      </w:r>
      <w:proofErr w:type="spellEnd"/>
      <w:r w:rsidRPr="00723167">
        <w:rPr>
          <w:color w:val="000000"/>
        </w:rPr>
        <w:t xml:space="preserve"> с ХИПЦ).  </w:t>
      </w:r>
    </w:p>
    <w:p w:rsidR="00FC6222" w:rsidRDefault="00FC6222" w:rsidP="00FC6222">
      <w:pPr>
        <w:spacing w:after="200"/>
        <w:jc w:val="both"/>
        <w:rPr>
          <w:sz w:val="22"/>
          <w:szCs w:val="22"/>
        </w:rPr>
      </w:pPr>
      <w:r>
        <w:lastRenderedPageBreak/>
        <w:t xml:space="preserve">От последното тримесечие на 2022 г. в страната е налице тенденция към намаление на годишния темп на инфлацията според ХИПЦ, който се забави до 6,4 % през септември 2023 г. Забавянето на инфлационните процеси в страната се дължи в най-голяма степен на тенденцията на намаление на международните цени на суровините през първото полугодие, както и на базов ефект от ускореното поскъпване през предходната година. Във връзка с описаните тенденции, забавяне в темпа на поскъпване бе наблюдавано при всички основни компоненти на ХИПЦ. Изключение бе групата </w:t>
      </w:r>
      <w:r>
        <w:rPr>
          <w:i/>
          <w:iCs/>
        </w:rPr>
        <w:t>алкохол и тютюневи изделия</w:t>
      </w:r>
      <w:r>
        <w:t>, след като през март 2023 г. бяха въведени по-високи акцизни ставки за цигарите. С най-висок положителен принос за формиране на инфлацията към септември бяха храните, следвани от услугите и неенергийните промишлени стоки, докато енергийните продукти допринесоха отрицателно. Базисната инфлация</w:t>
      </w:r>
      <w:r>
        <w:rPr>
          <w:vertAlign w:val="superscript"/>
          <w:lang w:eastAsia="bg-BG"/>
        </w:rPr>
        <w:footnoteReference w:customMarkFollows="1" w:id="2"/>
        <w:t>[1]</w:t>
      </w:r>
      <w:r>
        <w:t xml:space="preserve"> също продължи да се забавя, но все още остава на относително високо ниво под влияние на вторичните ефекти от повишението на разходите за труд в икономиката и силното потребителско търсене. Тя се понижи до 7,6</w:t>
      </w:r>
      <w:r w:rsidR="005C408D">
        <w:t xml:space="preserve"> </w:t>
      </w:r>
      <w:r>
        <w:t xml:space="preserve">% на годишна база към септември по линия на забавяне в темпа на поскъпване най-вече при транспортните услуги и храненето извън дома, както и потребителските стоки с по-дълготраен характер. </w:t>
      </w:r>
    </w:p>
    <w:p w:rsidR="00FC6222" w:rsidRPr="00F53464" w:rsidRDefault="00FC6222" w:rsidP="00FC6222">
      <w:pPr>
        <w:spacing w:after="200"/>
        <w:jc w:val="both"/>
        <w:rPr>
          <w:color w:val="000000"/>
          <w:highlight w:val="yellow"/>
        </w:rPr>
      </w:pPr>
      <w:r w:rsidRPr="002A5FA2">
        <w:rPr>
          <w:color w:val="000000"/>
        </w:rPr>
        <w:t xml:space="preserve">В периода януари-август излишъкът по текущата сметка се увеличи до 1,3 % от прогнозния БВП, спрямо 0,3 % от БВП за същия период на 2022 г. </w:t>
      </w:r>
      <w:r w:rsidRPr="00393363">
        <w:rPr>
          <w:color w:val="000000"/>
        </w:rPr>
        <w:t>Основен принос за подобрението имаше намалението на търговския дефицит</w:t>
      </w:r>
      <w:r>
        <w:rPr>
          <w:color w:val="000000"/>
        </w:rPr>
        <w:t xml:space="preserve"> с 0,4 пр.</w:t>
      </w:r>
      <w:r w:rsidR="0056756C">
        <w:rPr>
          <w:color w:val="000000"/>
          <w:lang w:val="en-US"/>
        </w:rPr>
        <w:t xml:space="preserve"> </w:t>
      </w:r>
      <w:r>
        <w:rPr>
          <w:color w:val="000000"/>
        </w:rPr>
        <w:t>п. до 2,4</w:t>
      </w:r>
      <w:r w:rsidR="0056756C">
        <w:rPr>
          <w:color w:val="000000"/>
          <w:lang w:val="en-US"/>
        </w:rPr>
        <w:t xml:space="preserve"> </w:t>
      </w:r>
      <w:r>
        <w:rPr>
          <w:color w:val="000000"/>
        </w:rPr>
        <w:t xml:space="preserve">% от </w:t>
      </w:r>
      <w:r w:rsidRPr="00D7555D">
        <w:rPr>
          <w:color w:val="000000"/>
        </w:rPr>
        <w:t>прогнозния БВП. Номиналният</w:t>
      </w:r>
      <w:r w:rsidRPr="000137BE">
        <w:rPr>
          <w:color w:val="000000"/>
        </w:rPr>
        <w:t xml:space="preserve"> спад на </w:t>
      </w:r>
      <w:r>
        <w:rPr>
          <w:color w:val="000000"/>
        </w:rPr>
        <w:t xml:space="preserve">износа на стоки </w:t>
      </w:r>
      <w:r w:rsidR="005F09AA">
        <w:rPr>
          <w:color w:val="000000"/>
        </w:rPr>
        <w:t>от</w:t>
      </w:r>
      <w:r>
        <w:rPr>
          <w:color w:val="000000"/>
        </w:rPr>
        <w:t xml:space="preserve"> 9</w:t>
      </w:r>
      <w:r w:rsidRPr="000137BE">
        <w:rPr>
          <w:color w:val="000000"/>
        </w:rPr>
        <w:t>,</w:t>
      </w:r>
      <w:r>
        <w:rPr>
          <w:color w:val="000000"/>
        </w:rPr>
        <w:t>2</w:t>
      </w:r>
      <w:r w:rsidRPr="000137BE">
        <w:rPr>
          <w:color w:val="000000"/>
        </w:rPr>
        <w:t xml:space="preserve"> % </w:t>
      </w:r>
      <w:r>
        <w:rPr>
          <w:color w:val="000000"/>
        </w:rPr>
        <w:t>бе по-голям от този на в</w:t>
      </w:r>
      <w:r w:rsidRPr="000137BE">
        <w:rPr>
          <w:color w:val="000000"/>
        </w:rPr>
        <w:t xml:space="preserve">носа </w:t>
      </w:r>
      <w:r>
        <w:rPr>
          <w:color w:val="000000"/>
        </w:rPr>
        <w:t xml:space="preserve">(спад </w:t>
      </w:r>
      <w:r w:rsidR="005F09AA">
        <w:rPr>
          <w:color w:val="000000"/>
        </w:rPr>
        <w:t xml:space="preserve">от </w:t>
      </w:r>
      <w:r>
        <w:rPr>
          <w:color w:val="000000"/>
        </w:rPr>
        <w:t>8,8</w:t>
      </w:r>
      <w:r w:rsidRPr="000137BE">
        <w:rPr>
          <w:color w:val="000000"/>
        </w:rPr>
        <w:t xml:space="preserve"> %), като основен принос за спада </w:t>
      </w:r>
      <w:r w:rsidRPr="00491278">
        <w:rPr>
          <w:color w:val="000000"/>
        </w:rPr>
        <w:t xml:space="preserve">имаха </w:t>
      </w:r>
      <w:r w:rsidRPr="00491278">
        <w:t>енергийните продукти и някои видове метали, чиято динамика в значителна степен бе повлияна от спада на международните цени</w:t>
      </w:r>
      <w:r w:rsidRPr="00053C8C">
        <w:rPr>
          <w:color w:val="000000"/>
        </w:rPr>
        <w:t xml:space="preserve">. </w:t>
      </w:r>
      <w:r w:rsidRPr="00053C8C">
        <w:t xml:space="preserve">През първите осем месеца на годината приходите от посещения на чужденци в страната се увеличиха с 19,8 %, което наред с увеличението на износа на далекосъобщителни, компютърни и информационни услуги подпомогна нарастването на излишъка по статия услуги до 4,7 % от прогнозния БВП. Общият дефицит по доходните статии се запази почти непроменен при 1 % от прогнозния БВП. </w:t>
      </w:r>
      <w:r w:rsidRPr="00053C8C">
        <w:rPr>
          <w:color w:val="000000"/>
        </w:rPr>
        <w:t>Привлечените преки чуждестранни инвестиции бяха в размер на близо 2,6 млрд. евро или 2,6 % от прогнозния БВП. Към края на август брутният външен дълг на страната бе 44 % от прогнозния БВП.</w:t>
      </w:r>
    </w:p>
    <w:p w:rsidR="00FC6222" w:rsidRPr="002F1AA3" w:rsidRDefault="00FC6222" w:rsidP="00FC6222">
      <w:pPr>
        <w:spacing w:after="200"/>
        <w:jc w:val="both"/>
        <w:rPr>
          <w:color w:val="000000"/>
        </w:rPr>
      </w:pPr>
      <w:r>
        <w:t>Кредитът за частния сектор се забави леко от началото на 2023 г. и в края на септември темпът му на растеж на годишна база достигна 11,3 % при 12,7 % в края на 2022 г. С по-голям принос за това бяха кредитите за нефинансови предприятия, чиито темп на растеж за същия период се понижи от 10,4 % до 7,1 %. Търсенето на оборотни средства под формата на овърдрафт кредити, което беше водещо за нарастването на корпоративните кредити през 2022 г., се забави значително от началото на 2023 г. и ръстът им на годишна база в края на септември достигна 6</w:t>
      </w:r>
      <w:r w:rsidR="008C1E94">
        <w:rPr>
          <w:lang w:val="en-US"/>
        </w:rPr>
        <w:t> </w:t>
      </w:r>
      <w:r>
        <w:t>% при 17,5 % в края на предходната година. Търсенето на заемни средства от домакинствата остана силно, като от 14,6 % в края на 2022 г., годишният им темп на растеж беше 14 % в края на септември. Водеща роля имаха жилищните кредити (с ръст от 18,8 %), след като все още ниските лихвени проценти, динамиката на доходите, както и продължаващото нарастване на цените на жилищата продължиха да поддържат търсенето на заемни средства за покупка на недвижими имоти. Потребителските кредити също запазиха относително висок темп на растеж (10,5 % в края на септември), но леко се забавиха спрямо ръста си от 12,3 % в края на 2022 г.</w:t>
      </w:r>
    </w:p>
    <w:p w:rsidR="00FC6222" w:rsidRPr="00BE7A79" w:rsidRDefault="00FC6222" w:rsidP="00FC6222">
      <w:pPr>
        <w:pStyle w:val="Heading1"/>
        <w:spacing w:before="240"/>
        <w:ind w:left="142" w:right="-108"/>
        <w:jc w:val="both"/>
        <w:rPr>
          <w:sz w:val="24"/>
        </w:rPr>
      </w:pPr>
      <w:r w:rsidRPr="00BE7A79">
        <w:rPr>
          <w:sz w:val="24"/>
        </w:rPr>
        <w:t>Основни акценти във връзка с текущото наблюдение на изпълнението на консолидираната фискална програма към деветмесечието на 202</w:t>
      </w:r>
      <w:r>
        <w:rPr>
          <w:sz w:val="24"/>
        </w:rPr>
        <w:t>3</w:t>
      </w:r>
      <w:r w:rsidRPr="00BE7A79">
        <w:rPr>
          <w:sz w:val="24"/>
        </w:rPr>
        <w:t xml:space="preserve"> г.</w:t>
      </w:r>
    </w:p>
    <w:p w:rsidR="00FC6222" w:rsidRDefault="00FC6222" w:rsidP="00980A59">
      <w:pPr>
        <w:spacing w:before="120" w:after="120"/>
        <w:jc w:val="both"/>
      </w:pPr>
      <w:r>
        <w:t>Настоящата година започна при липса на приет от Народното събрание бюджет за 2023 г., съответно през този период се прилагаха разпоредбите на чл. 87, ал. 1 на Закона за публичните финанси (ЗПФ), при действието разпоредбите на Закон за прилагане на разпоредбите на ЗДБРБ за 2022 г., ЗБДОО за 2022 г. и ЗБНЗОК за 2022 г. (т.</w:t>
      </w:r>
      <w:r w:rsidR="00C35BF5">
        <w:rPr>
          <w:lang w:val="en-US"/>
        </w:rPr>
        <w:t xml:space="preserve"> </w:t>
      </w:r>
      <w:r>
        <w:t xml:space="preserve">н. </w:t>
      </w:r>
      <w:proofErr w:type="spellStart"/>
      <w:r>
        <w:t>удължителен</w:t>
      </w:r>
      <w:proofErr w:type="spellEnd"/>
      <w:r>
        <w:t xml:space="preserve"> закон). В края на месец април 2023 г. служебното правителство изготви и одобри проект на ЗДБРБ за 2023 г. и проект на АСБП за периода 2023 г. – 2025 г. (РМС №331/28.04.2023 г.), които обаче не намериха подкрепа в Народното събрание и не бяха приети. Основната причина за това бе фискалната рамка в законопроекта, която предвиждаше дефицит по КФП, който значително надвишаваше допустимите референтни стойности по чл. 27, ал. 4 на ЗПФ, съответно дефицитът на сектор „Държавно управление“ също бе значително по-голям от референтната стойност от 3 на сто от БВП в Пакта за стабилност и растеж. Това изискваше и значително по-високи тавани по отношение на новия държавен дълг, който може да бъде поет за финансиране на дефицита за 2023</w:t>
      </w:r>
      <w:r w:rsidR="0066586D">
        <w:t> </w:t>
      </w:r>
      <w:r>
        <w:t xml:space="preserve">г. и в средносрочен план. </w:t>
      </w:r>
    </w:p>
    <w:p w:rsidR="00FC6222" w:rsidRPr="009E3533" w:rsidRDefault="00FC6222" w:rsidP="00FC6222">
      <w:pPr>
        <w:spacing w:after="120"/>
        <w:jc w:val="both"/>
      </w:pPr>
      <w:r>
        <w:t>След</w:t>
      </w:r>
      <w:r w:rsidRPr="00832DEB">
        <w:t xml:space="preserve"> година липса на редовно правителство и управление на две служебни</w:t>
      </w:r>
      <w:r>
        <w:t xml:space="preserve"> правителства, в началото на юни 2023 г. с подкрепата на двете водещи политически формации в Народното събрание бе сформирано ново редовно правителство, което постави във фокуса на своята политика максимално бързото приемане на законопроекта за държавния бюджет за настоящата година при спазване на ангажиментите на страната в контекста на присъединяването към Еврозоната. </w:t>
      </w:r>
      <w:r w:rsidRPr="009E3533">
        <w:t xml:space="preserve">Разчетите по </w:t>
      </w:r>
      <w:r>
        <w:t xml:space="preserve">проекта на ЗДБРБ за 2023 г. и </w:t>
      </w:r>
      <w:r w:rsidRPr="009E3533">
        <w:t xml:space="preserve">АСБП за периода 2023-2025 г. </w:t>
      </w:r>
      <w:r>
        <w:t>бяха</w:t>
      </w:r>
      <w:r w:rsidRPr="009E3533">
        <w:t xml:space="preserve"> разработени въз основа на пролетната макроикономическа прогноза на МФ и при допускания да не се увеличават данъците, да не се ограничават социалните плащания и да се осигури предвиденото увеличение на пенсиите през тази година, а по отношение на фискалната политика дефицитът да е в рамките на </w:t>
      </w:r>
      <w:proofErr w:type="spellStart"/>
      <w:r w:rsidRPr="009E3533">
        <w:t>Маастрихтските</w:t>
      </w:r>
      <w:proofErr w:type="spellEnd"/>
      <w:r w:rsidRPr="009E3533">
        <w:t xml:space="preserve"> критерии</w:t>
      </w:r>
      <w:r>
        <w:t xml:space="preserve"> за гарантиране на устойчивост на публичните финанси.</w:t>
      </w:r>
    </w:p>
    <w:p w:rsidR="00FC6222" w:rsidRPr="009E3533" w:rsidRDefault="00AF4B35" w:rsidP="00FC6222">
      <w:pPr>
        <w:spacing w:after="120"/>
        <w:jc w:val="both"/>
      </w:pPr>
      <w:r w:rsidRPr="00AF4B35">
        <w:t>Фискалната рамка към ЗДБРБ за 2023 г.</w:t>
      </w:r>
      <w:r>
        <w:t xml:space="preserve"> </w:t>
      </w:r>
      <w:r w:rsidRPr="00AF4B35">
        <w:t>бе изготвена при съобразяване с индикаторите и допусканията в пролетната макроикономическа прогноза за развитието на националната икономика и оценките за ефекта върху основните показатели на КФП от политиките, предопределящи приходите и разходите</w:t>
      </w:r>
      <w:r w:rsidR="00FC6222">
        <w:t xml:space="preserve">. Във фискалната рамка бяха отразени, от една страна, нови мерки за повишаване на събираемостта от приходните администрации и допълнителни мерки по приходите, и от друга, свиване на разходите на база на преглед на капиталовата програма и разходите за издръжка на администрациите по държавния бюджет при запазване на социалните плащания, с което </w:t>
      </w:r>
      <w:r w:rsidR="00FC6222" w:rsidRPr="009E3533">
        <w:t xml:space="preserve">бюджетното салдо </w:t>
      </w:r>
      <w:r w:rsidR="00AC0D24">
        <w:t xml:space="preserve">в разчетите </w:t>
      </w:r>
      <w:r w:rsidR="00AC0D24" w:rsidRPr="009E3533">
        <w:t xml:space="preserve">по консолидираната фискална програма </w:t>
      </w:r>
      <w:r w:rsidR="00AC0D24">
        <w:t>към ЗДБРБ за 2023 г. е предвидено да бъде</w:t>
      </w:r>
      <w:r w:rsidR="00AC0D24" w:rsidRPr="009E3533">
        <w:t xml:space="preserve"> дефицит от 2,5</w:t>
      </w:r>
      <w:r w:rsidR="00AC0D24">
        <w:rPr>
          <w:lang w:val="en-US"/>
        </w:rPr>
        <w:t xml:space="preserve"> </w:t>
      </w:r>
      <w:r w:rsidR="00AC0D24" w:rsidRPr="009E3533">
        <w:t>% от БВП, а дефицит</w:t>
      </w:r>
      <w:r w:rsidR="00AC0D24">
        <w:t>ът</w:t>
      </w:r>
      <w:r w:rsidR="00AC0D24" w:rsidRPr="009E3533">
        <w:t xml:space="preserve"> на сектор „Държавно управление“ е </w:t>
      </w:r>
      <w:r w:rsidR="00AC0D24">
        <w:t>3,0</w:t>
      </w:r>
      <w:r w:rsidR="00AC0D24">
        <w:rPr>
          <w:lang w:val="en-US"/>
        </w:rPr>
        <w:t xml:space="preserve"> </w:t>
      </w:r>
      <w:r w:rsidR="00AC0D24">
        <w:t>% от БВП</w:t>
      </w:r>
      <w:r w:rsidR="00FC6222">
        <w:t xml:space="preserve">. </w:t>
      </w:r>
    </w:p>
    <w:p w:rsidR="00FC6222" w:rsidRPr="00DE2DBD" w:rsidRDefault="00FC6222" w:rsidP="00FC6222">
      <w:pPr>
        <w:autoSpaceDE w:val="0"/>
        <w:autoSpaceDN w:val="0"/>
        <w:adjustRightInd w:val="0"/>
        <w:spacing w:after="120"/>
        <w:jc w:val="both"/>
        <w:rPr>
          <w:rFonts w:eastAsia="Batang"/>
          <w:bCs/>
          <w:color w:val="000000" w:themeColor="text1"/>
        </w:rPr>
      </w:pPr>
      <w:r w:rsidRPr="00DE2DBD">
        <w:rPr>
          <w:rFonts w:eastAsia="Batang"/>
          <w:bCs/>
          <w:color w:val="000000" w:themeColor="text1"/>
        </w:rPr>
        <w:t xml:space="preserve">Фискалните развития през първите </w:t>
      </w:r>
      <w:r>
        <w:rPr>
          <w:rFonts w:eastAsia="Batang"/>
          <w:bCs/>
          <w:color w:val="000000" w:themeColor="text1"/>
        </w:rPr>
        <w:t>девет</w:t>
      </w:r>
      <w:r w:rsidRPr="00DE2DBD">
        <w:rPr>
          <w:rFonts w:eastAsia="Batang"/>
          <w:bCs/>
          <w:color w:val="000000" w:themeColor="text1"/>
        </w:rPr>
        <w:t xml:space="preserve"> месеца на 2023 г. бяха доминирани от множество фактори, влияещи разнопосочно върху бюджетните показатели. Върху фиска продължиха да оказват влияние </w:t>
      </w:r>
      <w:proofErr w:type="spellStart"/>
      <w:r w:rsidRPr="00DE2DBD">
        <w:rPr>
          <w:rFonts w:eastAsia="Batang"/>
          <w:bCs/>
          <w:color w:val="000000" w:themeColor="text1"/>
        </w:rPr>
        <w:t>волатилните</w:t>
      </w:r>
      <w:proofErr w:type="spellEnd"/>
      <w:r w:rsidRPr="00DE2DBD">
        <w:rPr>
          <w:rFonts w:eastAsia="Batang"/>
          <w:bCs/>
          <w:color w:val="000000" w:themeColor="text1"/>
        </w:rPr>
        <w:t xml:space="preserve"> цени на международните пазари на суровини и енергоносители, нарушените вериги за доставка и наложените санкции поради войната в Украйна. Ситуацията през настоящата година обаче е значително променена – за разлика от шоковото нарастване на цената на енергоносителите и в частност на нефта и природния газ на международните пазари непосредствено след избухването на войната, през настоящата година се наблюдава значително поевтиняване и завръщане на цените до предвоенните им нива при много от енергоносителите и суровините, което съответно се отразява и върху приходите при облагането при внос и върху данъчната основа при сделки при </w:t>
      </w:r>
      <w:proofErr w:type="spellStart"/>
      <w:r w:rsidRPr="00DE2DBD">
        <w:rPr>
          <w:rFonts w:eastAsia="Batang"/>
          <w:bCs/>
          <w:color w:val="000000" w:themeColor="text1"/>
        </w:rPr>
        <w:t>вътреобщностни</w:t>
      </w:r>
      <w:proofErr w:type="spellEnd"/>
      <w:r w:rsidRPr="00DE2DBD">
        <w:rPr>
          <w:rFonts w:eastAsia="Batang"/>
          <w:bCs/>
          <w:color w:val="000000" w:themeColor="text1"/>
        </w:rPr>
        <w:t xml:space="preserve"> придобивания. Подобна е и тенденцията при цените на природния газ и електрическата енергия на регионалните борси. След средата на годината започна да се проявява умерено нарастване на цената на нефта на международните пазари, но фискалните ефекти все още не се проявяват, тъй като те са съпроводени с известн</w:t>
      </w:r>
      <w:r w:rsidR="005657D7">
        <w:rPr>
          <w:rFonts w:eastAsia="Batang"/>
          <w:bCs/>
          <w:color w:val="000000" w:themeColor="text1"/>
        </w:rPr>
        <w:t>о</w:t>
      </w:r>
      <w:r w:rsidRPr="00DE2DBD">
        <w:rPr>
          <w:rFonts w:eastAsia="Batang"/>
          <w:bCs/>
          <w:color w:val="000000" w:themeColor="text1"/>
        </w:rPr>
        <w:t xml:space="preserve"> </w:t>
      </w:r>
      <w:r w:rsidR="00964A12">
        <w:rPr>
          <w:rFonts w:eastAsia="Batang"/>
          <w:bCs/>
          <w:color w:val="000000" w:themeColor="text1"/>
        </w:rPr>
        <w:t>забавяне</w:t>
      </w:r>
      <w:r w:rsidRPr="00DE2DBD">
        <w:rPr>
          <w:rFonts w:eastAsia="Batang"/>
          <w:bCs/>
          <w:color w:val="000000" w:themeColor="text1"/>
        </w:rPr>
        <w:t xml:space="preserve">. </w:t>
      </w:r>
    </w:p>
    <w:p w:rsidR="00FC6222" w:rsidRPr="00DE2DBD" w:rsidRDefault="00FC6222" w:rsidP="00FC6222">
      <w:pPr>
        <w:autoSpaceDE w:val="0"/>
        <w:autoSpaceDN w:val="0"/>
        <w:adjustRightInd w:val="0"/>
        <w:spacing w:after="120"/>
        <w:jc w:val="both"/>
        <w:rPr>
          <w:rFonts w:eastAsia="Batang"/>
          <w:bCs/>
          <w:color w:val="000000" w:themeColor="text1"/>
        </w:rPr>
      </w:pPr>
      <w:r w:rsidRPr="003566BC">
        <w:rPr>
          <w:rFonts w:eastAsia="Batang"/>
          <w:bCs/>
          <w:color w:val="000000" w:themeColor="text1"/>
        </w:rPr>
        <w:t xml:space="preserve">Параметрите по изпълнението на приходите по КФП към края на септември при основните данъци и осигурителни вноски са добри и съответстват на допусканията по разчетите за годината с изключение на приходите от ДДС и в по-малка степен от корпоративните данъци. Най-осезаемо забавяне спрямо годишния план се очертава при приходите от ДДС от внос, където продължават да оказват негативно влияние върху динамиката на приходите от този данък средните борсови цени (в долари) на суровините, които формират основна част от вноса от </w:t>
      </w:r>
      <w:r w:rsidRPr="00F65BDC">
        <w:rPr>
          <w:rFonts w:eastAsia="Batang"/>
          <w:bCs/>
          <w:color w:val="000000" w:themeColor="text1"/>
        </w:rPr>
        <w:t xml:space="preserve">трети страни. </w:t>
      </w:r>
      <w:r w:rsidRPr="00F65BDC">
        <w:rPr>
          <w:color w:val="000000" w:themeColor="text1"/>
        </w:rPr>
        <w:t xml:space="preserve">Разглеждайки декларирания ДДС при внос по групи стоки, съобразно Класификатора на широките икономически категории (BEC), за периода януари-септември </w:t>
      </w:r>
      <w:r w:rsidRPr="00B82EDC">
        <w:rPr>
          <w:color w:val="000000" w:themeColor="text1"/>
        </w:rPr>
        <w:t>2023</w:t>
      </w:r>
      <w:r w:rsidR="001721EA" w:rsidRPr="00B82EDC">
        <w:rPr>
          <w:color w:val="000000" w:themeColor="text1"/>
          <w:lang w:val="en-US"/>
        </w:rPr>
        <w:t> </w:t>
      </w:r>
      <w:r w:rsidRPr="00B82EDC">
        <w:rPr>
          <w:color w:val="000000" w:themeColor="text1"/>
        </w:rPr>
        <w:t>г. се наблюдава понижение при всички групи стоки. Освен това, върху постъпленията от ДДС от внос влияние оказ</w:t>
      </w:r>
      <w:r w:rsidR="003016E2">
        <w:rPr>
          <w:color w:val="000000" w:themeColor="text1"/>
        </w:rPr>
        <w:t>в</w:t>
      </w:r>
      <w:r w:rsidRPr="00B82EDC">
        <w:rPr>
          <w:color w:val="000000" w:themeColor="text1"/>
        </w:rPr>
        <w:t>а и възможността 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 Ефектът</w:t>
      </w:r>
      <w:r w:rsidRPr="008F5011">
        <w:rPr>
          <w:color w:val="000000" w:themeColor="text1"/>
        </w:rPr>
        <w:t xml:space="preserve"> от прилагането на този режим към края на месец септември 2023</w:t>
      </w:r>
      <w:r w:rsidR="00106009">
        <w:rPr>
          <w:color w:val="000000" w:themeColor="text1"/>
        </w:rPr>
        <w:t> </w:t>
      </w:r>
      <w:r w:rsidRPr="008F5011">
        <w:rPr>
          <w:color w:val="000000" w:themeColor="text1"/>
        </w:rPr>
        <w:t xml:space="preserve">г. е </w:t>
      </w:r>
      <w:proofErr w:type="spellStart"/>
      <w:r w:rsidRPr="008F5011">
        <w:rPr>
          <w:color w:val="000000" w:themeColor="text1"/>
        </w:rPr>
        <w:t>неначислен</w:t>
      </w:r>
      <w:proofErr w:type="spellEnd"/>
      <w:r w:rsidRPr="008F5011">
        <w:rPr>
          <w:color w:val="000000" w:themeColor="text1"/>
        </w:rPr>
        <w:t xml:space="preserve"> ДДС при внос в размер на 962,3 млн. лева</w:t>
      </w:r>
      <w:r w:rsidRPr="008F5011">
        <w:rPr>
          <w:rFonts w:eastAsia="Batang"/>
          <w:bCs/>
          <w:color w:val="000000" w:themeColor="text1"/>
        </w:rPr>
        <w:t xml:space="preserve">. При </w:t>
      </w:r>
      <w:r w:rsidRPr="00DE2DBD">
        <w:rPr>
          <w:rFonts w:eastAsia="Batang"/>
          <w:bCs/>
          <w:color w:val="000000" w:themeColor="text1"/>
        </w:rPr>
        <w:t xml:space="preserve">преките данъци добри темпове на изпълнение на разчетите се отчитат при данъците върху доходите на физическите лица, което компенсира очакваното неизпълнение на разчетите за приходите от корпоративни данъци, с което приходите в групата се очаква да бъдат близки до планираните за годината. Приходите от осигурителни вноски също се прогнозира да бъдат близки до планираните за годината, докато при другите данъци се очаква превишение на плана за годината, основно поради удължения срок за внасяне на целеви вноски по бюджета на фонд „Сигурност на електроенергийната система“ от производителите на електрическа енергия и други мерки в данъчната политика. </w:t>
      </w:r>
    </w:p>
    <w:p w:rsidR="00FC6222" w:rsidRPr="00DE2DBD" w:rsidRDefault="00FC6222" w:rsidP="00FC6222">
      <w:pPr>
        <w:autoSpaceDE w:val="0"/>
        <w:autoSpaceDN w:val="0"/>
        <w:adjustRightInd w:val="0"/>
        <w:spacing w:after="120"/>
        <w:jc w:val="both"/>
        <w:rPr>
          <w:rFonts w:eastAsia="Batang"/>
          <w:bCs/>
          <w:color w:val="000000" w:themeColor="text1"/>
        </w:rPr>
      </w:pPr>
      <w:r w:rsidRPr="00DE2DBD">
        <w:rPr>
          <w:rFonts w:eastAsia="Batang"/>
          <w:bCs/>
          <w:color w:val="000000" w:themeColor="text1"/>
        </w:rPr>
        <w:t xml:space="preserve">Относително ниските темпове на усвояване на разходите през първите три тримесечия на годината е традиционно за последните години, като за </w:t>
      </w:r>
      <w:r>
        <w:rPr>
          <w:rFonts w:eastAsia="Batang"/>
          <w:bCs/>
          <w:color w:val="000000" w:themeColor="text1"/>
        </w:rPr>
        <w:t>деветте</w:t>
      </w:r>
      <w:r w:rsidRPr="00DE2DBD">
        <w:rPr>
          <w:rFonts w:eastAsia="Batang"/>
          <w:bCs/>
          <w:color w:val="000000" w:themeColor="text1"/>
        </w:rPr>
        <w:t xml:space="preserve"> месеца на 2023 г. разходите по КФП, включително вноската в общия бюджет на ЕС, представляват </w:t>
      </w:r>
      <w:r>
        <w:rPr>
          <w:rFonts w:eastAsia="Batang"/>
          <w:bCs/>
          <w:color w:val="000000" w:themeColor="text1"/>
        </w:rPr>
        <w:t>65,5</w:t>
      </w:r>
      <w:r w:rsidRPr="00DE2DBD">
        <w:rPr>
          <w:rFonts w:eastAsia="Batang"/>
          <w:bCs/>
          <w:color w:val="000000" w:themeColor="text1"/>
        </w:rPr>
        <w:t xml:space="preserve"> на сто от планираните с разчетите към ЗДБРБ за 2023 г. (ДВ, бр. 66 от 2023 г.). Изпълнението на планираните капиталови разходи по държавния бюджет и по сметките за с</w:t>
      </w:r>
      <w:r>
        <w:rPr>
          <w:rFonts w:eastAsia="Batang"/>
          <w:bCs/>
          <w:color w:val="000000" w:themeColor="text1"/>
        </w:rPr>
        <w:t>редства от ЕС към края на септември</w:t>
      </w:r>
      <w:r w:rsidRPr="00DE2DBD">
        <w:rPr>
          <w:rFonts w:eastAsia="Batang"/>
          <w:bCs/>
          <w:color w:val="000000" w:themeColor="text1"/>
        </w:rPr>
        <w:t xml:space="preserve"> е относително ниско, което се дължи, от една страна на строителния сезон и концентрирането на плащанията по голяма част от инфраструктурните проекти в последното тримесечие на годината, и от друга – на закъснял</w:t>
      </w:r>
      <w:r>
        <w:rPr>
          <w:rFonts w:eastAsia="Batang"/>
          <w:bCs/>
          <w:color w:val="000000" w:themeColor="text1"/>
        </w:rPr>
        <w:t>ото приемане на ЗДБРБ за 2023 </w:t>
      </w:r>
      <w:r w:rsidRPr="00DE2DBD">
        <w:rPr>
          <w:rFonts w:eastAsia="Batang"/>
          <w:bCs/>
          <w:color w:val="000000" w:themeColor="text1"/>
        </w:rPr>
        <w:t>г., което забав</w:t>
      </w:r>
      <w:r>
        <w:rPr>
          <w:rFonts w:eastAsia="Batang"/>
          <w:bCs/>
          <w:color w:val="000000" w:themeColor="text1"/>
        </w:rPr>
        <w:t>и</w:t>
      </w:r>
      <w:r w:rsidRPr="00DE2DBD">
        <w:rPr>
          <w:rFonts w:eastAsia="Batang"/>
          <w:bCs/>
          <w:color w:val="000000" w:themeColor="text1"/>
        </w:rPr>
        <w:t xml:space="preserve"> допълнително изпълнението на проектите и политиките. Очаква се през последното тримесечие на годината разходите да нараснат значително, като освен традиционно по-високите капиталови разходи и тези, свързани със зимния период, ще бъде финансирана и основната част от политиките, одобрени със ЗДБРБ за 2023 г., които бяха гласувани от Народното събрание в края месец юни и одобрени с актове на Министерския съвет през последните месеци</w:t>
      </w:r>
      <w:r w:rsidRPr="00EE20B1">
        <w:rPr>
          <w:rFonts w:eastAsia="Batang"/>
          <w:bCs/>
          <w:color w:val="000000" w:themeColor="text1"/>
        </w:rPr>
        <w:t>. Въпреки това от страна на разходите се очаква забавянето при част от проектите и програмите, планирани за финансиране до края на 2023 г., да не може да бъде наваксано. Поради тази причина в частта на разходите за издръжка и капиталовите разходи се очертава по-ниско от планираното усвояване на разходите, с което изоставането в частта на приходите</w:t>
      </w:r>
      <w:r w:rsidR="00294C99">
        <w:rPr>
          <w:rFonts w:eastAsia="Batang"/>
          <w:bCs/>
          <w:color w:val="000000" w:themeColor="text1"/>
          <w:lang w:val="en-US"/>
        </w:rPr>
        <w:t xml:space="preserve"> </w:t>
      </w:r>
      <w:r w:rsidR="00294C99">
        <w:rPr>
          <w:rFonts w:eastAsia="Batang"/>
          <w:bCs/>
          <w:color w:val="000000" w:themeColor="text1"/>
        </w:rPr>
        <w:t>по националния бюджет</w:t>
      </w:r>
      <w:r w:rsidRPr="00EE20B1">
        <w:rPr>
          <w:rFonts w:eastAsia="Batang"/>
          <w:bCs/>
          <w:color w:val="000000" w:themeColor="text1"/>
        </w:rPr>
        <w:t xml:space="preserve"> може да бъде компенсирано.</w:t>
      </w:r>
    </w:p>
    <w:p w:rsidR="00FC6222" w:rsidRPr="00DE2DBD" w:rsidRDefault="00FC6222" w:rsidP="00FC6222">
      <w:pPr>
        <w:autoSpaceDE w:val="0"/>
        <w:autoSpaceDN w:val="0"/>
        <w:adjustRightInd w:val="0"/>
        <w:spacing w:after="120"/>
        <w:jc w:val="both"/>
        <w:rPr>
          <w:color w:val="548DD4" w:themeColor="text2" w:themeTint="99"/>
        </w:rPr>
      </w:pPr>
    </w:p>
    <w:p w:rsidR="00FC6222" w:rsidRPr="000D7C8F" w:rsidRDefault="00FC6222" w:rsidP="00FC6222">
      <w:pPr>
        <w:pStyle w:val="Heading1"/>
        <w:spacing w:before="240"/>
        <w:ind w:left="142" w:right="-108"/>
        <w:jc w:val="both"/>
        <w:rPr>
          <w:color w:val="000000" w:themeColor="text1"/>
          <w:sz w:val="24"/>
        </w:rPr>
      </w:pPr>
      <w:r w:rsidRPr="000D7C8F">
        <w:rPr>
          <w:color w:val="000000" w:themeColor="text1"/>
          <w:sz w:val="24"/>
        </w:rPr>
        <w:t>Предизвикателства при изпълнението на бюджета до края на годината</w:t>
      </w:r>
    </w:p>
    <w:p w:rsidR="00B378F9" w:rsidRPr="005C6A2F" w:rsidRDefault="00B378F9" w:rsidP="00B378F9">
      <w:pPr>
        <w:autoSpaceDE w:val="0"/>
        <w:autoSpaceDN w:val="0"/>
        <w:adjustRightInd w:val="0"/>
        <w:spacing w:before="120" w:after="120"/>
        <w:jc w:val="both"/>
        <w:rPr>
          <w:rFonts w:eastAsia="Batang"/>
          <w:bCs/>
          <w:color w:val="000000" w:themeColor="text1"/>
        </w:rPr>
      </w:pPr>
      <w:r w:rsidRPr="00DE2DBD">
        <w:rPr>
          <w:rFonts w:eastAsia="Batang"/>
          <w:bCs/>
          <w:color w:val="000000" w:themeColor="text1"/>
        </w:rPr>
        <w:t xml:space="preserve">Финансирането на разходните политики по сметките за средствата от ЕС към момента не създава напрежение, но с навлизането на проектите по Оперативните програми, Програмата за развитие на селските райони и други програми на Европейския съюз за програмния период 2014-2020 г. във финален етап и усилията за минимизиране на загубата на европейско финансиране се очаква значително нарастване на плащанията по проектите и програмите до края на 2023 г. Освен това, съгласно правилата на ЕС бенефициентите по програмите на ЕС могат да извършват разходи при спазване на крайния срок за допустимост на разходите, който за програмния период 2014-2020 г. за повечето програми е 31 декември 2023 г. </w:t>
      </w:r>
      <w:r w:rsidRPr="003C3626">
        <w:rPr>
          <w:rFonts w:eastAsia="Batang"/>
          <w:bCs/>
          <w:color w:val="000000" w:themeColor="text1"/>
        </w:rPr>
        <w:t>Това означава, че всички разходи, извършени от бенефициентите извън цитирания срок, ще бъдат недопустими за финансиране от съответната програма и следва да се осигурят от самите бенефициенти, а там където бенефициентите са разпоредители с бюджет</w:t>
      </w:r>
      <w:r>
        <w:rPr>
          <w:rFonts w:eastAsia="Batang"/>
          <w:bCs/>
          <w:color w:val="000000" w:themeColor="text1"/>
        </w:rPr>
        <w:t xml:space="preserve"> </w:t>
      </w:r>
      <w:r w:rsidRPr="003C3626">
        <w:rPr>
          <w:rFonts w:eastAsia="Batang"/>
          <w:bCs/>
          <w:color w:val="000000" w:themeColor="text1"/>
        </w:rPr>
        <w:t xml:space="preserve">– от националния бюджет. Това съответно се очаква да концентрира значителни по размер разходи по европейските програми и фондове в последното тримесечие на годината, което да доведе до натиск върху бюджета на касова основа </w:t>
      </w:r>
      <w:r w:rsidRPr="005C6A2F">
        <w:rPr>
          <w:rFonts w:eastAsia="Batang"/>
          <w:bCs/>
          <w:color w:val="000000" w:themeColor="text1"/>
        </w:rPr>
        <w:t>в края на годината.</w:t>
      </w:r>
    </w:p>
    <w:p w:rsidR="00FC6222" w:rsidRPr="00576743" w:rsidRDefault="00B378F9" w:rsidP="00B378F9">
      <w:pPr>
        <w:autoSpaceDE w:val="0"/>
        <w:autoSpaceDN w:val="0"/>
        <w:adjustRightInd w:val="0"/>
        <w:spacing w:after="120"/>
        <w:jc w:val="both"/>
        <w:rPr>
          <w:rFonts w:eastAsia="Batang"/>
          <w:b/>
          <w:bCs/>
          <w:color w:val="4F81BD" w:themeColor="accent1"/>
        </w:rPr>
      </w:pPr>
      <w:r w:rsidRPr="005C6A2F">
        <w:rPr>
          <w:rFonts w:eastAsia="Batang"/>
          <w:bCs/>
          <w:color w:val="000000" w:themeColor="text1"/>
        </w:rPr>
        <w:t>Основните предизвикателства в контекста на усилията за присъединяване на България към еврозоната от 1 януари 2025 г. по отношение на фискалните параметри са свързани с критерия за дефицита на сектор „Държавно управление“, което е свързано</w:t>
      </w:r>
      <w:r>
        <w:rPr>
          <w:rFonts w:eastAsia="Batang"/>
          <w:bCs/>
          <w:color w:val="000000" w:themeColor="text1"/>
        </w:rPr>
        <w:t xml:space="preserve"> </w:t>
      </w:r>
      <w:r w:rsidR="00294C99">
        <w:rPr>
          <w:rFonts w:eastAsia="Batang"/>
          <w:bCs/>
          <w:color w:val="000000" w:themeColor="text1"/>
        </w:rPr>
        <w:t xml:space="preserve">от една страна с постигане на заложените цели по отношение на дефицита по КФП на касова основа, </w:t>
      </w:r>
      <w:r>
        <w:rPr>
          <w:rFonts w:eastAsia="Batang"/>
          <w:bCs/>
          <w:color w:val="000000" w:themeColor="text1"/>
        </w:rPr>
        <w:t>и</w:t>
      </w:r>
      <w:r w:rsidR="00294C99">
        <w:rPr>
          <w:rFonts w:eastAsia="Batang"/>
          <w:bCs/>
          <w:color w:val="000000" w:themeColor="text1"/>
        </w:rPr>
        <w:t xml:space="preserve"> от друга -</w:t>
      </w:r>
      <w:r w:rsidRPr="0047104F">
        <w:rPr>
          <w:rFonts w:eastAsia="Batang"/>
          <w:bCs/>
          <w:color w:val="000000" w:themeColor="text1"/>
        </w:rPr>
        <w:t xml:space="preserve"> с недопускане възникването на нови задължения за разходи в края на годината, които независимо че не оказват влияние на </w:t>
      </w:r>
      <w:r w:rsidRPr="005873D4">
        <w:rPr>
          <w:rFonts w:eastAsia="Batang"/>
          <w:bCs/>
          <w:color w:val="000000" w:themeColor="text1"/>
        </w:rPr>
        <w:t>касова</w:t>
      </w:r>
      <w:r>
        <w:rPr>
          <w:rFonts w:eastAsia="Batang"/>
          <w:bCs/>
          <w:color w:val="000000" w:themeColor="text1"/>
        </w:rPr>
        <w:t>та</w:t>
      </w:r>
      <w:r w:rsidRPr="005873D4">
        <w:rPr>
          <w:rFonts w:eastAsia="Batang"/>
          <w:bCs/>
          <w:color w:val="000000" w:themeColor="text1"/>
        </w:rPr>
        <w:t xml:space="preserve"> основа се отразяват като разход за годината по методологията на ЕСС 2010. Влияние върху критерия оказват и корективите, свързани с отразяването на потоците по програмите и фондовете на ЕС по методологията на ЕСС 2010, както и оценките за корективите за отчитане на данъците по метода на времево изместване на касовите приходи, корективи за трансакции, приравнени на разход и други</w:t>
      </w:r>
      <w:r w:rsidR="00FC6222" w:rsidRPr="005873D4">
        <w:rPr>
          <w:rFonts w:eastAsia="Batang"/>
          <w:bCs/>
          <w:color w:val="000000" w:themeColor="text1"/>
        </w:rPr>
        <w:t>.</w:t>
      </w:r>
      <w:r w:rsidR="00FC6222" w:rsidRPr="007C4E4B">
        <w:rPr>
          <w:rFonts w:eastAsia="Batang"/>
          <w:bCs/>
          <w:color w:val="000000" w:themeColor="text1"/>
        </w:rPr>
        <w:t xml:space="preserve"> </w:t>
      </w:r>
    </w:p>
    <w:p w:rsidR="005024E0" w:rsidRPr="00BC5FC4" w:rsidRDefault="00BC5FC4" w:rsidP="005024E0">
      <w:pPr>
        <w:pStyle w:val="Heading1"/>
        <w:spacing w:before="240"/>
        <w:ind w:left="142" w:right="-108"/>
        <w:jc w:val="both"/>
        <w:rPr>
          <w:sz w:val="24"/>
        </w:rPr>
      </w:pPr>
      <w:r w:rsidRPr="00BC5FC4">
        <w:rPr>
          <w:sz w:val="24"/>
        </w:rPr>
        <w:t>Информация за разходите за хуманитарна помощ, както и за справяне с последствията във връзка с военните действия в Украйна</w:t>
      </w:r>
    </w:p>
    <w:p w:rsidR="00BC5FC4" w:rsidRPr="00BC5FC4" w:rsidRDefault="00BC5FC4" w:rsidP="00187AC9">
      <w:pPr>
        <w:spacing w:before="120"/>
        <w:jc w:val="both"/>
        <w:rPr>
          <w:bCs/>
          <w:color w:val="000000"/>
          <w:lang w:eastAsia="bg-BG"/>
        </w:rPr>
      </w:pPr>
      <w:r w:rsidRPr="00BC5FC4">
        <w:rPr>
          <w:lang w:eastAsia="bg-BG"/>
        </w:rPr>
        <w:t>Отчетените от ПРБ</w:t>
      </w:r>
      <w:r w:rsidR="009F421A">
        <w:rPr>
          <w:lang w:eastAsia="bg-BG"/>
        </w:rPr>
        <w:t xml:space="preserve"> </w:t>
      </w:r>
      <w:r w:rsidRPr="00BC5FC4">
        <w:rPr>
          <w:lang w:eastAsia="bg-BG"/>
        </w:rPr>
        <w:t>разходи към 30.09.2023 г. по бюджетите им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както и за извършване на разходи за справяне с последствията от военните действия срещу Украйна са в размер на 42</w:t>
      </w:r>
      <w:r w:rsidR="006E3841">
        <w:rPr>
          <w:lang w:eastAsia="bg-BG"/>
        </w:rPr>
        <w:t>2</w:t>
      </w:r>
      <w:r w:rsidRPr="00BC5FC4">
        <w:rPr>
          <w:lang w:eastAsia="bg-BG"/>
        </w:rPr>
        <w:t>,</w:t>
      </w:r>
      <w:r w:rsidR="006E3841">
        <w:rPr>
          <w:lang w:eastAsia="bg-BG"/>
        </w:rPr>
        <w:t>5</w:t>
      </w:r>
      <w:r w:rsidRPr="00BC5FC4">
        <w:rPr>
          <w:lang w:eastAsia="bg-BG"/>
        </w:rPr>
        <w:t xml:space="preserve"> млн.</w:t>
      </w:r>
      <w:r w:rsidRPr="00BC5FC4">
        <w:rPr>
          <w:bCs/>
          <w:color w:val="000000"/>
          <w:lang w:eastAsia="bg-BG"/>
        </w:rPr>
        <w:t xml:space="preserve"> лв.</w:t>
      </w:r>
      <w:r w:rsidR="009F421A">
        <w:rPr>
          <w:bCs/>
          <w:color w:val="000000"/>
          <w:lang w:eastAsia="bg-BG"/>
        </w:rPr>
        <w:t xml:space="preserve"> </w:t>
      </w:r>
      <w:r w:rsidRPr="00BC5FC4">
        <w:rPr>
          <w:bCs/>
          <w:color w:val="000000"/>
          <w:lang w:eastAsia="bg-BG"/>
        </w:rPr>
        <w:t>за сметка на националния бюджет и 13,7 млн. лв. за сметка на средства от ЕС.</w:t>
      </w:r>
      <w:r w:rsidR="006E3841">
        <w:rPr>
          <w:bCs/>
          <w:color w:val="000000"/>
          <w:lang w:eastAsia="bg-BG"/>
        </w:rPr>
        <w:t xml:space="preserve"> </w:t>
      </w:r>
      <w:r w:rsidR="006E3841" w:rsidRPr="000B330C">
        <w:rPr>
          <w:bCs/>
          <w:lang w:eastAsia="bg-BG"/>
        </w:rPr>
        <w:t>По бюджетите на общините отчетените разходи са в размер на 1,1 млн. л</w:t>
      </w:r>
      <w:r w:rsidR="006E3841">
        <w:rPr>
          <w:bCs/>
          <w:lang w:eastAsia="bg-BG"/>
        </w:rPr>
        <w:t>в</w:t>
      </w:r>
      <w:r w:rsidR="006E3841" w:rsidRPr="000B330C">
        <w:rPr>
          <w:bCs/>
          <w:lang w:eastAsia="bg-BG"/>
        </w:rPr>
        <w:t>.</w:t>
      </w:r>
      <w:r w:rsidR="006E3841">
        <w:rPr>
          <w:bCs/>
          <w:lang w:eastAsia="bg-BG"/>
        </w:rPr>
        <w:t>, като това основно са разходи за справяне с последствията от военните действия срещу Украйна.</w:t>
      </w:r>
    </w:p>
    <w:p w:rsidR="00BC5FC4" w:rsidRPr="00BC5FC4" w:rsidRDefault="00BC5FC4" w:rsidP="00187AC9">
      <w:pPr>
        <w:spacing w:before="120"/>
        <w:jc w:val="both"/>
        <w:rPr>
          <w:lang w:eastAsia="bg-BG"/>
        </w:rPr>
      </w:pPr>
      <w:r w:rsidRPr="00BC5FC4">
        <w:rPr>
          <w:b/>
          <w:i/>
          <w:lang w:eastAsia="bg-BG"/>
        </w:rPr>
        <w:t>По програми за хуманитарна помощ за лица, търсещи временна закрила</w:t>
      </w:r>
      <w:r w:rsidRPr="00BC5FC4">
        <w:rPr>
          <w:lang w:eastAsia="bg-BG"/>
        </w:rPr>
        <w:t xml:space="preserve"> </w:t>
      </w:r>
    </w:p>
    <w:p w:rsidR="00BC5FC4" w:rsidRPr="00BC5FC4" w:rsidRDefault="00BC5FC4" w:rsidP="00187AC9">
      <w:pPr>
        <w:jc w:val="both"/>
        <w:rPr>
          <w:lang w:eastAsia="bg-BG"/>
        </w:rPr>
      </w:pPr>
      <w:r w:rsidRPr="00BC5FC4">
        <w:rPr>
          <w:lang w:eastAsia="bg-BG"/>
        </w:rPr>
        <w:t xml:space="preserve">Разходите за хуманитарна помощ и за справяне с последствията от военните действия в Украйна към 30.09.2023 г. по „Програма за хуманитарно подпомагане на разселени лица от Украйна с предоставена временна закрила в Република България“ възлизат в размер на </w:t>
      </w:r>
      <w:r w:rsidRPr="00BC5FC4">
        <w:rPr>
          <w:b/>
          <w:lang w:eastAsia="bg-BG"/>
        </w:rPr>
        <w:t>37,6 млн.</w:t>
      </w:r>
      <w:r w:rsidRPr="00BC5FC4">
        <w:rPr>
          <w:lang w:eastAsia="bg-BG"/>
        </w:rPr>
        <w:t xml:space="preserve"> лв. като средствата се осигуряват по ПМС № 484/21.12.2022 г. за одобряване на допълнителни разходи по бюджета на Министерството на туризма за 2022 г. и с ПМС № 161/21.09.2023 г. за одобряване на допълнителни разходи по бюджета на Министерството на туризма за 2023 г. е отпусната сумата в размер на 6,1 млн. лв. за изпълнение на Програмата за хуманитарно подпомагане на разселени лица от Украйна с предоставена временна закрила в Република България.</w:t>
      </w:r>
    </w:p>
    <w:p w:rsidR="00BC5FC4" w:rsidRPr="00BC5FC4" w:rsidRDefault="00BC5FC4" w:rsidP="00187AC9">
      <w:pPr>
        <w:spacing w:before="120"/>
        <w:jc w:val="both"/>
        <w:rPr>
          <w:rFonts w:eastAsia="MS Minngs"/>
          <w:bCs/>
          <w:lang w:eastAsia="bg-BG"/>
        </w:rPr>
      </w:pPr>
      <w:r w:rsidRPr="00BC5FC4">
        <w:rPr>
          <w:rFonts w:eastAsia="MS Minngs"/>
          <w:bCs/>
          <w:lang w:eastAsia="bg-BG"/>
        </w:rPr>
        <w:t>Планираните средства по държавна помощ „</w:t>
      </w:r>
      <w:r w:rsidRPr="00BC5FC4">
        <w:rPr>
          <w:rFonts w:eastAsia="MS Minngs"/>
          <w:b/>
          <w:bCs/>
          <w:i/>
          <w:lang w:eastAsia="bg-BG"/>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BC5FC4">
        <w:rPr>
          <w:rFonts w:eastAsia="MS Minngs"/>
          <w:bCs/>
          <w:lang w:eastAsia="bg-BG"/>
        </w:rPr>
        <w:t>“, разработена при спазване на правилата Временната рамка за мерки за държавна помощ при кризи в подкрепа на икономиката след агресията на Русия срещу Украйна са в общ размер на 426</w:t>
      </w:r>
      <w:r w:rsidR="00AB1DE7">
        <w:rPr>
          <w:rFonts w:eastAsia="MS Minngs"/>
          <w:bCs/>
          <w:lang w:eastAsia="bg-BG"/>
        </w:rPr>
        <w:t>,</w:t>
      </w:r>
      <w:r w:rsidR="00296AE1">
        <w:rPr>
          <w:rFonts w:eastAsia="MS Minngs"/>
          <w:bCs/>
          <w:lang w:eastAsia="bg-BG"/>
        </w:rPr>
        <w:t>4</w:t>
      </w:r>
      <w:r w:rsidRPr="00BC5FC4">
        <w:rPr>
          <w:rFonts w:eastAsia="MS Minngs"/>
          <w:bCs/>
          <w:lang w:eastAsia="bg-BG"/>
        </w:rPr>
        <w:t xml:space="preserve"> </w:t>
      </w:r>
      <w:r w:rsidR="00AB1DE7">
        <w:rPr>
          <w:rFonts w:eastAsia="MS Minngs"/>
          <w:bCs/>
          <w:lang w:eastAsia="bg-BG"/>
        </w:rPr>
        <w:t>млн. лв</w:t>
      </w:r>
      <w:r w:rsidRPr="00BC5FC4">
        <w:rPr>
          <w:rFonts w:eastAsia="MS Minngs"/>
          <w:bCs/>
          <w:lang w:eastAsia="bg-BG"/>
        </w:rPr>
        <w:t>., в т.ч.:</w:t>
      </w:r>
    </w:p>
    <w:p w:rsidR="00BC5FC4" w:rsidRPr="00BC5FC4" w:rsidRDefault="00BC5FC4" w:rsidP="00BC5FC4">
      <w:pPr>
        <w:numPr>
          <w:ilvl w:val="0"/>
          <w:numId w:val="36"/>
        </w:numPr>
        <w:tabs>
          <w:tab w:val="left" w:pos="993"/>
        </w:tabs>
        <w:ind w:left="0" w:firstLine="709"/>
        <w:contextualSpacing/>
        <w:jc w:val="both"/>
        <w:rPr>
          <w:rFonts w:eastAsia="MS Minngs"/>
          <w:bCs/>
        </w:rPr>
      </w:pPr>
      <w:r w:rsidRPr="00BC5FC4">
        <w:rPr>
          <w:rFonts w:eastAsia="MS Minngs"/>
          <w:bCs/>
        </w:rPr>
        <w:t xml:space="preserve">„Помощ в подкрепа на ликвидността на земеделски стопани за преодоляване на негативното икономическо въздействие на руската агресия срещу Украйна“ за 2022 г. </w:t>
      </w:r>
      <w:r w:rsidR="000F4571">
        <w:rPr>
          <w:rFonts w:eastAsia="MS Minngs"/>
          <w:bCs/>
        </w:rPr>
        <w:t>–</w:t>
      </w:r>
      <w:r w:rsidRPr="00BC5FC4">
        <w:rPr>
          <w:rFonts w:eastAsia="MS Minngs"/>
          <w:bCs/>
        </w:rPr>
        <w:t xml:space="preserve"> </w:t>
      </w:r>
      <w:r w:rsidR="000F4571">
        <w:rPr>
          <w:rFonts w:eastAsia="MS Minngs"/>
          <w:bCs/>
        </w:rPr>
        <w:t>0,4</w:t>
      </w:r>
      <w:r w:rsidRPr="00BC5FC4">
        <w:rPr>
          <w:rFonts w:eastAsia="MS Minngs"/>
          <w:bCs/>
        </w:rPr>
        <w:t> </w:t>
      </w:r>
      <w:r w:rsidR="000F4571" w:rsidRPr="00BC5FC4">
        <w:rPr>
          <w:rFonts w:eastAsia="MS Minngs"/>
          <w:bCs/>
        </w:rPr>
        <w:t xml:space="preserve">млн. </w:t>
      </w:r>
      <w:r w:rsidR="000F4571">
        <w:rPr>
          <w:rFonts w:eastAsia="MS Minngs"/>
          <w:bCs/>
        </w:rPr>
        <w:t>лв</w:t>
      </w:r>
      <w:r w:rsidR="00FA0A8E">
        <w:rPr>
          <w:rFonts w:eastAsia="MS Minngs"/>
          <w:bCs/>
        </w:rPr>
        <w:t>.</w:t>
      </w:r>
      <w:r w:rsidRPr="00BC5FC4">
        <w:rPr>
          <w:rFonts w:eastAsia="MS Minngs"/>
          <w:bCs/>
        </w:rPr>
        <w:t>, одобрени с Решение на Управителния съвет на ДФЗ /Протокол № 206 от 13.01.2023/. Изплатените средства към 30.09.2023 г. са 0,4 млн. лв.</w:t>
      </w:r>
    </w:p>
    <w:p w:rsidR="00BC5FC4" w:rsidRPr="00BC5FC4" w:rsidRDefault="00BC5FC4" w:rsidP="00BC5FC4">
      <w:pPr>
        <w:numPr>
          <w:ilvl w:val="0"/>
          <w:numId w:val="36"/>
        </w:numPr>
        <w:tabs>
          <w:tab w:val="left" w:pos="993"/>
        </w:tabs>
        <w:ind w:left="0" w:firstLine="709"/>
        <w:contextualSpacing/>
        <w:jc w:val="both"/>
        <w:rPr>
          <w:rFonts w:eastAsia="MS Minngs"/>
          <w:bCs/>
        </w:rPr>
      </w:pPr>
      <w:r w:rsidRPr="00BC5FC4">
        <w:rPr>
          <w:rFonts w:eastAsia="MS Minngs"/>
          <w:bCs/>
        </w:rPr>
        <w:t xml:space="preserve">„Помощ в подкрепа на ликвидността на земеделски стопани за преодоляване на негативното икономическо въздействие на руската агресия срещу Украйна“ за 2023 г. </w:t>
      </w:r>
      <w:r w:rsidR="00BE6021" w:rsidRPr="00BE6021">
        <w:rPr>
          <w:rFonts w:eastAsia="MS Minngs"/>
          <w:bCs/>
        </w:rPr>
        <w:t>–</w:t>
      </w:r>
      <w:r w:rsidRPr="00BC5FC4">
        <w:rPr>
          <w:rFonts w:eastAsia="MS Minngs"/>
          <w:bCs/>
        </w:rPr>
        <w:t xml:space="preserve"> 426</w:t>
      </w:r>
      <w:r w:rsidR="00BE6021">
        <w:rPr>
          <w:rFonts w:eastAsia="MS Minngs"/>
          <w:bCs/>
          <w:lang w:val="en-US"/>
        </w:rPr>
        <w:t>,0</w:t>
      </w:r>
      <w:r w:rsidR="00BE6021" w:rsidRPr="00BE6021">
        <w:rPr>
          <w:rFonts w:eastAsia="MS Minngs"/>
          <w:bCs/>
          <w:lang w:val="en-US"/>
        </w:rPr>
        <w:t> </w:t>
      </w:r>
      <w:r w:rsidR="00BE6021" w:rsidRPr="00BC5FC4">
        <w:rPr>
          <w:rFonts w:eastAsia="MS Minngs"/>
          <w:bCs/>
        </w:rPr>
        <w:t>млн. лв</w:t>
      </w:r>
      <w:r w:rsidRPr="00BC5FC4">
        <w:rPr>
          <w:rFonts w:eastAsia="MS Minngs"/>
          <w:bCs/>
        </w:rPr>
        <w:t>., одобрени с РМС 173 от 09.03.2023 г., ПМС 108 от 09.08.2023 г. и Решение на Управителния съвет на ДФЗ /Протокол № 209 от 27.03.2023 г./, ПМС 125 от 31.08.2023 г., ПМС 155 от 20.09.2023 г. и Решение на Управителния съвет на ДФЗ /Протокол № 218 от 26.09.2023</w:t>
      </w:r>
      <w:r w:rsidR="00062A61">
        <w:rPr>
          <w:rFonts w:eastAsia="MS Minngs"/>
          <w:bCs/>
        </w:rPr>
        <w:t> </w:t>
      </w:r>
      <w:r w:rsidRPr="00BC5FC4">
        <w:rPr>
          <w:rFonts w:eastAsia="MS Minngs"/>
          <w:bCs/>
        </w:rPr>
        <w:t>г./. Изплатените средства към 30.09.2023 г. са 380,9 млн. лв.</w:t>
      </w:r>
    </w:p>
    <w:p w:rsidR="00BC5FC4" w:rsidRPr="00BC5FC4" w:rsidRDefault="00BC5FC4" w:rsidP="00187AC9">
      <w:pPr>
        <w:spacing w:before="120" w:after="240"/>
        <w:jc w:val="both"/>
        <w:rPr>
          <w:b/>
          <w:i/>
          <w:lang w:eastAsia="bg-BG"/>
        </w:rPr>
      </w:pPr>
      <w:r w:rsidRPr="00BC5FC4">
        <w:rPr>
          <w:b/>
          <w:i/>
          <w:lang w:eastAsia="bg-BG"/>
        </w:rPr>
        <w:t xml:space="preserve">За извънредно временно подпомагане за малки и средни предприятия, засегнати от последиците от руското нашествие в Украйна- </w:t>
      </w:r>
      <w:r w:rsidRPr="00BC5FC4">
        <w:rPr>
          <w:lang w:eastAsia="bg-BG"/>
        </w:rPr>
        <w:t xml:space="preserve">В изпълнение на </w:t>
      </w:r>
      <w:r w:rsidRPr="00BC5FC4">
        <w:rPr>
          <w:color w:val="000000"/>
          <w:lang w:eastAsia="bg-BG"/>
        </w:rPr>
        <w:t>Наредба № 2 от 28.02.2023г. на Министерство на земеделието и храните, за прилагане на чл. 39в от Регламент (ЕС) № 1305/2013 г. са изплатени 3,1 млн. лв. за сметка на средствата от Европейския съюз на Държавния фонд „Земеделие“</w:t>
      </w:r>
    </w:p>
    <w:p w:rsidR="00BC5FC4" w:rsidRPr="00BC5FC4" w:rsidRDefault="00BC5FC4" w:rsidP="00187AC9">
      <w:pPr>
        <w:tabs>
          <w:tab w:val="left" w:pos="993"/>
        </w:tabs>
        <w:jc w:val="both"/>
      </w:pPr>
      <w:r w:rsidRPr="00BC5FC4">
        <w:rPr>
          <w:b/>
          <w:i/>
        </w:rPr>
        <w:t>В областта на социалната закрила</w:t>
      </w:r>
      <w:r w:rsidRPr="00BC5FC4">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w:t>
      </w:r>
    </w:p>
    <w:p w:rsidR="00BC5FC4" w:rsidRPr="00BC5FC4" w:rsidRDefault="00BC5FC4" w:rsidP="008A10A4">
      <w:pPr>
        <w:spacing w:before="120"/>
        <w:jc w:val="both"/>
      </w:pPr>
      <w:r w:rsidRPr="00BC5FC4">
        <w:t xml:space="preserve">Към 30.09.2023 г. Министерството на труда и социалната политика отчита разходи в размер на 1,5 млн. лв. на сметка на бюджета и 10,6 млн. лв. средства от ЕС. За периода 01.01.2023 г. до 30.09.2023 г. са отчетени общо 1,5 млн.  лв. социални разходи за отпуснати еднократни помощи </w:t>
      </w:r>
      <w:r w:rsidRPr="00BC5FC4">
        <w:rPr>
          <w:bCs/>
        </w:rPr>
        <w:t xml:space="preserve">по реда на чл. 16 от Правилника за прилагане на Закона за социално подпомагане (ППЗСП) </w:t>
      </w:r>
      <w:r w:rsidRPr="00BC5FC4">
        <w:t>на разселени от Украйна лица с предоставена временна закрила, до петкратния размер на гарантирания минимален доход (375 лв.). За отчетния период са изплатени еднократни помощи на 3 760 лица с предоставена временна закрила.</w:t>
      </w:r>
    </w:p>
    <w:p w:rsidR="00BC5FC4" w:rsidRPr="00BC5FC4" w:rsidRDefault="00BC5FC4" w:rsidP="009474E7">
      <w:pPr>
        <w:spacing w:before="120"/>
        <w:jc w:val="both"/>
      </w:pPr>
      <w:r w:rsidRPr="00BC5FC4">
        <w:t>Отчетените средства в размер на 3 945 521 лв. за социални разходи за ваучери с номинал 100 лв. по операция BG05FMOP001-6.001 – „Предоставяне на ваучери за осигуряване на храни и стоки от първа необходимост за разселени лица от Украйна“ по Оперативна програма храни и/или основно материално подпомагане от Фонд за подпомагане на най-нуждаещите се лица с финансиране по линията на REACT-EU. За периода от 01.01.2023 г. до 30.09.2023 г. са реализирани общо 39 455 ваучера.</w:t>
      </w:r>
    </w:p>
    <w:p w:rsidR="00BC5FC4" w:rsidRPr="00BC5FC4" w:rsidRDefault="00BC5FC4" w:rsidP="008A10A4">
      <w:pPr>
        <w:spacing w:before="120"/>
        <w:jc w:val="both"/>
        <w:rPr>
          <w:lang w:eastAsia="bg-BG"/>
        </w:rPr>
      </w:pPr>
      <w:r w:rsidRPr="00BC5FC4">
        <w:rPr>
          <w:lang w:eastAsia="bg-BG"/>
        </w:rPr>
        <w:t>Проект „Солидарност“ -  изплатените средства за предоставени субсидии в размер на 6 567</w:t>
      </w:r>
      <w:r w:rsidR="009474E7">
        <w:rPr>
          <w:lang w:eastAsia="bg-BG"/>
        </w:rPr>
        <w:t> </w:t>
      </w:r>
      <w:r w:rsidRPr="00BC5FC4">
        <w:rPr>
          <w:lang w:eastAsia="bg-BG"/>
        </w:rPr>
        <w:t>212</w:t>
      </w:r>
      <w:r w:rsidR="009474E7">
        <w:rPr>
          <w:lang w:eastAsia="bg-BG"/>
        </w:rPr>
        <w:t> </w:t>
      </w:r>
      <w:r w:rsidRPr="00BC5FC4">
        <w:rPr>
          <w:lang w:eastAsia="bg-BG"/>
        </w:rPr>
        <w:t>лв. включват минимална помощ по смисъла на Регламент(ЕС) № 1407/2013 г. и интеграционна добавка за настаняване на лица, украински граждани.</w:t>
      </w:r>
      <w:r w:rsidR="008A10A4">
        <w:rPr>
          <w:lang w:eastAsia="bg-BG"/>
        </w:rPr>
        <w:t xml:space="preserve"> </w:t>
      </w:r>
      <w:r w:rsidRPr="00BC5FC4">
        <w:rPr>
          <w:lang w:eastAsia="bg-BG"/>
        </w:rPr>
        <w:t>Възнагражденията на 6 054 украински граждани възлизат на стойност 4 491 826 лв. От интеграционната добавка в размер на 1 597 872 лв. са се възползвали 4 025 украински граждани. Възнагражденията на 1 179 ментори са в размер на 477 514 лв. За периода от 01.01.2023 г. до 30.09.2023 г. по проект „Солидарност” са постъпили 1 510 броя заявления от работодатели за разкриване на 11 155 работни места. Подписани са общо 934 броя договори за осигуряване на заетост по проекта на обща стойност 15 448 923 лв. за разкриване на 8 199 работни места. Активните договори към 30.09.2023 г. са 172 бр. на обща стойност 3 122 975 лв. за 1 035 работни места, а прекратени и приключили са 762 договора на стойност 12 325 948 лв.</w:t>
      </w:r>
    </w:p>
    <w:p w:rsidR="00BC5FC4" w:rsidRPr="00BC5FC4" w:rsidRDefault="00BC5FC4" w:rsidP="009474E7">
      <w:pPr>
        <w:tabs>
          <w:tab w:val="left" w:pos="720"/>
        </w:tabs>
        <w:spacing w:before="120"/>
        <w:jc w:val="both"/>
        <w:rPr>
          <w:lang w:eastAsia="bg-BG"/>
        </w:rPr>
      </w:pPr>
      <w:r w:rsidRPr="00BC5FC4">
        <w:rPr>
          <w:lang w:eastAsia="bg-BG"/>
        </w:rPr>
        <w:t>Най-много работни места са заявени в секторите: „Хотелиерство и ресторантьорство“, „Транспорт, складиране и пощи“, „Търговия на дребно, без търговия на автомобили и мотоциклети“.</w:t>
      </w:r>
    </w:p>
    <w:p w:rsidR="00461390" w:rsidRPr="00431223" w:rsidRDefault="00F731D7" w:rsidP="00F731D7">
      <w:pPr>
        <w:pStyle w:val="Heading1"/>
        <w:spacing w:before="360"/>
        <w:ind w:left="142" w:right="-108"/>
        <w:jc w:val="both"/>
        <w:rPr>
          <w:sz w:val="24"/>
        </w:rPr>
      </w:pPr>
      <w:r w:rsidRPr="00431223">
        <w:rPr>
          <w:sz w:val="24"/>
        </w:rPr>
        <w:t>Мерки в частта</w:t>
      </w:r>
      <w:r w:rsidR="00F36605" w:rsidRPr="00431223">
        <w:rPr>
          <w:sz w:val="24"/>
        </w:rPr>
        <w:t xml:space="preserve"> на приходите</w:t>
      </w:r>
      <w:r w:rsidRPr="00431223">
        <w:rPr>
          <w:sz w:val="24"/>
        </w:rPr>
        <w:t xml:space="preserve"> относно</w:t>
      </w:r>
      <w:r w:rsidRPr="00431223">
        <w:t xml:space="preserve"> </w:t>
      </w:r>
      <w:r w:rsidRPr="00431223">
        <w:rPr>
          <w:sz w:val="24"/>
        </w:rPr>
        <w:t>социално-икономическите последици, свързани с енергийната криза и инфлационния натиск и и</w:t>
      </w:r>
      <w:r w:rsidR="00461390" w:rsidRPr="00431223">
        <w:rPr>
          <w:sz w:val="24"/>
        </w:rPr>
        <w:t xml:space="preserve">нформация за разходите по програмите за компенсиране на разходите на небитови крайни клиенти за електрическа енергия и на операторите на електропреносната и електроразпределителните мрежи за закупуване на количества електрическа енергия, </w:t>
      </w:r>
      <w:proofErr w:type="spellStart"/>
      <w:r w:rsidR="00461390" w:rsidRPr="00431223">
        <w:rPr>
          <w:sz w:val="24"/>
        </w:rPr>
        <w:t>потребена</w:t>
      </w:r>
      <w:proofErr w:type="spellEnd"/>
      <w:r w:rsidR="00461390" w:rsidRPr="00431223">
        <w:rPr>
          <w:sz w:val="24"/>
        </w:rPr>
        <w:t xml:space="preserve"> за технологични разходи</w:t>
      </w:r>
      <w:r w:rsidRPr="00431223">
        <w:rPr>
          <w:sz w:val="24"/>
          <w:lang w:val="en-US"/>
        </w:rPr>
        <w:t xml:space="preserve"> </w:t>
      </w:r>
      <w:r w:rsidRPr="00431223">
        <w:rPr>
          <w:sz w:val="24"/>
        </w:rPr>
        <w:t xml:space="preserve"> </w:t>
      </w:r>
    </w:p>
    <w:p w:rsidR="009557AE" w:rsidRPr="009557AE" w:rsidRDefault="009557AE" w:rsidP="009557AE">
      <w:pPr>
        <w:spacing w:before="120"/>
        <w:jc w:val="both"/>
      </w:pPr>
      <w:bookmarkStart w:id="2" w:name="_Toc109903429"/>
      <w:bookmarkStart w:id="3" w:name="_Toc109903430"/>
      <w:r w:rsidRPr="009557AE">
        <w:t>Някои от приетите със Закона за изменение и допълнение на ЗДБРБ за 2022 г. мерки за смекчаване на инфлационния натиск, като нулева ставка на ДДС за доставките на хляб и брашно, запазват действието си в срок до 31.12.2023 г., докато при мярката, свързана с освобождаване от акциз на електроенергия, природен газ и втечнен нефтен газ (LPG), срокът на действие е съкратен от 30.06.2025 г. на 31.07.2023 година.</w:t>
      </w:r>
    </w:p>
    <w:p w:rsidR="009557AE" w:rsidRPr="009557AE" w:rsidRDefault="009557AE" w:rsidP="009557AE">
      <w:pPr>
        <w:spacing w:before="120"/>
        <w:jc w:val="both"/>
      </w:pPr>
      <w:r w:rsidRPr="009557AE">
        <w:t>От началото на тази година се повиши и прагът за регистрация по ЗДДС, като тази мярка е оценена на 110,0 млн. лв. по-малко данъчни приходи.</w:t>
      </w:r>
    </w:p>
    <w:p w:rsidR="00F731D7" w:rsidRPr="009557AE" w:rsidRDefault="009557AE" w:rsidP="00F731D7">
      <w:pPr>
        <w:spacing w:before="120"/>
        <w:jc w:val="both"/>
      </w:pPr>
      <w:r w:rsidRPr="009557AE">
        <w:t>През 2023 г. продължава действието на въведената временна солидарна вноска, която следва да се внася за генерираните свръхпечалби от дружествата и местата на стопанска дейност от Съюза, извършващи дейност в отраслите на суровия нефт, природния газ, въглищата и нефтопреработването. Мярката е регламентирана в ЗКПО (§ 9 от ПРЗ на ЗКПО в сила от 8.10.2022</w:t>
      </w:r>
      <w:r w:rsidR="00D96D76">
        <w:t> </w:t>
      </w:r>
      <w:r w:rsidRPr="009557AE">
        <w:t>г. – ДВ, бр. 99 от 2022 г.). Вноската се определя и внася за данъчните печалби за 2022 г. и за 2023</w:t>
      </w:r>
      <w:r w:rsidR="00D96D76">
        <w:t> </w:t>
      </w:r>
      <w:r w:rsidRPr="009557AE">
        <w:t>година. С приетите промени (ДВ, бр. 86 от 2023 г., в сила от 13.10.2023 г.), ставката на тази вноска е повишена от 33 на 50 на сто върху основата за определяне на временната солидарна вноска.</w:t>
      </w:r>
    </w:p>
    <w:p w:rsidR="00791EE4" w:rsidRPr="00DB2DF8" w:rsidRDefault="00791EE4" w:rsidP="00791EE4">
      <w:pPr>
        <w:spacing w:before="120"/>
        <w:jc w:val="both"/>
      </w:pPr>
      <w:r w:rsidRPr="00791EE4">
        <w:t>Към 30.09.2023 г. приходите във фонд „Сигурност на електроенергийната система“ от целевите вноски по § 8, ал. 1, 3, 4 и 5 от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 г. и Закона за бюджета на Националната здравноосигурителна каса за 2022</w:t>
      </w:r>
      <w:r w:rsidRPr="00791EE4">
        <w:rPr>
          <w:lang w:val="en-US"/>
        </w:rPr>
        <w:t> </w:t>
      </w:r>
      <w:r w:rsidRPr="00791EE4">
        <w:t>г. (от 01.12.2022</w:t>
      </w:r>
      <w:r w:rsidR="00E2604C">
        <w:t> </w:t>
      </w:r>
      <w:r w:rsidRPr="00791EE4">
        <w:t xml:space="preserve">г. до 30.06.2023 г.) и по § 3, ал. 1, 3, 4 и 5 от ПЗР на ЗДБРБ за 2023 г. (от 01.07.2023 г. до 31.12.2023 г.) предназначени за покриване на разходи по одобрени от МС програми за компенсиране високите цени на енергията са в размер </w:t>
      </w:r>
      <w:r w:rsidRPr="00DB2DF8">
        <w:t xml:space="preserve">на  802,8 млн. лв. </w:t>
      </w:r>
    </w:p>
    <w:p w:rsidR="00FE6F3D" w:rsidRPr="00791EE4" w:rsidRDefault="00791EE4" w:rsidP="00791EE4">
      <w:pPr>
        <w:jc w:val="both"/>
      </w:pPr>
      <w:r w:rsidRPr="00DB2DF8">
        <w:t>Към 30.09.2023 г. фонд „Сигурност на електроенергийната система“ отчита разходи за субсидии в размер на 575,3 млн. лв. за компенсиране разходите на небитовите</w:t>
      </w:r>
      <w:r w:rsidRPr="00791EE4">
        <w:t xml:space="preserve"> крайни клиенти за електрическа енергия и на операторите на електропреносната и на електроразпределителните мрежи за закупуване на количествата електрическа енергия, </w:t>
      </w:r>
      <w:proofErr w:type="spellStart"/>
      <w:r w:rsidRPr="00791EE4">
        <w:t>потребена</w:t>
      </w:r>
      <w:proofErr w:type="spellEnd"/>
      <w:r w:rsidRPr="00791EE4">
        <w:t xml:space="preserve"> за технологични разходи, от които 355,6 млн. лв. по РМС № 534 и РМС № 710 от 2022 г. и 219,7 </w:t>
      </w:r>
      <w:r>
        <w:t>млн. лв. по РМС № 104 от 2023 година.</w:t>
      </w:r>
    </w:p>
    <w:p w:rsidR="00B019A1" w:rsidRPr="00502EA5" w:rsidRDefault="00B019A1" w:rsidP="00F171F9">
      <w:pPr>
        <w:pStyle w:val="Heading1"/>
        <w:spacing w:before="360"/>
        <w:ind w:left="142" w:right="-108"/>
        <w:jc w:val="both"/>
        <w:rPr>
          <w:sz w:val="24"/>
        </w:rPr>
      </w:pPr>
      <w:r w:rsidRPr="00502EA5">
        <w:rPr>
          <w:sz w:val="24"/>
        </w:rPr>
        <w:t xml:space="preserve">Информация за ефектите в приходите и разходите от мерките за борба с COVID-19 и преодоляване на социално-икономическите последствия </w:t>
      </w:r>
      <w:bookmarkEnd w:id="2"/>
      <w:r w:rsidR="00F171F9" w:rsidRPr="00502EA5">
        <w:rPr>
          <w:sz w:val="24"/>
        </w:rPr>
        <w:t>от пандемията</w:t>
      </w:r>
    </w:p>
    <w:p w:rsidR="00B019A1" w:rsidRPr="00FE23B0" w:rsidRDefault="00B019A1" w:rsidP="00B019A1">
      <w:pPr>
        <w:rPr>
          <w:color w:val="0070C0"/>
          <w:sz w:val="12"/>
          <w:szCs w:val="12"/>
          <w:lang w:eastAsia="bg-BG"/>
        </w:rPr>
      </w:pPr>
    </w:p>
    <w:p w:rsidR="00A86452" w:rsidRPr="00324C8C" w:rsidRDefault="00A86452" w:rsidP="002B5227">
      <w:pPr>
        <w:spacing w:before="120" w:after="120"/>
        <w:ind w:right="-45"/>
        <w:jc w:val="both"/>
        <w:rPr>
          <w:b/>
          <w:i/>
          <w:lang w:eastAsia="bg-BG"/>
        </w:rPr>
      </w:pPr>
      <w:r w:rsidRPr="00324C8C">
        <w:rPr>
          <w:b/>
          <w:i/>
          <w:lang w:eastAsia="bg-BG"/>
        </w:rPr>
        <w:t xml:space="preserve">Мерки в частта на приходите           </w:t>
      </w:r>
    </w:p>
    <w:p w:rsidR="00865D8C" w:rsidRPr="00865D8C" w:rsidRDefault="00865D8C" w:rsidP="00865D8C">
      <w:pPr>
        <w:spacing w:after="120"/>
        <w:ind w:right="-43"/>
        <w:jc w:val="both"/>
        <w:rPr>
          <w:lang w:eastAsia="bg-BG"/>
        </w:rPr>
      </w:pPr>
      <w:r w:rsidRPr="00865D8C">
        <w:rPr>
          <w:lang w:eastAsia="bg-BG"/>
        </w:rPr>
        <w:t>Приетите през предходните години мерки, свързани с прилагане на намалена ставка за ДДС на определени стоки и услуги от 20 % на 9 %, и увеличаване на размера на данъчните облекчения за деца (чл. 22в и чл. 22г от ЗДДФЛ) се прилагат и през 2023 г. Срокът на действие на намалената ставка за доставки на ресторантьорски и кетъринг услуги, за доставки на обща туристическа услуга и за доставка на услуга за използване на спортни съоръжения е удължен до края на 2023 година. От 1 януари 2023 г. намалените данъчни ставки на ДДС в размер на 9 % за доставка на книги, на храна, подходяща за бебета или за малки деца и на бебешките пелени и подобни хигиенни артикули са променени на мерки с постоянен характер. Намалената ставка на ДДС от 9</w:t>
      </w:r>
      <w:r>
        <w:rPr>
          <w:lang w:eastAsia="bg-BG"/>
        </w:rPr>
        <w:t> </w:t>
      </w:r>
      <w:r w:rsidRPr="00865D8C">
        <w:rPr>
          <w:lang w:eastAsia="bg-BG"/>
        </w:rPr>
        <w:t xml:space="preserve">% за доставките на природен газ и централно отопление се прилагаше до края на месец юни 2023 г. </w:t>
      </w:r>
    </w:p>
    <w:p w:rsidR="00136893" w:rsidRPr="00865D8C" w:rsidRDefault="00865D8C" w:rsidP="00865D8C">
      <w:pPr>
        <w:spacing w:after="120"/>
        <w:ind w:right="-43"/>
        <w:jc w:val="both"/>
        <w:rPr>
          <w:lang w:eastAsia="bg-BG"/>
        </w:rPr>
      </w:pPr>
      <w:r w:rsidRPr="00865D8C">
        <w:rPr>
          <w:lang w:eastAsia="bg-BG"/>
        </w:rPr>
        <w:t xml:space="preserve">Извън мерките, целящи преодоляване на последствията от пандемията и енергийната криза, в сила от 1.03.2023 г. е въведен акцизен календар за поетапно увеличаване на ставките на тютюна и тютюневите изделия за период от четири години. С измененията в ЗАДС (съгласно т.2 на § 31 от ПЗР на ЗИД на ДОПК, изм., </w:t>
      </w:r>
      <w:proofErr w:type="spellStart"/>
      <w:r w:rsidRPr="00865D8C">
        <w:rPr>
          <w:lang w:eastAsia="bg-BG"/>
        </w:rPr>
        <w:t>обн</w:t>
      </w:r>
      <w:proofErr w:type="spellEnd"/>
      <w:r w:rsidRPr="00865D8C">
        <w:rPr>
          <w:lang w:eastAsia="bg-BG"/>
        </w:rPr>
        <w:t xml:space="preserve">. ДВ, бр. 100 от 2022 г., в сила от 1.03.2023 г.) е въведена и дефиниция за „течност за електронна цигара, съдържаща никотин", като същата става част от тютюневите изделия (нов чл. 12б от ЗАДС). </w:t>
      </w:r>
      <w:r w:rsidRPr="00865D8C">
        <w:t>Приета е нова разпоредба в ЗАДС (Изм. – ДВ, бр. 66 от 2023 г., в сила от 1.08.2023 г.) за включване на течностите за електронни цигари, независимо дали съдържа никотин, и заместителите на тютюна, съдържащи никотин, в обхвата на акцизните стоки.</w:t>
      </w:r>
      <w:r w:rsidRPr="00865D8C">
        <w:rPr>
          <w:b/>
          <w:i/>
        </w:rPr>
        <w:t xml:space="preserve"> </w:t>
      </w:r>
      <w:r w:rsidRPr="00865D8C">
        <w:t xml:space="preserve">В сила от 1.08.2023 г. е въведен акцизен календар за поетапно увеличаване на ставките на </w:t>
      </w:r>
      <w:proofErr w:type="spellStart"/>
      <w:r w:rsidRPr="00865D8C">
        <w:t>нововъведените</w:t>
      </w:r>
      <w:proofErr w:type="spellEnd"/>
      <w:r w:rsidRPr="00865D8C">
        <w:t xml:space="preserve"> акцизни стоки</w:t>
      </w:r>
      <w:r w:rsidR="00136893" w:rsidRPr="00865D8C">
        <w:rPr>
          <w:lang w:eastAsia="bg-BG"/>
        </w:rPr>
        <w:t>.</w:t>
      </w:r>
    </w:p>
    <w:bookmarkEnd w:id="3"/>
    <w:p w:rsidR="00502EA5" w:rsidRPr="00956351" w:rsidRDefault="00502EA5" w:rsidP="00502EA5">
      <w:pPr>
        <w:spacing w:before="240" w:after="120"/>
        <w:ind w:right="-45"/>
        <w:jc w:val="both"/>
        <w:rPr>
          <w:b/>
          <w:i/>
          <w:lang w:val="ru-RU" w:eastAsia="bg-BG"/>
        </w:rPr>
      </w:pPr>
      <w:r w:rsidRPr="00956351">
        <w:rPr>
          <w:b/>
          <w:i/>
          <w:lang w:eastAsia="bg-BG"/>
        </w:rPr>
        <w:t>Мерки в частта на разходите</w:t>
      </w:r>
    </w:p>
    <w:p w:rsidR="00502EA5" w:rsidRPr="00F67BF8" w:rsidRDefault="00502EA5" w:rsidP="00502EA5">
      <w:pPr>
        <w:spacing w:before="120" w:after="120"/>
        <w:jc w:val="both"/>
        <w:rPr>
          <w:lang w:eastAsia="bg-BG"/>
        </w:rPr>
      </w:pPr>
      <w:r>
        <w:rPr>
          <w:lang w:eastAsia="bg-BG"/>
        </w:rPr>
        <w:t>В касовите отчети на първостепенните разпоредители с бюджет</w:t>
      </w:r>
      <w:r w:rsidRPr="00F67BF8">
        <w:rPr>
          <w:lang w:eastAsia="bg-BG"/>
        </w:rPr>
        <w:t xml:space="preserve"> и общините</w:t>
      </w:r>
      <w:r w:rsidR="003E1207">
        <w:rPr>
          <w:lang w:eastAsia="bg-BG"/>
        </w:rPr>
        <w:t xml:space="preserve"> по линия на националния бюджет</w:t>
      </w:r>
      <w:r w:rsidRPr="00F67BF8">
        <w:rPr>
          <w:lang w:eastAsia="bg-BG"/>
        </w:rPr>
        <w:t xml:space="preserve"> към 30.09.2023 г. са отчетени </w:t>
      </w:r>
      <w:r w:rsidRPr="00F67BF8">
        <w:rPr>
          <w:b/>
          <w:lang w:val="ru-RU" w:eastAsia="bg-BG"/>
        </w:rPr>
        <w:t>161</w:t>
      </w:r>
      <w:r w:rsidRPr="00F67BF8">
        <w:rPr>
          <w:b/>
          <w:lang w:eastAsia="bg-BG"/>
        </w:rPr>
        <w:t>,6 млн. лв.</w:t>
      </w:r>
      <w:r>
        <w:rPr>
          <w:lang w:eastAsia="bg-BG"/>
        </w:rPr>
        <w:t xml:space="preserve"> разходи за мерки</w:t>
      </w:r>
      <w:r w:rsidRPr="00F67BF8">
        <w:rPr>
          <w:lang w:eastAsia="bg-BG"/>
        </w:rPr>
        <w:t xml:space="preserve"> за борба с COVID-19 и преодоляване на социално-икономическите последствия от пандемията. </w:t>
      </w:r>
    </w:p>
    <w:p w:rsidR="00502EA5" w:rsidRPr="00F67BF8" w:rsidRDefault="00502EA5" w:rsidP="00502EA5">
      <w:pPr>
        <w:spacing w:after="120"/>
        <w:jc w:val="both"/>
        <w:rPr>
          <w:b/>
          <w:lang w:eastAsia="bg-BG"/>
        </w:rPr>
      </w:pPr>
      <w:r w:rsidRPr="00F67BF8">
        <w:rPr>
          <w:lang w:eastAsia="bg-BG"/>
        </w:rPr>
        <w:t xml:space="preserve">В частта на </w:t>
      </w:r>
      <w:r w:rsidRPr="00F67BF8">
        <w:rPr>
          <w:b/>
          <w:lang w:eastAsia="bg-BG"/>
        </w:rPr>
        <w:t>мерките за подкрепа на домакинствата</w:t>
      </w:r>
      <w:r w:rsidRPr="00F67BF8">
        <w:rPr>
          <w:lang w:eastAsia="bg-BG"/>
        </w:rPr>
        <w:t xml:space="preserve"> са изразходвани </w:t>
      </w:r>
      <w:r w:rsidRPr="00F67BF8">
        <w:rPr>
          <w:b/>
          <w:lang w:eastAsia="bg-BG"/>
        </w:rPr>
        <w:t>136,</w:t>
      </w:r>
      <w:r w:rsidRPr="00F67BF8">
        <w:rPr>
          <w:b/>
          <w:lang w:val="ru-RU" w:eastAsia="bg-BG"/>
        </w:rPr>
        <w:t>3</w:t>
      </w:r>
      <w:r w:rsidRPr="00F67BF8">
        <w:rPr>
          <w:b/>
          <w:lang w:eastAsia="bg-BG"/>
        </w:rPr>
        <w:t xml:space="preserve"> млн. лв. </w:t>
      </w:r>
      <w:r w:rsidR="003E1207">
        <w:rPr>
          <w:lang w:eastAsia="bg-BG"/>
        </w:rPr>
        <w:t>от</w:t>
      </w:r>
      <w:r w:rsidRPr="00F67BF8">
        <w:rPr>
          <w:lang w:eastAsia="bg-BG"/>
        </w:rPr>
        <w:t xml:space="preserve"> националния бюджет.</w:t>
      </w:r>
      <w:r>
        <w:rPr>
          <w:lang w:eastAsia="bg-BG"/>
        </w:rPr>
        <w:t xml:space="preserve"> </w:t>
      </w:r>
      <w:r w:rsidRPr="007D53E7">
        <w:rPr>
          <w:color w:val="000000" w:themeColor="text1"/>
        </w:rPr>
        <w:t xml:space="preserve">С най-голям дял са отчетените разходи от </w:t>
      </w:r>
      <w:r w:rsidRPr="007D53E7">
        <w:rPr>
          <w:rFonts w:eastAsia="Calibri"/>
          <w:color w:val="000000"/>
        </w:rPr>
        <w:t>Мини</w:t>
      </w:r>
      <w:r>
        <w:rPr>
          <w:rFonts w:eastAsia="Calibri"/>
          <w:color w:val="000000"/>
        </w:rPr>
        <w:t xml:space="preserve">стерството на здравеопазването </w:t>
      </w:r>
      <w:r w:rsidRPr="007D53E7">
        <w:t xml:space="preserve"> в размер на 133,1 млн. лв. за закупуване на ваксини и лекарствени продукти (</w:t>
      </w:r>
      <w:proofErr w:type="spellStart"/>
      <w:r w:rsidRPr="007D53E7">
        <w:t>Veklury</w:t>
      </w:r>
      <w:proofErr w:type="spellEnd"/>
      <w:r w:rsidRPr="007D53E7">
        <w:t xml:space="preserve"> (</w:t>
      </w:r>
      <w:proofErr w:type="spellStart"/>
      <w:r w:rsidRPr="007D53E7">
        <w:t>Ремдесивир</w:t>
      </w:r>
      <w:proofErr w:type="spellEnd"/>
      <w:r w:rsidRPr="007D53E7">
        <w:t xml:space="preserve">), </w:t>
      </w:r>
      <w:proofErr w:type="spellStart"/>
      <w:r w:rsidRPr="007D53E7">
        <w:t>Regkirona</w:t>
      </w:r>
      <w:proofErr w:type="spellEnd"/>
      <w:r w:rsidRPr="007D53E7">
        <w:t xml:space="preserve"> 60mg/ml, </w:t>
      </w:r>
      <w:proofErr w:type="spellStart"/>
      <w:r w:rsidRPr="007D53E7">
        <w:t>Kineret</w:t>
      </w:r>
      <w:proofErr w:type="spellEnd"/>
      <w:r w:rsidRPr="007D53E7">
        <w:t xml:space="preserve"> </w:t>
      </w:r>
      <w:r>
        <w:t>(</w:t>
      </w:r>
      <w:proofErr w:type="spellStart"/>
      <w:r>
        <w:t>Кинерет</w:t>
      </w:r>
      <w:proofErr w:type="spellEnd"/>
      <w:r>
        <w:t xml:space="preserve">), </w:t>
      </w:r>
      <w:proofErr w:type="spellStart"/>
      <w:r>
        <w:t>Molnupiravir</w:t>
      </w:r>
      <w:proofErr w:type="spellEnd"/>
      <w:r>
        <w:t xml:space="preserve"> и др.).</w:t>
      </w:r>
    </w:p>
    <w:p w:rsidR="00502EA5" w:rsidRPr="00F67BF8" w:rsidRDefault="00502EA5" w:rsidP="00502EA5">
      <w:pPr>
        <w:jc w:val="both"/>
      </w:pPr>
      <w:r w:rsidRPr="00F67BF8">
        <w:t xml:space="preserve">През деветмесечието на 2023 г. не са изразходвани средства за </w:t>
      </w:r>
      <w:r w:rsidRPr="00F67BF8">
        <w:rPr>
          <w:b/>
        </w:rPr>
        <w:t>мерки в подкрепа на бизнеса.</w:t>
      </w:r>
    </w:p>
    <w:p w:rsidR="00502EA5" w:rsidRPr="00596DFD" w:rsidRDefault="00502EA5" w:rsidP="00502EA5">
      <w:pPr>
        <w:jc w:val="both"/>
        <w:rPr>
          <w:color w:val="365F91" w:themeColor="accent1" w:themeShade="BF"/>
          <w:sz w:val="8"/>
          <w:szCs w:val="8"/>
          <w:lang w:val="ru-RU"/>
        </w:rPr>
      </w:pPr>
    </w:p>
    <w:p w:rsidR="00502EA5" w:rsidRPr="00596DFD" w:rsidRDefault="00502EA5" w:rsidP="00502EA5">
      <w:pPr>
        <w:jc w:val="both"/>
        <w:rPr>
          <w:color w:val="365F91" w:themeColor="accent1" w:themeShade="BF"/>
        </w:rPr>
      </w:pPr>
      <w:r w:rsidRPr="00F67BF8">
        <w:rPr>
          <w:b/>
          <w:lang w:eastAsia="bg-BG"/>
        </w:rPr>
        <w:t>За</w:t>
      </w:r>
      <w:r w:rsidRPr="00F67BF8">
        <w:rPr>
          <w:lang w:eastAsia="bg-BG"/>
        </w:rPr>
        <w:t xml:space="preserve"> </w:t>
      </w:r>
      <w:r w:rsidRPr="00F67BF8">
        <w:rPr>
          <w:b/>
          <w:lang w:eastAsia="bg-BG"/>
        </w:rPr>
        <w:t>мерки за органите на държавното управление, натоварени с дейности по овладяване на пандемията и последствията от COVID-19</w:t>
      </w:r>
      <w:r>
        <w:rPr>
          <w:lang w:eastAsia="bg-BG"/>
        </w:rPr>
        <w:t xml:space="preserve"> от националния</w:t>
      </w:r>
      <w:r w:rsidRPr="00F67BF8">
        <w:rPr>
          <w:lang w:eastAsia="bg-BG"/>
        </w:rPr>
        <w:t xml:space="preserve"> бюджет за деветте месеца на 2023</w:t>
      </w:r>
      <w:r w:rsidR="003E1207">
        <w:rPr>
          <w:lang w:eastAsia="bg-BG"/>
        </w:rPr>
        <w:t> </w:t>
      </w:r>
      <w:r w:rsidRPr="00F67BF8">
        <w:rPr>
          <w:lang w:eastAsia="bg-BG"/>
        </w:rPr>
        <w:t>г. са предоставени общо</w:t>
      </w:r>
      <w:r w:rsidRPr="00F67BF8">
        <w:rPr>
          <w:b/>
          <w:lang w:eastAsia="bg-BG"/>
        </w:rPr>
        <w:t xml:space="preserve"> </w:t>
      </w:r>
      <w:r w:rsidRPr="00F67BF8">
        <w:rPr>
          <w:b/>
          <w:lang w:val="ru-RU" w:eastAsia="bg-BG"/>
        </w:rPr>
        <w:t>25</w:t>
      </w:r>
      <w:r w:rsidRPr="00F67BF8">
        <w:rPr>
          <w:b/>
          <w:lang w:eastAsia="bg-BG"/>
        </w:rPr>
        <w:t>,5</w:t>
      </w:r>
      <w:r w:rsidRPr="00F67BF8">
        <w:rPr>
          <w:lang w:eastAsia="bg-BG"/>
        </w:rPr>
        <w:t xml:space="preserve"> </w:t>
      </w:r>
      <w:r w:rsidRPr="00F67BF8">
        <w:rPr>
          <w:b/>
          <w:lang w:eastAsia="bg-BG"/>
        </w:rPr>
        <w:t xml:space="preserve">млн. </w:t>
      </w:r>
      <w:proofErr w:type="spellStart"/>
      <w:r w:rsidRPr="00F67BF8">
        <w:rPr>
          <w:b/>
          <w:lang w:eastAsia="bg-BG"/>
        </w:rPr>
        <w:t>лв</w:t>
      </w:r>
      <w:proofErr w:type="spellEnd"/>
      <w:r w:rsidRPr="00F67BF8">
        <w:rPr>
          <w:b/>
          <w:lang w:val="ru-RU" w:eastAsia="bg-BG"/>
        </w:rPr>
        <w:t>.</w:t>
      </w:r>
      <w:r w:rsidRPr="00F67BF8">
        <w:rPr>
          <w:lang w:val="ru-RU" w:eastAsia="bg-BG"/>
        </w:rPr>
        <w:t xml:space="preserve"> </w:t>
      </w:r>
      <w:r w:rsidRPr="007D53E7">
        <w:rPr>
          <w:color w:val="000000" w:themeColor="text1"/>
        </w:rPr>
        <w:t>С</w:t>
      </w:r>
      <w:r w:rsidRPr="007D53E7">
        <w:t xml:space="preserve"> най-голям дял от </w:t>
      </w:r>
      <w:r>
        <w:t>18,6</w:t>
      </w:r>
      <w:r w:rsidRPr="007D53E7">
        <w:t xml:space="preserve">  млн. лв. са разходите за п</w:t>
      </w:r>
      <w:r w:rsidRPr="007D53E7">
        <w:rPr>
          <w:color w:val="000000"/>
        </w:rPr>
        <w:t>одкрепа на персонала на първа линия, пряко анга</w:t>
      </w:r>
      <w:r w:rsidRPr="00056573">
        <w:t>жиран с дейности по предотвратяване разпространението на COVID-19.</w:t>
      </w:r>
      <w:r w:rsidRPr="00056573">
        <w:rPr>
          <w:lang w:val="ru-RU" w:eastAsia="bg-BG"/>
        </w:rPr>
        <w:t xml:space="preserve"> </w:t>
      </w:r>
      <w:r w:rsidRPr="00056573">
        <w:rPr>
          <w:lang w:eastAsia="bg-BG"/>
        </w:rPr>
        <w:t>От общините за противоепидемични мерки са изразходени средства в размер на 5,7</w:t>
      </w:r>
      <w:r w:rsidR="00FE68E7">
        <w:rPr>
          <w:lang w:eastAsia="bg-BG"/>
        </w:rPr>
        <w:t> </w:t>
      </w:r>
      <w:r w:rsidRPr="00056573">
        <w:rPr>
          <w:lang w:eastAsia="bg-BG"/>
        </w:rPr>
        <w:t>млн. лева.</w:t>
      </w:r>
    </w:p>
    <w:p w:rsidR="00AD5F24" w:rsidRPr="0059164A" w:rsidRDefault="00AD5F24" w:rsidP="00C562E5">
      <w:pPr>
        <w:spacing w:after="120"/>
        <w:jc w:val="both"/>
        <w:rPr>
          <w:rFonts w:ascii="Calibri" w:eastAsia="Calibri" w:hAnsi="Calibri"/>
          <w:color w:val="0070C0"/>
          <w:sz w:val="22"/>
          <w:szCs w:val="22"/>
          <w:lang w:val="ru-RU"/>
        </w:rPr>
      </w:pPr>
      <w:r w:rsidRPr="0059164A">
        <w:rPr>
          <w:rFonts w:ascii="Calibri" w:eastAsia="Calibri" w:hAnsi="Calibri"/>
          <w:color w:val="0070C0"/>
          <w:sz w:val="22"/>
          <w:szCs w:val="22"/>
          <w:lang w:val="ru-RU"/>
        </w:rPr>
        <w:br w:type="page"/>
      </w:r>
    </w:p>
    <w:p w:rsidR="00E74802" w:rsidRPr="00082F40" w:rsidRDefault="00E74802" w:rsidP="00A60DE3">
      <w:pPr>
        <w:pStyle w:val="Heading1"/>
        <w:numPr>
          <w:ilvl w:val="0"/>
          <w:numId w:val="9"/>
        </w:numPr>
        <w:ind w:right="-108"/>
        <w:jc w:val="both"/>
        <w:rPr>
          <w:sz w:val="24"/>
        </w:rPr>
      </w:pPr>
      <w:r w:rsidRPr="00082F40">
        <w:rPr>
          <w:sz w:val="24"/>
        </w:rPr>
        <w:t>Основни показатели по консолидираната фискална програма</w:t>
      </w:r>
      <w:r w:rsidRPr="00082F40">
        <w:rPr>
          <w:rStyle w:val="FootnoteReference"/>
          <w:sz w:val="24"/>
        </w:rPr>
        <w:footnoteReference w:id="3"/>
      </w:r>
      <w:r w:rsidRPr="00082F40">
        <w:rPr>
          <w:sz w:val="24"/>
        </w:rPr>
        <w:t xml:space="preserve"> за </w:t>
      </w:r>
      <w:r w:rsidR="00A60DE3" w:rsidRPr="00082F40">
        <w:rPr>
          <w:sz w:val="24"/>
        </w:rPr>
        <w:t xml:space="preserve">деветмесечието </w:t>
      </w:r>
      <w:r w:rsidRPr="00082F40">
        <w:rPr>
          <w:sz w:val="24"/>
        </w:rPr>
        <w:t>на 20</w:t>
      </w:r>
      <w:r w:rsidR="001F7F82" w:rsidRPr="00082F40">
        <w:rPr>
          <w:sz w:val="24"/>
        </w:rPr>
        <w:t>2</w:t>
      </w:r>
      <w:r w:rsidR="000F1EB1" w:rsidRPr="00082F40">
        <w:rPr>
          <w:sz w:val="24"/>
        </w:rPr>
        <w:t>3</w:t>
      </w:r>
      <w:r w:rsidRPr="00082F40">
        <w:rPr>
          <w:sz w:val="24"/>
        </w:rPr>
        <w:t> г.</w:t>
      </w:r>
    </w:p>
    <w:p w:rsidR="00430A35" w:rsidRPr="0059164A" w:rsidRDefault="00430A35" w:rsidP="00430A35">
      <w:pPr>
        <w:rPr>
          <w:color w:val="0070C0"/>
          <w:sz w:val="6"/>
          <w:szCs w:val="12"/>
        </w:rPr>
      </w:pPr>
    </w:p>
    <w:p w:rsidR="005B6C1F" w:rsidRPr="0059164A" w:rsidRDefault="005B6C1F" w:rsidP="00E863AA">
      <w:pPr>
        <w:jc w:val="both"/>
        <w:rPr>
          <w:color w:val="0070C0"/>
          <w:lang w:val="ru-RU"/>
        </w:rPr>
      </w:pPr>
    </w:p>
    <w:p w:rsidR="0010424C" w:rsidRPr="00082F40" w:rsidRDefault="0010424C" w:rsidP="0010424C">
      <w:pPr>
        <w:jc w:val="both"/>
      </w:pPr>
      <w:r w:rsidRPr="00082F40">
        <w:t xml:space="preserve">Изпълнението на основните показатели по консолидираната фискална програма за </w:t>
      </w:r>
      <w:r w:rsidR="00082F40" w:rsidRPr="00082F40">
        <w:t xml:space="preserve">деветмесечието </w:t>
      </w:r>
      <w:r w:rsidRPr="00082F40">
        <w:t>на 2023 г. е представено в следната таблица:</w:t>
      </w:r>
    </w:p>
    <w:p w:rsidR="0010424C" w:rsidRPr="0059164A" w:rsidRDefault="0010424C" w:rsidP="0010424C">
      <w:pPr>
        <w:jc w:val="both"/>
        <w:rPr>
          <w:color w:val="0070C0"/>
          <w:sz w:val="4"/>
          <w:szCs w:val="4"/>
        </w:rPr>
      </w:pPr>
    </w:p>
    <w:p w:rsidR="0010424C" w:rsidRPr="00D62472" w:rsidRDefault="0010424C" w:rsidP="0010424C">
      <w:pPr>
        <w:spacing w:before="120"/>
        <w:rPr>
          <w:b/>
          <w:i/>
          <w:sz w:val="18"/>
          <w:szCs w:val="18"/>
        </w:rPr>
      </w:pPr>
      <w:r w:rsidRPr="00D62472">
        <w:rPr>
          <w:b/>
          <w:i/>
          <w:sz w:val="22"/>
          <w:szCs w:val="22"/>
        </w:rPr>
        <w:t>Таблица</w:t>
      </w:r>
      <w:r w:rsidRPr="00D62472">
        <w:rPr>
          <w:b/>
          <w:i/>
          <w:sz w:val="22"/>
          <w:szCs w:val="22"/>
          <w:vertAlign w:val="superscript"/>
        </w:rPr>
        <w:footnoteReference w:id="4"/>
      </w:r>
      <w:r w:rsidRPr="00D62472">
        <w:rPr>
          <w:b/>
          <w:i/>
          <w:sz w:val="22"/>
          <w:szCs w:val="22"/>
        </w:rPr>
        <w:t xml:space="preserve"> №1</w:t>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Pr="00D62472">
        <w:rPr>
          <w:b/>
          <w:i/>
          <w:sz w:val="22"/>
          <w:szCs w:val="22"/>
        </w:rPr>
        <w:tab/>
      </w:r>
      <w:r w:rsidR="00735609">
        <w:rPr>
          <w:b/>
          <w:i/>
          <w:sz w:val="22"/>
          <w:szCs w:val="22"/>
        </w:rPr>
        <w:tab/>
      </w:r>
      <w:r w:rsidRPr="00D62472">
        <w:rPr>
          <w:b/>
          <w:i/>
          <w:sz w:val="18"/>
          <w:szCs w:val="18"/>
        </w:rPr>
        <w:t>(млн. лв.)</w:t>
      </w:r>
    </w:p>
    <w:tbl>
      <w:tblPr>
        <w:tblW w:w="10254" w:type="dxa"/>
        <w:tblInd w:w="98" w:type="dxa"/>
        <w:tblLook w:val="04A0" w:firstRow="1" w:lastRow="0" w:firstColumn="1" w:lastColumn="0" w:noHBand="0" w:noVBand="1"/>
      </w:tblPr>
      <w:tblGrid>
        <w:gridCol w:w="4250"/>
        <w:gridCol w:w="1147"/>
        <w:gridCol w:w="1227"/>
        <w:gridCol w:w="1222"/>
        <w:gridCol w:w="1199"/>
        <w:gridCol w:w="1209"/>
      </w:tblGrid>
      <w:tr w:rsidR="004948F2" w:rsidRPr="0059164A" w:rsidTr="004B3567">
        <w:trPr>
          <w:trHeight w:val="265"/>
        </w:trPr>
        <w:tc>
          <w:tcPr>
            <w:tcW w:w="4250"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4948F2" w:rsidRPr="00D62472" w:rsidRDefault="004948F2" w:rsidP="004948F2">
            <w:pPr>
              <w:jc w:val="center"/>
              <w:rPr>
                <w:b/>
                <w:bCs/>
                <w:sz w:val="18"/>
                <w:szCs w:val="18"/>
              </w:rPr>
            </w:pPr>
            <w:r w:rsidRPr="00D62472">
              <w:rPr>
                <w:b/>
                <w:bCs/>
                <w:sz w:val="18"/>
                <w:szCs w:val="18"/>
              </w:rPr>
              <w:t>ПОКАЗАТЕЛ</w:t>
            </w:r>
          </w:p>
        </w:tc>
        <w:tc>
          <w:tcPr>
            <w:tcW w:w="1147" w:type="dxa"/>
            <w:tcBorders>
              <w:top w:val="single" w:sz="8" w:space="0" w:color="auto"/>
              <w:left w:val="single" w:sz="4" w:space="0" w:color="auto"/>
              <w:bottom w:val="nil"/>
              <w:right w:val="single" w:sz="4" w:space="0" w:color="auto"/>
            </w:tcBorders>
            <w:shd w:val="clear" w:color="000000" w:fill="D9D9D9"/>
            <w:noWrap/>
            <w:vAlign w:val="bottom"/>
            <w:hideMark/>
          </w:tcPr>
          <w:p w:rsidR="004948F2" w:rsidRPr="0059164A" w:rsidRDefault="004948F2" w:rsidP="004948F2">
            <w:pPr>
              <w:jc w:val="center"/>
              <w:rPr>
                <w:b/>
                <w:bCs/>
                <w:color w:val="0070C0"/>
                <w:sz w:val="18"/>
                <w:szCs w:val="18"/>
                <w:highlight w:val="yellow"/>
              </w:rPr>
            </w:pPr>
            <w:r w:rsidRPr="006815AE">
              <w:rPr>
                <w:b/>
                <w:bCs/>
                <w:sz w:val="18"/>
                <w:szCs w:val="18"/>
              </w:rPr>
              <w:t>Разчет 20</w:t>
            </w:r>
            <w:r w:rsidRPr="006815AE">
              <w:rPr>
                <w:b/>
                <w:bCs/>
                <w:sz w:val="18"/>
                <w:szCs w:val="18"/>
                <w:lang w:val="en-US"/>
              </w:rPr>
              <w:t>2</w:t>
            </w:r>
            <w:r>
              <w:rPr>
                <w:b/>
                <w:bCs/>
                <w:sz w:val="18"/>
                <w:szCs w:val="18"/>
              </w:rPr>
              <w:t>3</w:t>
            </w:r>
            <w:r w:rsidRPr="006815AE">
              <w:rPr>
                <w:b/>
                <w:bCs/>
                <w:sz w:val="18"/>
                <w:szCs w:val="18"/>
              </w:rPr>
              <w:t xml:space="preserve"> г.</w:t>
            </w:r>
            <w:r w:rsidRPr="006815AE">
              <w:rPr>
                <w:rStyle w:val="FootnoteReference"/>
                <w:b/>
                <w:bCs/>
                <w:sz w:val="18"/>
                <w:szCs w:val="18"/>
              </w:rPr>
              <w:footnoteReference w:id="5"/>
            </w:r>
          </w:p>
        </w:tc>
        <w:tc>
          <w:tcPr>
            <w:tcW w:w="364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4948F2" w:rsidRPr="00E22183" w:rsidRDefault="004948F2" w:rsidP="00E22183">
            <w:pPr>
              <w:jc w:val="center"/>
              <w:rPr>
                <w:b/>
                <w:bCs/>
                <w:sz w:val="18"/>
                <w:szCs w:val="18"/>
              </w:rPr>
            </w:pPr>
            <w:r w:rsidRPr="00E22183">
              <w:rPr>
                <w:b/>
                <w:bCs/>
                <w:sz w:val="18"/>
                <w:szCs w:val="18"/>
              </w:rPr>
              <w:t>Отчет към 30.</w:t>
            </w:r>
            <w:r w:rsidR="00E22183" w:rsidRPr="00E22183">
              <w:rPr>
                <w:b/>
                <w:bCs/>
                <w:sz w:val="18"/>
                <w:szCs w:val="18"/>
              </w:rPr>
              <w:t>09</w:t>
            </w:r>
            <w:r w:rsidRPr="00E22183">
              <w:rPr>
                <w:b/>
                <w:bCs/>
                <w:sz w:val="18"/>
                <w:szCs w:val="18"/>
              </w:rPr>
              <w:t>.20</w:t>
            </w:r>
            <w:r w:rsidRPr="00E22183">
              <w:rPr>
                <w:b/>
                <w:bCs/>
                <w:sz w:val="18"/>
                <w:szCs w:val="18"/>
                <w:lang w:val="en-US"/>
              </w:rPr>
              <w:t>2</w:t>
            </w:r>
            <w:r w:rsidRPr="00E22183">
              <w:rPr>
                <w:b/>
                <w:bCs/>
                <w:sz w:val="18"/>
                <w:szCs w:val="18"/>
              </w:rPr>
              <w:t>3 г.</w:t>
            </w:r>
          </w:p>
        </w:tc>
        <w:tc>
          <w:tcPr>
            <w:tcW w:w="1209" w:type="dxa"/>
            <w:tcBorders>
              <w:top w:val="single" w:sz="8" w:space="0" w:color="auto"/>
              <w:left w:val="nil"/>
              <w:bottom w:val="nil"/>
              <w:right w:val="single" w:sz="8" w:space="0" w:color="auto"/>
            </w:tcBorders>
            <w:shd w:val="clear" w:color="000000" w:fill="D9D9D9"/>
            <w:noWrap/>
            <w:vAlign w:val="bottom"/>
            <w:hideMark/>
          </w:tcPr>
          <w:p w:rsidR="004948F2" w:rsidRPr="00E22183" w:rsidRDefault="004948F2" w:rsidP="004948F2">
            <w:pPr>
              <w:jc w:val="center"/>
              <w:rPr>
                <w:b/>
                <w:bCs/>
                <w:sz w:val="18"/>
                <w:szCs w:val="18"/>
              </w:rPr>
            </w:pPr>
            <w:r w:rsidRPr="00E22183">
              <w:rPr>
                <w:b/>
                <w:bCs/>
                <w:sz w:val="18"/>
                <w:szCs w:val="18"/>
              </w:rPr>
              <w:t>Изпълнение</w:t>
            </w:r>
          </w:p>
        </w:tc>
      </w:tr>
      <w:tr w:rsidR="004948F2" w:rsidRPr="0059164A" w:rsidTr="004B3567">
        <w:trPr>
          <w:trHeight w:val="250"/>
        </w:trPr>
        <w:tc>
          <w:tcPr>
            <w:tcW w:w="4250" w:type="dxa"/>
            <w:vMerge/>
            <w:tcBorders>
              <w:top w:val="single" w:sz="8" w:space="0" w:color="auto"/>
              <w:left w:val="single" w:sz="8" w:space="0" w:color="auto"/>
              <w:bottom w:val="single" w:sz="4" w:space="0" w:color="000000"/>
              <w:right w:val="nil"/>
            </w:tcBorders>
            <w:vAlign w:val="center"/>
            <w:hideMark/>
          </w:tcPr>
          <w:p w:rsidR="004948F2" w:rsidRPr="00D62472" w:rsidRDefault="004948F2" w:rsidP="004948F2">
            <w:pPr>
              <w:rPr>
                <w:b/>
                <w:bCs/>
                <w:sz w:val="18"/>
                <w:szCs w:val="18"/>
              </w:rPr>
            </w:pPr>
          </w:p>
        </w:tc>
        <w:tc>
          <w:tcPr>
            <w:tcW w:w="1147" w:type="dxa"/>
            <w:tcBorders>
              <w:top w:val="nil"/>
              <w:left w:val="single" w:sz="4" w:space="0" w:color="auto"/>
              <w:bottom w:val="single" w:sz="4" w:space="0" w:color="auto"/>
              <w:right w:val="single" w:sz="4" w:space="0" w:color="auto"/>
            </w:tcBorders>
            <w:shd w:val="clear" w:color="000000" w:fill="D9D9D9"/>
            <w:noWrap/>
            <w:vAlign w:val="bottom"/>
            <w:hideMark/>
          </w:tcPr>
          <w:p w:rsidR="004948F2" w:rsidRPr="0059164A" w:rsidRDefault="004948F2" w:rsidP="004948F2">
            <w:pPr>
              <w:jc w:val="center"/>
              <w:rPr>
                <w:b/>
                <w:bCs/>
                <w:color w:val="0070C0"/>
                <w:sz w:val="18"/>
                <w:szCs w:val="18"/>
              </w:rPr>
            </w:pPr>
            <w:r w:rsidRPr="006815AE">
              <w:rPr>
                <w:b/>
                <w:bCs/>
                <w:sz w:val="18"/>
                <w:szCs w:val="18"/>
              </w:rPr>
              <w:t xml:space="preserve"> КФП</w:t>
            </w:r>
          </w:p>
        </w:tc>
        <w:tc>
          <w:tcPr>
            <w:tcW w:w="1227" w:type="dxa"/>
            <w:tcBorders>
              <w:top w:val="nil"/>
              <w:left w:val="nil"/>
              <w:bottom w:val="single" w:sz="4" w:space="0" w:color="auto"/>
              <w:right w:val="single" w:sz="4" w:space="0" w:color="auto"/>
            </w:tcBorders>
            <w:shd w:val="clear" w:color="000000" w:fill="D9D9D9"/>
            <w:noWrap/>
            <w:vAlign w:val="bottom"/>
            <w:hideMark/>
          </w:tcPr>
          <w:p w:rsidR="004948F2" w:rsidRPr="00E22183" w:rsidRDefault="004948F2" w:rsidP="004948F2">
            <w:pPr>
              <w:jc w:val="center"/>
              <w:rPr>
                <w:b/>
                <w:bCs/>
                <w:sz w:val="18"/>
                <w:szCs w:val="18"/>
              </w:rPr>
            </w:pPr>
            <w:r w:rsidRPr="00E22183">
              <w:rPr>
                <w:b/>
                <w:bCs/>
                <w:sz w:val="18"/>
                <w:szCs w:val="18"/>
              </w:rPr>
              <w:t xml:space="preserve"> КФП</w:t>
            </w:r>
          </w:p>
        </w:tc>
        <w:tc>
          <w:tcPr>
            <w:tcW w:w="1222" w:type="dxa"/>
            <w:tcBorders>
              <w:top w:val="nil"/>
              <w:left w:val="nil"/>
              <w:bottom w:val="single" w:sz="4" w:space="0" w:color="auto"/>
              <w:right w:val="single" w:sz="4" w:space="0" w:color="auto"/>
            </w:tcBorders>
            <w:shd w:val="clear" w:color="000000" w:fill="D9D9D9"/>
            <w:noWrap/>
            <w:vAlign w:val="bottom"/>
            <w:hideMark/>
          </w:tcPr>
          <w:p w:rsidR="004948F2" w:rsidRPr="00E22183" w:rsidRDefault="004948F2" w:rsidP="004948F2">
            <w:pPr>
              <w:jc w:val="center"/>
              <w:rPr>
                <w:b/>
                <w:bCs/>
                <w:sz w:val="18"/>
                <w:szCs w:val="18"/>
              </w:rPr>
            </w:pPr>
            <w:r w:rsidRPr="00E22183">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4948F2" w:rsidRPr="00E22183" w:rsidRDefault="004948F2" w:rsidP="004948F2">
            <w:pPr>
              <w:jc w:val="center"/>
              <w:rPr>
                <w:b/>
                <w:bCs/>
                <w:sz w:val="18"/>
                <w:szCs w:val="18"/>
              </w:rPr>
            </w:pPr>
            <w:r w:rsidRPr="00E22183">
              <w:rPr>
                <w:b/>
                <w:bCs/>
                <w:sz w:val="18"/>
                <w:szCs w:val="18"/>
              </w:rPr>
              <w:t>Европейски средства</w:t>
            </w:r>
          </w:p>
        </w:tc>
        <w:tc>
          <w:tcPr>
            <w:tcW w:w="1209" w:type="dxa"/>
            <w:tcBorders>
              <w:top w:val="nil"/>
              <w:left w:val="nil"/>
              <w:bottom w:val="single" w:sz="4" w:space="0" w:color="auto"/>
              <w:right w:val="single" w:sz="8" w:space="0" w:color="auto"/>
            </w:tcBorders>
            <w:shd w:val="clear" w:color="000000" w:fill="D9D9D9"/>
            <w:noWrap/>
            <w:vAlign w:val="bottom"/>
            <w:hideMark/>
          </w:tcPr>
          <w:p w:rsidR="004948F2" w:rsidRPr="00E22183" w:rsidRDefault="00E22183" w:rsidP="004948F2">
            <w:pPr>
              <w:jc w:val="center"/>
              <w:rPr>
                <w:b/>
                <w:bCs/>
                <w:sz w:val="18"/>
                <w:szCs w:val="18"/>
              </w:rPr>
            </w:pPr>
            <w:r w:rsidRPr="00E22183">
              <w:rPr>
                <w:b/>
                <w:bCs/>
                <w:sz w:val="18"/>
                <w:szCs w:val="18"/>
              </w:rPr>
              <w:t>спрямо разчет</w:t>
            </w:r>
          </w:p>
        </w:tc>
      </w:tr>
      <w:tr w:rsidR="0059164A" w:rsidRPr="0059164A" w:rsidTr="004B3567">
        <w:trPr>
          <w:trHeight w:val="265"/>
        </w:trPr>
        <w:tc>
          <w:tcPr>
            <w:tcW w:w="4250" w:type="dxa"/>
            <w:tcBorders>
              <w:top w:val="nil"/>
              <w:left w:val="single" w:sz="8" w:space="0" w:color="auto"/>
              <w:bottom w:val="single" w:sz="8" w:space="0" w:color="auto"/>
              <w:right w:val="nil"/>
            </w:tcBorders>
            <w:shd w:val="clear" w:color="000000" w:fill="D9D9D9"/>
            <w:noWrap/>
            <w:vAlign w:val="bottom"/>
            <w:hideMark/>
          </w:tcPr>
          <w:p w:rsidR="0010424C" w:rsidRPr="00D62472" w:rsidRDefault="0010424C" w:rsidP="000B330C">
            <w:pPr>
              <w:jc w:val="center"/>
              <w:rPr>
                <w:sz w:val="18"/>
                <w:szCs w:val="18"/>
              </w:rPr>
            </w:pPr>
            <w:r w:rsidRPr="00D62472">
              <w:rPr>
                <w:sz w:val="18"/>
                <w:szCs w:val="18"/>
              </w:rPr>
              <w:t>к.1</w:t>
            </w:r>
          </w:p>
        </w:tc>
        <w:tc>
          <w:tcPr>
            <w:tcW w:w="1147" w:type="dxa"/>
            <w:tcBorders>
              <w:top w:val="nil"/>
              <w:left w:val="single" w:sz="4" w:space="0" w:color="auto"/>
              <w:bottom w:val="single" w:sz="8" w:space="0" w:color="auto"/>
              <w:right w:val="single" w:sz="4" w:space="0" w:color="auto"/>
            </w:tcBorders>
            <w:shd w:val="clear" w:color="000000" w:fill="D9D9D9"/>
            <w:noWrap/>
            <w:vAlign w:val="bottom"/>
            <w:hideMark/>
          </w:tcPr>
          <w:p w:rsidR="0010424C" w:rsidRPr="009337DB" w:rsidRDefault="0010424C" w:rsidP="000B330C">
            <w:pPr>
              <w:jc w:val="center"/>
              <w:rPr>
                <w:bCs/>
                <w:sz w:val="18"/>
                <w:szCs w:val="18"/>
              </w:rPr>
            </w:pPr>
            <w:r w:rsidRPr="009337DB">
              <w:rPr>
                <w:bCs/>
                <w:sz w:val="18"/>
                <w:szCs w:val="18"/>
              </w:rPr>
              <w:t>к.2</w:t>
            </w:r>
          </w:p>
        </w:tc>
        <w:tc>
          <w:tcPr>
            <w:tcW w:w="1227" w:type="dxa"/>
            <w:tcBorders>
              <w:top w:val="nil"/>
              <w:left w:val="nil"/>
              <w:bottom w:val="single" w:sz="8" w:space="0" w:color="auto"/>
              <w:right w:val="single" w:sz="4" w:space="0" w:color="auto"/>
            </w:tcBorders>
            <w:shd w:val="clear" w:color="000000" w:fill="D9D9D9"/>
            <w:noWrap/>
            <w:vAlign w:val="bottom"/>
            <w:hideMark/>
          </w:tcPr>
          <w:p w:rsidR="0010424C" w:rsidRPr="009337DB" w:rsidRDefault="0010424C" w:rsidP="000B330C">
            <w:pPr>
              <w:jc w:val="center"/>
              <w:rPr>
                <w:sz w:val="18"/>
                <w:szCs w:val="18"/>
              </w:rPr>
            </w:pPr>
            <w:r w:rsidRPr="009337DB">
              <w:rPr>
                <w:sz w:val="18"/>
                <w:szCs w:val="18"/>
              </w:rPr>
              <w:t>к.3=к.4+к.5</w:t>
            </w:r>
          </w:p>
        </w:tc>
        <w:tc>
          <w:tcPr>
            <w:tcW w:w="1222" w:type="dxa"/>
            <w:tcBorders>
              <w:top w:val="nil"/>
              <w:left w:val="nil"/>
              <w:bottom w:val="single" w:sz="8" w:space="0" w:color="auto"/>
              <w:right w:val="single" w:sz="4" w:space="0" w:color="auto"/>
            </w:tcBorders>
            <w:shd w:val="clear" w:color="000000" w:fill="D9D9D9"/>
            <w:noWrap/>
            <w:vAlign w:val="bottom"/>
            <w:hideMark/>
          </w:tcPr>
          <w:p w:rsidR="0010424C" w:rsidRPr="009337DB" w:rsidRDefault="0010424C" w:rsidP="000B330C">
            <w:pPr>
              <w:jc w:val="center"/>
              <w:rPr>
                <w:sz w:val="18"/>
                <w:szCs w:val="18"/>
              </w:rPr>
            </w:pPr>
            <w:r w:rsidRPr="009337DB">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10424C" w:rsidRPr="009337DB" w:rsidRDefault="0010424C" w:rsidP="000B330C">
            <w:pPr>
              <w:jc w:val="center"/>
              <w:rPr>
                <w:sz w:val="18"/>
                <w:szCs w:val="18"/>
              </w:rPr>
            </w:pPr>
            <w:r w:rsidRPr="009337DB">
              <w:rPr>
                <w:sz w:val="18"/>
                <w:szCs w:val="18"/>
              </w:rPr>
              <w:t>к.5</w:t>
            </w:r>
          </w:p>
        </w:tc>
        <w:tc>
          <w:tcPr>
            <w:tcW w:w="1209" w:type="dxa"/>
            <w:tcBorders>
              <w:top w:val="nil"/>
              <w:left w:val="nil"/>
              <w:bottom w:val="single" w:sz="8" w:space="0" w:color="auto"/>
              <w:right w:val="single" w:sz="8" w:space="0" w:color="auto"/>
            </w:tcBorders>
            <w:shd w:val="clear" w:color="000000" w:fill="D9D9D9"/>
            <w:noWrap/>
            <w:vAlign w:val="bottom"/>
            <w:hideMark/>
          </w:tcPr>
          <w:p w:rsidR="0010424C" w:rsidRPr="009337DB" w:rsidRDefault="0010424C" w:rsidP="000B330C">
            <w:pPr>
              <w:jc w:val="center"/>
              <w:rPr>
                <w:bCs/>
                <w:sz w:val="18"/>
                <w:szCs w:val="18"/>
              </w:rPr>
            </w:pPr>
            <w:r w:rsidRPr="009337DB">
              <w:rPr>
                <w:bCs/>
                <w:sz w:val="18"/>
                <w:szCs w:val="18"/>
              </w:rPr>
              <w:t>к.6=к.3:к.2</w:t>
            </w:r>
          </w:p>
        </w:tc>
      </w:tr>
      <w:tr w:rsidR="00114D27" w:rsidRPr="0059164A" w:rsidTr="004B3567">
        <w:trPr>
          <w:trHeight w:val="250"/>
        </w:trPr>
        <w:tc>
          <w:tcPr>
            <w:tcW w:w="4250" w:type="dxa"/>
            <w:tcBorders>
              <w:top w:val="single" w:sz="8" w:space="0" w:color="auto"/>
              <w:left w:val="single" w:sz="8" w:space="0" w:color="auto"/>
              <w:bottom w:val="nil"/>
              <w:right w:val="single" w:sz="4" w:space="0" w:color="auto"/>
            </w:tcBorders>
            <w:shd w:val="clear" w:color="auto" w:fill="auto"/>
            <w:noWrap/>
            <w:vAlign w:val="bottom"/>
            <w:hideMark/>
          </w:tcPr>
          <w:p w:rsidR="00114D27" w:rsidRPr="00D62472" w:rsidRDefault="00114D27" w:rsidP="00114D27">
            <w:pPr>
              <w:rPr>
                <w:b/>
                <w:bCs/>
                <w:sz w:val="18"/>
                <w:szCs w:val="18"/>
              </w:rPr>
            </w:pPr>
            <w:r w:rsidRPr="00D62472">
              <w:rPr>
                <w:b/>
                <w:bCs/>
                <w:sz w:val="18"/>
                <w:szCs w:val="18"/>
              </w:rPr>
              <w:t>ПРИХОДИ, ПОМОЩИ И ДАРЕНИЯ</w:t>
            </w:r>
          </w:p>
        </w:tc>
        <w:tc>
          <w:tcPr>
            <w:tcW w:w="1147" w:type="dxa"/>
            <w:tcBorders>
              <w:top w:val="nil"/>
              <w:left w:val="single" w:sz="4" w:space="0" w:color="auto"/>
              <w:bottom w:val="nil"/>
              <w:right w:val="nil"/>
            </w:tcBorders>
            <w:shd w:val="clear" w:color="auto" w:fill="auto"/>
            <w:noWrap/>
            <w:vAlign w:val="bottom"/>
            <w:hideMark/>
          </w:tcPr>
          <w:p w:rsidR="00114D27" w:rsidRPr="0059164A" w:rsidRDefault="00114D27" w:rsidP="00114D27">
            <w:pPr>
              <w:jc w:val="right"/>
              <w:rPr>
                <w:b/>
                <w:bCs/>
                <w:color w:val="0070C0"/>
                <w:sz w:val="18"/>
                <w:szCs w:val="18"/>
              </w:rPr>
            </w:pPr>
            <w:r>
              <w:rPr>
                <w:b/>
                <w:bCs/>
                <w:sz w:val="18"/>
                <w:szCs w:val="18"/>
              </w:rPr>
              <w:t>69 471,8</w:t>
            </w:r>
          </w:p>
        </w:tc>
        <w:tc>
          <w:tcPr>
            <w:tcW w:w="1227" w:type="dxa"/>
            <w:tcBorders>
              <w:top w:val="nil"/>
              <w:left w:val="nil"/>
              <w:bottom w:val="nil"/>
              <w:right w:val="nil"/>
            </w:tcBorders>
            <w:shd w:val="clear" w:color="auto" w:fill="auto"/>
            <w:noWrap/>
            <w:vAlign w:val="bottom"/>
            <w:hideMark/>
          </w:tcPr>
          <w:p w:rsidR="00114D27" w:rsidRPr="0059164A" w:rsidRDefault="00114D27" w:rsidP="00114D27">
            <w:pPr>
              <w:jc w:val="right"/>
              <w:rPr>
                <w:b/>
                <w:bCs/>
                <w:color w:val="0070C0"/>
                <w:sz w:val="18"/>
                <w:szCs w:val="18"/>
              </w:rPr>
            </w:pPr>
            <w:r>
              <w:rPr>
                <w:b/>
                <w:bCs/>
                <w:sz w:val="18"/>
                <w:szCs w:val="18"/>
              </w:rPr>
              <w:t>47 636,7</w:t>
            </w:r>
          </w:p>
        </w:tc>
        <w:tc>
          <w:tcPr>
            <w:tcW w:w="1222" w:type="dxa"/>
            <w:tcBorders>
              <w:top w:val="nil"/>
              <w:left w:val="nil"/>
              <w:bottom w:val="nil"/>
              <w:right w:val="nil"/>
            </w:tcBorders>
            <w:shd w:val="clear" w:color="auto" w:fill="auto"/>
            <w:noWrap/>
            <w:vAlign w:val="bottom"/>
            <w:hideMark/>
          </w:tcPr>
          <w:p w:rsidR="00114D27" w:rsidRPr="0059164A" w:rsidRDefault="00114D27" w:rsidP="00114D27">
            <w:pPr>
              <w:jc w:val="right"/>
              <w:rPr>
                <w:b/>
                <w:bCs/>
                <w:color w:val="0070C0"/>
                <w:sz w:val="18"/>
                <w:szCs w:val="18"/>
              </w:rPr>
            </w:pPr>
            <w:r>
              <w:rPr>
                <w:b/>
                <w:bCs/>
                <w:color w:val="000000"/>
                <w:sz w:val="18"/>
                <w:szCs w:val="18"/>
              </w:rPr>
              <w:t>46 036,7</w:t>
            </w:r>
          </w:p>
        </w:tc>
        <w:tc>
          <w:tcPr>
            <w:tcW w:w="1199" w:type="dxa"/>
            <w:tcBorders>
              <w:top w:val="nil"/>
              <w:left w:val="nil"/>
              <w:bottom w:val="nil"/>
              <w:right w:val="nil"/>
            </w:tcBorders>
            <w:shd w:val="clear" w:color="auto" w:fill="auto"/>
            <w:noWrap/>
            <w:vAlign w:val="bottom"/>
            <w:hideMark/>
          </w:tcPr>
          <w:p w:rsidR="00114D27" w:rsidRPr="0059164A" w:rsidRDefault="00114D27" w:rsidP="00114D27">
            <w:pPr>
              <w:jc w:val="right"/>
              <w:rPr>
                <w:b/>
                <w:bCs/>
                <w:color w:val="0070C0"/>
                <w:sz w:val="18"/>
                <w:szCs w:val="18"/>
              </w:rPr>
            </w:pPr>
            <w:r>
              <w:rPr>
                <w:b/>
                <w:bCs/>
                <w:color w:val="000000"/>
                <w:sz w:val="18"/>
                <w:szCs w:val="18"/>
              </w:rPr>
              <w:t>1 599,9</w:t>
            </w:r>
          </w:p>
        </w:tc>
        <w:tc>
          <w:tcPr>
            <w:tcW w:w="1209" w:type="dxa"/>
            <w:tcBorders>
              <w:top w:val="single" w:sz="8" w:space="0" w:color="auto"/>
              <w:left w:val="nil"/>
              <w:bottom w:val="nil"/>
              <w:right w:val="single" w:sz="4" w:space="0" w:color="auto"/>
            </w:tcBorders>
            <w:shd w:val="clear" w:color="auto" w:fill="auto"/>
            <w:noWrap/>
            <w:vAlign w:val="bottom"/>
            <w:hideMark/>
          </w:tcPr>
          <w:p w:rsidR="00114D27" w:rsidRPr="0059164A" w:rsidRDefault="00114D27" w:rsidP="00114D27">
            <w:pPr>
              <w:jc w:val="right"/>
              <w:rPr>
                <w:b/>
                <w:bCs/>
                <w:color w:val="0070C0"/>
                <w:sz w:val="18"/>
                <w:szCs w:val="18"/>
                <w:highlight w:val="yellow"/>
              </w:rPr>
            </w:pPr>
            <w:r>
              <w:rPr>
                <w:b/>
                <w:bCs/>
                <w:sz w:val="18"/>
                <w:szCs w:val="18"/>
              </w:rPr>
              <w:t>68,6%</w:t>
            </w:r>
          </w:p>
        </w:tc>
      </w:tr>
      <w:tr w:rsidR="00114D27" w:rsidRPr="0059164A"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114D27" w:rsidRPr="00D62472" w:rsidRDefault="00114D27" w:rsidP="00114D27">
            <w:pPr>
              <w:rPr>
                <w:sz w:val="18"/>
                <w:szCs w:val="18"/>
              </w:rPr>
            </w:pPr>
            <w:r w:rsidRPr="00D62472">
              <w:rPr>
                <w:sz w:val="18"/>
                <w:szCs w:val="18"/>
              </w:rPr>
              <w:t xml:space="preserve">  Данъчни приходи</w:t>
            </w:r>
          </w:p>
        </w:tc>
        <w:tc>
          <w:tcPr>
            <w:tcW w:w="1147" w:type="dxa"/>
            <w:tcBorders>
              <w:top w:val="nil"/>
              <w:left w:val="single" w:sz="4" w:space="0" w:color="auto"/>
              <w:bottom w:val="nil"/>
              <w:right w:val="nil"/>
            </w:tcBorders>
            <w:shd w:val="clear" w:color="auto" w:fill="auto"/>
            <w:noWrap/>
            <w:vAlign w:val="bottom"/>
            <w:hideMark/>
          </w:tcPr>
          <w:p w:rsidR="00114D27" w:rsidRPr="0059164A" w:rsidRDefault="00114D27" w:rsidP="00114D27">
            <w:pPr>
              <w:jc w:val="right"/>
              <w:rPr>
                <w:color w:val="0070C0"/>
                <w:sz w:val="18"/>
                <w:szCs w:val="18"/>
              </w:rPr>
            </w:pPr>
            <w:r>
              <w:rPr>
                <w:sz w:val="18"/>
                <w:szCs w:val="18"/>
              </w:rPr>
              <w:t>53 166,0</w:t>
            </w:r>
          </w:p>
        </w:tc>
        <w:tc>
          <w:tcPr>
            <w:tcW w:w="1227" w:type="dxa"/>
            <w:tcBorders>
              <w:top w:val="nil"/>
              <w:left w:val="nil"/>
              <w:bottom w:val="nil"/>
              <w:right w:val="nil"/>
            </w:tcBorders>
            <w:shd w:val="clear" w:color="auto" w:fill="auto"/>
            <w:noWrap/>
            <w:vAlign w:val="bottom"/>
            <w:hideMark/>
          </w:tcPr>
          <w:p w:rsidR="00114D27" w:rsidRPr="0059164A" w:rsidRDefault="00114D27" w:rsidP="00114D27">
            <w:pPr>
              <w:jc w:val="right"/>
              <w:rPr>
                <w:color w:val="0070C0"/>
                <w:sz w:val="18"/>
                <w:szCs w:val="18"/>
              </w:rPr>
            </w:pPr>
            <w:r>
              <w:rPr>
                <w:sz w:val="18"/>
                <w:szCs w:val="18"/>
              </w:rPr>
              <w:t>37 373,9</w:t>
            </w:r>
          </w:p>
        </w:tc>
        <w:tc>
          <w:tcPr>
            <w:tcW w:w="1222" w:type="dxa"/>
            <w:tcBorders>
              <w:top w:val="nil"/>
              <w:left w:val="nil"/>
              <w:bottom w:val="nil"/>
              <w:right w:val="nil"/>
            </w:tcBorders>
            <w:shd w:val="clear" w:color="auto" w:fill="auto"/>
            <w:noWrap/>
            <w:vAlign w:val="bottom"/>
            <w:hideMark/>
          </w:tcPr>
          <w:p w:rsidR="00114D27" w:rsidRPr="0059164A" w:rsidRDefault="00114D27" w:rsidP="00114D27">
            <w:pPr>
              <w:jc w:val="right"/>
              <w:rPr>
                <w:color w:val="0070C0"/>
                <w:sz w:val="18"/>
                <w:szCs w:val="18"/>
              </w:rPr>
            </w:pPr>
            <w:r>
              <w:rPr>
                <w:color w:val="000000"/>
                <w:sz w:val="18"/>
                <w:szCs w:val="18"/>
              </w:rPr>
              <w:t>37 373,9</w:t>
            </w:r>
          </w:p>
        </w:tc>
        <w:tc>
          <w:tcPr>
            <w:tcW w:w="1199" w:type="dxa"/>
            <w:tcBorders>
              <w:top w:val="nil"/>
              <w:left w:val="nil"/>
              <w:bottom w:val="nil"/>
              <w:right w:val="nil"/>
            </w:tcBorders>
            <w:shd w:val="clear" w:color="auto" w:fill="auto"/>
            <w:noWrap/>
            <w:vAlign w:val="bottom"/>
            <w:hideMark/>
          </w:tcPr>
          <w:p w:rsidR="00114D27" w:rsidRPr="0059164A" w:rsidRDefault="00114D27" w:rsidP="00114D27">
            <w:pPr>
              <w:jc w:val="right"/>
              <w:rPr>
                <w:color w:val="0070C0"/>
                <w:sz w:val="18"/>
                <w:szCs w:val="18"/>
              </w:rPr>
            </w:pPr>
          </w:p>
        </w:tc>
        <w:tc>
          <w:tcPr>
            <w:tcW w:w="1209" w:type="dxa"/>
            <w:tcBorders>
              <w:top w:val="nil"/>
              <w:left w:val="nil"/>
              <w:bottom w:val="nil"/>
              <w:right w:val="single" w:sz="4" w:space="0" w:color="auto"/>
            </w:tcBorders>
            <w:shd w:val="clear" w:color="auto" w:fill="auto"/>
            <w:noWrap/>
            <w:vAlign w:val="bottom"/>
            <w:hideMark/>
          </w:tcPr>
          <w:p w:rsidR="00114D27" w:rsidRPr="0059164A" w:rsidRDefault="00114D27" w:rsidP="00114D27">
            <w:pPr>
              <w:jc w:val="right"/>
              <w:rPr>
                <w:color w:val="0070C0"/>
                <w:sz w:val="18"/>
                <w:szCs w:val="18"/>
                <w:highlight w:val="yellow"/>
              </w:rPr>
            </w:pPr>
            <w:r>
              <w:rPr>
                <w:sz w:val="18"/>
                <w:szCs w:val="18"/>
              </w:rPr>
              <w:t>70,3%</w:t>
            </w:r>
          </w:p>
        </w:tc>
      </w:tr>
      <w:tr w:rsidR="00114D27" w:rsidRPr="0059164A"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114D27" w:rsidRPr="00D62472" w:rsidRDefault="00114D27" w:rsidP="00114D27">
            <w:pPr>
              <w:rPr>
                <w:sz w:val="18"/>
                <w:szCs w:val="18"/>
              </w:rPr>
            </w:pPr>
            <w:r w:rsidRPr="00D62472">
              <w:rPr>
                <w:sz w:val="18"/>
                <w:szCs w:val="18"/>
              </w:rPr>
              <w:t xml:space="preserve">  Неданъчни приходи</w:t>
            </w:r>
          </w:p>
        </w:tc>
        <w:tc>
          <w:tcPr>
            <w:tcW w:w="1147" w:type="dxa"/>
            <w:tcBorders>
              <w:top w:val="nil"/>
              <w:left w:val="single" w:sz="4" w:space="0" w:color="auto"/>
              <w:bottom w:val="nil"/>
              <w:right w:val="nil"/>
            </w:tcBorders>
            <w:shd w:val="clear" w:color="auto" w:fill="auto"/>
            <w:noWrap/>
            <w:vAlign w:val="bottom"/>
            <w:hideMark/>
          </w:tcPr>
          <w:p w:rsidR="00114D27" w:rsidRPr="0059164A" w:rsidRDefault="00114D27" w:rsidP="00114D27">
            <w:pPr>
              <w:jc w:val="right"/>
              <w:rPr>
                <w:color w:val="0070C0"/>
                <w:sz w:val="18"/>
                <w:szCs w:val="18"/>
              </w:rPr>
            </w:pPr>
            <w:r>
              <w:rPr>
                <w:sz w:val="18"/>
                <w:szCs w:val="18"/>
              </w:rPr>
              <w:t>11 152,2</w:t>
            </w:r>
          </w:p>
        </w:tc>
        <w:tc>
          <w:tcPr>
            <w:tcW w:w="1227" w:type="dxa"/>
            <w:tcBorders>
              <w:top w:val="nil"/>
              <w:left w:val="nil"/>
              <w:bottom w:val="nil"/>
              <w:right w:val="nil"/>
            </w:tcBorders>
            <w:shd w:val="clear" w:color="auto" w:fill="auto"/>
            <w:noWrap/>
            <w:vAlign w:val="bottom"/>
            <w:hideMark/>
          </w:tcPr>
          <w:p w:rsidR="00114D27" w:rsidRPr="0059164A" w:rsidRDefault="00114D27" w:rsidP="00114D27">
            <w:pPr>
              <w:jc w:val="right"/>
              <w:rPr>
                <w:color w:val="0070C0"/>
                <w:sz w:val="18"/>
                <w:szCs w:val="18"/>
              </w:rPr>
            </w:pPr>
            <w:r>
              <w:rPr>
                <w:sz w:val="18"/>
                <w:szCs w:val="18"/>
              </w:rPr>
              <w:t>8 567,7</w:t>
            </w:r>
          </w:p>
        </w:tc>
        <w:tc>
          <w:tcPr>
            <w:tcW w:w="1222" w:type="dxa"/>
            <w:tcBorders>
              <w:top w:val="nil"/>
              <w:left w:val="nil"/>
              <w:bottom w:val="nil"/>
              <w:right w:val="nil"/>
            </w:tcBorders>
            <w:shd w:val="clear" w:color="auto" w:fill="auto"/>
            <w:noWrap/>
            <w:vAlign w:val="bottom"/>
            <w:hideMark/>
          </w:tcPr>
          <w:p w:rsidR="00114D27" w:rsidRPr="0059164A" w:rsidRDefault="00114D27" w:rsidP="00114D27">
            <w:pPr>
              <w:jc w:val="right"/>
              <w:rPr>
                <w:color w:val="0070C0"/>
                <w:sz w:val="18"/>
                <w:szCs w:val="18"/>
              </w:rPr>
            </w:pPr>
            <w:r>
              <w:rPr>
                <w:color w:val="000000"/>
                <w:sz w:val="18"/>
                <w:szCs w:val="18"/>
              </w:rPr>
              <w:t>8 571,3</w:t>
            </w:r>
          </w:p>
        </w:tc>
        <w:tc>
          <w:tcPr>
            <w:tcW w:w="1199" w:type="dxa"/>
            <w:tcBorders>
              <w:top w:val="nil"/>
              <w:left w:val="nil"/>
              <w:bottom w:val="nil"/>
              <w:right w:val="nil"/>
            </w:tcBorders>
            <w:shd w:val="clear" w:color="auto" w:fill="auto"/>
            <w:noWrap/>
            <w:vAlign w:val="bottom"/>
            <w:hideMark/>
          </w:tcPr>
          <w:p w:rsidR="00114D27" w:rsidRPr="0059164A" w:rsidRDefault="00114D27" w:rsidP="00114D27">
            <w:pPr>
              <w:jc w:val="right"/>
              <w:rPr>
                <w:color w:val="0070C0"/>
                <w:sz w:val="18"/>
                <w:szCs w:val="18"/>
              </w:rPr>
            </w:pPr>
            <w:r>
              <w:rPr>
                <w:color w:val="000000"/>
                <w:sz w:val="18"/>
                <w:szCs w:val="18"/>
              </w:rPr>
              <w:t>-3,6</w:t>
            </w:r>
          </w:p>
        </w:tc>
        <w:tc>
          <w:tcPr>
            <w:tcW w:w="1209" w:type="dxa"/>
            <w:tcBorders>
              <w:top w:val="nil"/>
              <w:left w:val="nil"/>
              <w:bottom w:val="nil"/>
              <w:right w:val="single" w:sz="4" w:space="0" w:color="auto"/>
            </w:tcBorders>
            <w:shd w:val="clear" w:color="auto" w:fill="auto"/>
            <w:noWrap/>
            <w:vAlign w:val="bottom"/>
            <w:hideMark/>
          </w:tcPr>
          <w:p w:rsidR="00114D27" w:rsidRPr="0059164A" w:rsidRDefault="00114D27" w:rsidP="00114D27">
            <w:pPr>
              <w:jc w:val="right"/>
              <w:rPr>
                <w:color w:val="0070C0"/>
                <w:sz w:val="18"/>
                <w:szCs w:val="18"/>
                <w:highlight w:val="yellow"/>
              </w:rPr>
            </w:pPr>
            <w:r>
              <w:rPr>
                <w:sz w:val="18"/>
                <w:szCs w:val="18"/>
              </w:rPr>
              <w:t>76,8%</w:t>
            </w:r>
          </w:p>
        </w:tc>
      </w:tr>
      <w:tr w:rsidR="00114D27" w:rsidRPr="0059164A" w:rsidTr="00A909B5">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rsidR="00114D27" w:rsidRPr="00D62472" w:rsidRDefault="00114D27" w:rsidP="00114D27">
            <w:pPr>
              <w:rPr>
                <w:sz w:val="18"/>
                <w:szCs w:val="18"/>
              </w:rPr>
            </w:pPr>
            <w:r w:rsidRPr="00D62472">
              <w:rPr>
                <w:sz w:val="18"/>
                <w:szCs w:val="18"/>
              </w:rPr>
              <w:t xml:space="preserve">  Помощи и дарения</w:t>
            </w:r>
          </w:p>
        </w:tc>
        <w:tc>
          <w:tcPr>
            <w:tcW w:w="1147" w:type="dxa"/>
            <w:tcBorders>
              <w:top w:val="nil"/>
              <w:left w:val="single" w:sz="4" w:space="0" w:color="auto"/>
              <w:bottom w:val="single" w:sz="4" w:space="0" w:color="auto"/>
              <w:right w:val="nil"/>
            </w:tcBorders>
            <w:shd w:val="clear" w:color="auto" w:fill="auto"/>
            <w:noWrap/>
            <w:vAlign w:val="bottom"/>
            <w:hideMark/>
          </w:tcPr>
          <w:p w:rsidR="00114D27" w:rsidRPr="0059164A" w:rsidRDefault="00114D27" w:rsidP="00114D27">
            <w:pPr>
              <w:jc w:val="right"/>
              <w:rPr>
                <w:color w:val="0070C0"/>
                <w:sz w:val="18"/>
                <w:szCs w:val="18"/>
              </w:rPr>
            </w:pPr>
            <w:r>
              <w:rPr>
                <w:sz w:val="18"/>
                <w:szCs w:val="18"/>
              </w:rPr>
              <w:t>5 153,6</w:t>
            </w:r>
          </w:p>
        </w:tc>
        <w:tc>
          <w:tcPr>
            <w:tcW w:w="1227" w:type="dxa"/>
            <w:tcBorders>
              <w:top w:val="nil"/>
              <w:left w:val="nil"/>
              <w:bottom w:val="single" w:sz="4" w:space="0" w:color="auto"/>
              <w:right w:val="nil"/>
            </w:tcBorders>
            <w:shd w:val="clear" w:color="auto" w:fill="auto"/>
            <w:noWrap/>
            <w:vAlign w:val="bottom"/>
            <w:hideMark/>
          </w:tcPr>
          <w:p w:rsidR="00114D27" w:rsidRPr="0059164A" w:rsidRDefault="00114D27" w:rsidP="00114D27">
            <w:pPr>
              <w:jc w:val="right"/>
              <w:rPr>
                <w:color w:val="0070C0"/>
                <w:sz w:val="18"/>
                <w:szCs w:val="18"/>
              </w:rPr>
            </w:pPr>
            <w:r>
              <w:rPr>
                <w:sz w:val="18"/>
                <w:szCs w:val="18"/>
              </w:rPr>
              <w:t>1 695,1</w:t>
            </w:r>
          </w:p>
        </w:tc>
        <w:tc>
          <w:tcPr>
            <w:tcW w:w="1222" w:type="dxa"/>
            <w:tcBorders>
              <w:top w:val="nil"/>
              <w:left w:val="nil"/>
              <w:bottom w:val="single" w:sz="4" w:space="0" w:color="auto"/>
              <w:right w:val="nil"/>
            </w:tcBorders>
            <w:shd w:val="clear" w:color="auto" w:fill="auto"/>
            <w:noWrap/>
            <w:vAlign w:val="bottom"/>
            <w:hideMark/>
          </w:tcPr>
          <w:p w:rsidR="00114D27" w:rsidRPr="0059164A" w:rsidRDefault="00114D27" w:rsidP="00114D27">
            <w:pPr>
              <w:jc w:val="right"/>
              <w:rPr>
                <w:color w:val="0070C0"/>
                <w:sz w:val="18"/>
                <w:szCs w:val="18"/>
              </w:rPr>
            </w:pPr>
            <w:r>
              <w:rPr>
                <w:color w:val="000000"/>
                <w:sz w:val="18"/>
                <w:szCs w:val="18"/>
              </w:rPr>
              <w:t>91,6</w:t>
            </w:r>
          </w:p>
        </w:tc>
        <w:tc>
          <w:tcPr>
            <w:tcW w:w="1199" w:type="dxa"/>
            <w:tcBorders>
              <w:top w:val="nil"/>
              <w:left w:val="nil"/>
              <w:bottom w:val="single" w:sz="4" w:space="0" w:color="auto"/>
              <w:right w:val="nil"/>
            </w:tcBorders>
            <w:shd w:val="clear" w:color="auto" w:fill="auto"/>
            <w:noWrap/>
            <w:vAlign w:val="bottom"/>
            <w:hideMark/>
          </w:tcPr>
          <w:p w:rsidR="00114D27" w:rsidRPr="0059164A" w:rsidRDefault="00114D27" w:rsidP="00114D27">
            <w:pPr>
              <w:jc w:val="right"/>
              <w:rPr>
                <w:color w:val="0070C0"/>
                <w:sz w:val="18"/>
                <w:szCs w:val="18"/>
              </w:rPr>
            </w:pPr>
            <w:r>
              <w:rPr>
                <w:color w:val="000000"/>
                <w:sz w:val="18"/>
                <w:szCs w:val="18"/>
              </w:rPr>
              <w:t>1 603,5</w:t>
            </w:r>
          </w:p>
        </w:tc>
        <w:tc>
          <w:tcPr>
            <w:tcW w:w="1209" w:type="dxa"/>
            <w:tcBorders>
              <w:top w:val="nil"/>
              <w:left w:val="nil"/>
              <w:bottom w:val="single" w:sz="4" w:space="0" w:color="auto"/>
              <w:right w:val="single" w:sz="4" w:space="0" w:color="auto"/>
            </w:tcBorders>
            <w:shd w:val="clear" w:color="auto" w:fill="auto"/>
            <w:noWrap/>
            <w:vAlign w:val="bottom"/>
            <w:hideMark/>
          </w:tcPr>
          <w:p w:rsidR="00114D27" w:rsidRPr="0059164A" w:rsidRDefault="00114D27" w:rsidP="00114D27">
            <w:pPr>
              <w:jc w:val="right"/>
              <w:rPr>
                <w:color w:val="0070C0"/>
                <w:sz w:val="18"/>
                <w:szCs w:val="18"/>
                <w:highlight w:val="yellow"/>
              </w:rPr>
            </w:pPr>
            <w:r>
              <w:rPr>
                <w:sz w:val="18"/>
                <w:szCs w:val="18"/>
              </w:rPr>
              <w:t>32,9%</w:t>
            </w:r>
          </w:p>
        </w:tc>
      </w:tr>
      <w:tr w:rsidR="00A909B5" w:rsidRPr="0059164A" w:rsidTr="00A909B5">
        <w:trPr>
          <w:trHeight w:val="472"/>
        </w:trPr>
        <w:tc>
          <w:tcPr>
            <w:tcW w:w="4250" w:type="dxa"/>
            <w:tcBorders>
              <w:top w:val="single" w:sz="4" w:space="0" w:color="auto"/>
              <w:left w:val="single" w:sz="8" w:space="0" w:color="auto"/>
              <w:bottom w:val="nil"/>
              <w:right w:val="single" w:sz="4" w:space="0" w:color="auto"/>
            </w:tcBorders>
            <w:shd w:val="clear" w:color="auto" w:fill="auto"/>
            <w:vAlign w:val="bottom"/>
            <w:hideMark/>
          </w:tcPr>
          <w:p w:rsidR="00A909B5" w:rsidRPr="00D62472" w:rsidRDefault="00A909B5" w:rsidP="00A909B5">
            <w:pPr>
              <w:rPr>
                <w:b/>
                <w:bCs/>
                <w:sz w:val="18"/>
                <w:szCs w:val="18"/>
              </w:rPr>
            </w:pPr>
            <w:r w:rsidRPr="00D62472">
              <w:rPr>
                <w:b/>
                <w:bCs/>
                <w:sz w:val="18"/>
                <w:szCs w:val="18"/>
              </w:rPr>
              <w:t>РАЗХОДИ И ВНОСКА ЗА ОБЩИЯ БЮДЖЕТ НА ЕС</w:t>
            </w:r>
          </w:p>
        </w:tc>
        <w:tc>
          <w:tcPr>
            <w:tcW w:w="1147" w:type="dxa"/>
            <w:tcBorders>
              <w:top w:val="single" w:sz="4" w:space="0" w:color="auto"/>
              <w:left w:val="single" w:sz="4" w:space="0" w:color="auto"/>
              <w:bottom w:val="nil"/>
              <w:right w:val="nil"/>
            </w:tcBorders>
            <w:shd w:val="clear" w:color="auto" w:fill="auto"/>
            <w:noWrap/>
            <w:vAlign w:val="bottom"/>
            <w:hideMark/>
          </w:tcPr>
          <w:p w:rsidR="00A909B5" w:rsidRPr="0059164A" w:rsidRDefault="00A909B5" w:rsidP="00A909B5">
            <w:pPr>
              <w:jc w:val="right"/>
              <w:rPr>
                <w:b/>
                <w:bCs/>
                <w:color w:val="0070C0"/>
                <w:sz w:val="18"/>
                <w:szCs w:val="18"/>
              </w:rPr>
            </w:pPr>
            <w:r>
              <w:rPr>
                <w:b/>
                <w:bCs/>
                <w:sz w:val="18"/>
                <w:szCs w:val="18"/>
              </w:rPr>
              <w:t>74 051,8</w:t>
            </w:r>
          </w:p>
        </w:tc>
        <w:tc>
          <w:tcPr>
            <w:tcW w:w="1227" w:type="dxa"/>
            <w:tcBorders>
              <w:top w:val="single" w:sz="4" w:space="0" w:color="auto"/>
              <w:left w:val="nil"/>
              <w:bottom w:val="nil"/>
              <w:right w:val="nil"/>
            </w:tcBorders>
            <w:shd w:val="clear" w:color="auto" w:fill="auto"/>
            <w:noWrap/>
            <w:vAlign w:val="bottom"/>
            <w:hideMark/>
          </w:tcPr>
          <w:p w:rsidR="00A909B5" w:rsidRPr="0059164A" w:rsidRDefault="00A909B5" w:rsidP="00A909B5">
            <w:pPr>
              <w:jc w:val="right"/>
              <w:rPr>
                <w:b/>
                <w:bCs/>
                <w:color w:val="0070C0"/>
                <w:sz w:val="18"/>
                <w:szCs w:val="18"/>
              </w:rPr>
            </w:pPr>
            <w:r>
              <w:rPr>
                <w:b/>
                <w:bCs/>
                <w:sz w:val="18"/>
                <w:szCs w:val="18"/>
              </w:rPr>
              <w:t>48 477,7</w:t>
            </w:r>
          </w:p>
        </w:tc>
        <w:tc>
          <w:tcPr>
            <w:tcW w:w="1222" w:type="dxa"/>
            <w:tcBorders>
              <w:top w:val="single" w:sz="4" w:space="0" w:color="auto"/>
              <w:left w:val="nil"/>
              <w:bottom w:val="nil"/>
              <w:right w:val="nil"/>
            </w:tcBorders>
            <w:shd w:val="clear" w:color="auto" w:fill="auto"/>
            <w:noWrap/>
            <w:vAlign w:val="bottom"/>
            <w:hideMark/>
          </w:tcPr>
          <w:p w:rsidR="00A909B5" w:rsidRPr="0059164A" w:rsidRDefault="00A909B5" w:rsidP="00A909B5">
            <w:pPr>
              <w:jc w:val="right"/>
              <w:rPr>
                <w:b/>
                <w:bCs/>
                <w:color w:val="0070C0"/>
                <w:sz w:val="18"/>
                <w:szCs w:val="18"/>
              </w:rPr>
            </w:pPr>
            <w:r>
              <w:rPr>
                <w:b/>
                <w:bCs/>
                <w:color w:val="000000"/>
                <w:sz w:val="18"/>
                <w:szCs w:val="18"/>
              </w:rPr>
              <w:t>46 145,2</w:t>
            </w:r>
          </w:p>
        </w:tc>
        <w:tc>
          <w:tcPr>
            <w:tcW w:w="1199" w:type="dxa"/>
            <w:tcBorders>
              <w:top w:val="single" w:sz="4" w:space="0" w:color="auto"/>
              <w:left w:val="nil"/>
              <w:bottom w:val="nil"/>
              <w:right w:val="nil"/>
            </w:tcBorders>
            <w:shd w:val="clear" w:color="auto" w:fill="auto"/>
            <w:noWrap/>
            <w:vAlign w:val="bottom"/>
            <w:hideMark/>
          </w:tcPr>
          <w:p w:rsidR="00A909B5" w:rsidRPr="0059164A" w:rsidRDefault="00A909B5" w:rsidP="00A909B5">
            <w:pPr>
              <w:jc w:val="right"/>
              <w:rPr>
                <w:b/>
                <w:bCs/>
                <w:color w:val="0070C0"/>
                <w:sz w:val="18"/>
                <w:szCs w:val="18"/>
              </w:rPr>
            </w:pPr>
            <w:r>
              <w:rPr>
                <w:b/>
                <w:bCs/>
                <w:color w:val="000000"/>
                <w:sz w:val="18"/>
                <w:szCs w:val="18"/>
              </w:rPr>
              <w:t>2 332,5</w:t>
            </w:r>
          </w:p>
        </w:tc>
        <w:tc>
          <w:tcPr>
            <w:tcW w:w="1209" w:type="dxa"/>
            <w:tcBorders>
              <w:top w:val="nil"/>
              <w:left w:val="nil"/>
              <w:bottom w:val="nil"/>
              <w:right w:val="single" w:sz="4" w:space="0" w:color="auto"/>
            </w:tcBorders>
            <w:shd w:val="clear" w:color="auto" w:fill="auto"/>
            <w:noWrap/>
            <w:vAlign w:val="bottom"/>
            <w:hideMark/>
          </w:tcPr>
          <w:p w:rsidR="00A909B5" w:rsidRPr="0059164A" w:rsidRDefault="00A909B5" w:rsidP="00A909B5">
            <w:pPr>
              <w:jc w:val="right"/>
              <w:rPr>
                <w:b/>
                <w:bCs/>
                <w:color w:val="0070C0"/>
                <w:sz w:val="18"/>
                <w:szCs w:val="18"/>
                <w:highlight w:val="yellow"/>
              </w:rPr>
            </w:pPr>
            <w:r>
              <w:rPr>
                <w:b/>
                <w:bCs/>
                <w:sz w:val="18"/>
                <w:szCs w:val="18"/>
              </w:rPr>
              <w:t>65,5%</w:t>
            </w:r>
          </w:p>
        </w:tc>
      </w:tr>
      <w:tr w:rsidR="00A909B5" w:rsidRPr="0059164A" w:rsidTr="00502EA5">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A909B5" w:rsidRPr="00D62472" w:rsidRDefault="00A909B5" w:rsidP="00A909B5">
            <w:pPr>
              <w:rPr>
                <w:sz w:val="18"/>
                <w:szCs w:val="18"/>
              </w:rPr>
            </w:pPr>
            <w:r w:rsidRPr="00D62472">
              <w:rPr>
                <w:sz w:val="18"/>
                <w:szCs w:val="18"/>
              </w:rPr>
              <w:t xml:space="preserve">  Нелихвени</w:t>
            </w:r>
          </w:p>
        </w:tc>
        <w:tc>
          <w:tcPr>
            <w:tcW w:w="1147" w:type="dxa"/>
            <w:tcBorders>
              <w:top w:val="nil"/>
              <w:left w:val="single" w:sz="4" w:space="0" w:color="auto"/>
              <w:bottom w:val="nil"/>
              <w:right w:val="nil"/>
            </w:tcBorders>
            <w:shd w:val="clear" w:color="auto" w:fill="auto"/>
            <w:noWrap/>
            <w:vAlign w:val="bottom"/>
            <w:hideMark/>
          </w:tcPr>
          <w:p w:rsidR="00A909B5" w:rsidRPr="0059164A" w:rsidRDefault="00A909B5" w:rsidP="00A909B5">
            <w:pPr>
              <w:jc w:val="right"/>
              <w:rPr>
                <w:color w:val="0070C0"/>
                <w:sz w:val="18"/>
                <w:szCs w:val="18"/>
              </w:rPr>
            </w:pPr>
            <w:r>
              <w:rPr>
                <w:sz w:val="18"/>
                <w:szCs w:val="18"/>
              </w:rPr>
              <w:t>70 848,8</w:t>
            </w:r>
          </w:p>
        </w:tc>
        <w:tc>
          <w:tcPr>
            <w:tcW w:w="1227" w:type="dxa"/>
            <w:tcBorders>
              <w:top w:val="nil"/>
              <w:left w:val="nil"/>
              <w:bottom w:val="nil"/>
              <w:right w:val="nil"/>
            </w:tcBorders>
            <w:shd w:val="clear" w:color="auto" w:fill="auto"/>
            <w:noWrap/>
            <w:vAlign w:val="bottom"/>
            <w:hideMark/>
          </w:tcPr>
          <w:p w:rsidR="00A909B5" w:rsidRPr="0059164A" w:rsidRDefault="00A909B5" w:rsidP="00A909B5">
            <w:pPr>
              <w:jc w:val="right"/>
              <w:rPr>
                <w:color w:val="0070C0"/>
                <w:sz w:val="18"/>
                <w:szCs w:val="18"/>
              </w:rPr>
            </w:pPr>
            <w:r>
              <w:rPr>
                <w:sz w:val="18"/>
                <w:szCs w:val="18"/>
              </w:rPr>
              <w:t>46 492,1</w:t>
            </w:r>
          </w:p>
        </w:tc>
        <w:tc>
          <w:tcPr>
            <w:tcW w:w="1222" w:type="dxa"/>
            <w:tcBorders>
              <w:top w:val="nil"/>
              <w:left w:val="nil"/>
              <w:bottom w:val="nil"/>
              <w:right w:val="nil"/>
            </w:tcBorders>
            <w:shd w:val="clear" w:color="auto" w:fill="auto"/>
            <w:noWrap/>
            <w:vAlign w:val="bottom"/>
            <w:hideMark/>
          </w:tcPr>
          <w:p w:rsidR="00A909B5" w:rsidRPr="0059164A" w:rsidRDefault="00A909B5" w:rsidP="00A909B5">
            <w:pPr>
              <w:jc w:val="right"/>
              <w:rPr>
                <w:color w:val="0070C0"/>
                <w:sz w:val="18"/>
                <w:szCs w:val="18"/>
              </w:rPr>
            </w:pPr>
            <w:r>
              <w:rPr>
                <w:sz w:val="18"/>
                <w:szCs w:val="18"/>
              </w:rPr>
              <w:t>44 159,6</w:t>
            </w:r>
          </w:p>
        </w:tc>
        <w:tc>
          <w:tcPr>
            <w:tcW w:w="1199" w:type="dxa"/>
            <w:tcBorders>
              <w:top w:val="nil"/>
              <w:left w:val="nil"/>
              <w:bottom w:val="nil"/>
              <w:right w:val="nil"/>
            </w:tcBorders>
            <w:shd w:val="clear" w:color="auto" w:fill="auto"/>
            <w:noWrap/>
            <w:vAlign w:val="bottom"/>
            <w:hideMark/>
          </w:tcPr>
          <w:p w:rsidR="00A909B5" w:rsidRPr="0059164A" w:rsidRDefault="00A909B5" w:rsidP="00A909B5">
            <w:pPr>
              <w:jc w:val="right"/>
              <w:rPr>
                <w:color w:val="0070C0"/>
                <w:sz w:val="18"/>
                <w:szCs w:val="18"/>
              </w:rPr>
            </w:pPr>
            <w:r>
              <w:rPr>
                <w:sz w:val="18"/>
                <w:szCs w:val="18"/>
              </w:rPr>
              <w:t>2 332,5</w:t>
            </w:r>
          </w:p>
        </w:tc>
        <w:tc>
          <w:tcPr>
            <w:tcW w:w="1209" w:type="dxa"/>
            <w:tcBorders>
              <w:top w:val="nil"/>
              <w:left w:val="nil"/>
              <w:bottom w:val="nil"/>
              <w:right w:val="single" w:sz="4" w:space="0" w:color="auto"/>
            </w:tcBorders>
            <w:shd w:val="clear" w:color="auto" w:fill="auto"/>
            <w:noWrap/>
            <w:vAlign w:val="bottom"/>
            <w:hideMark/>
          </w:tcPr>
          <w:p w:rsidR="00A909B5" w:rsidRPr="0059164A" w:rsidRDefault="00A909B5" w:rsidP="00A909B5">
            <w:pPr>
              <w:jc w:val="right"/>
              <w:rPr>
                <w:color w:val="0070C0"/>
                <w:sz w:val="18"/>
                <w:szCs w:val="18"/>
                <w:highlight w:val="yellow"/>
              </w:rPr>
            </w:pPr>
            <w:r>
              <w:rPr>
                <w:sz w:val="18"/>
                <w:szCs w:val="18"/>
              </w:rPr>
              <w:t>65,6%</w:t>
            </w:r>
          </w:p>
        </w:tc>
      </w:tr>
      <w:tr w:rsidR="00A909B5" w:rsidRPr="0059164A" w:rsidTr="00502EA5">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A909B5" w:rsidRPr="00D62472" w:rsidRDefault="00A909B5" w:rsidP="00A909B5">
            <w:pPr>
              <w:rPr>
                <w:sz w:val="18"/>
                <w:szCs w:val="18"/>
              </w:rPr>
            </w:pPr>
            <w:r w:rsidRPr="00D62472">
              <w:rPr>
                <w:sz w:val="18"/>
                <w:szCs w:val="18"/>
              </w:rPr>
              <w:t xml:space="preserve">    Текущи</w:t>
            </w:r>
          </w:p>
        </w:tc>
        <w:tc>
          <w:tcPr>
            <w:tcW w:w="1147" w:type="dxa"/>
            <w:tcBorders>
              <w:top w:val="nil"/>
              <w:left w:val="single" w:sz="4" w:space="0" w:color="auto"/>
              <w:bottom w:val="nil"/>
              <w:right w:val="nil"/>
            </w:tcBorders>
            <w:shd w:val="clear" w:color="auto" w:fill="auto"/>
            <w:noWrap/>
            <w:vAlign w:val="bottom"/>
            <w:hideMark/>
          </w:tcPr>
          <w:p w:rsidR="00A909B5" w:rsidRPr="0059164A" w:rsidRDefault="00A909B5" w:rsidP="00A909B5">
            <w:pPr>
              <w:jc w:val="right"/>
              <w:rPr>
                <w:color w:val="0070C0"/>
                <w:sz w:val="18"/>
                <w:szCs w:val="18"/>
              </w:rPr>
            </w:pPr>
            <w:r>
              <w:rPr>
                <w:sz w:val="18"/>
                <w:szCs w:val="18"/>
              </w:rPr>
              <w:t>62 694,2</w:t>
            </w:r>
          </w:p>
        </w:tc>
        <w:tc>
          <w:tcPr>
            <w:tcW w:w="1227" w:type="dxa"/>
            <w:tcBorders>
              <w:top w:val="nil"/>
              <w:left w:val="nil"/>
              <w:bottom w:val="nil"/>
              <w:right w:val="nil"/>
            </w:tcBorders>
            <w:shd w:val="clear" w:color="auto" w:fill="auto"/>
            <w:noWrap/>
            <w:vAlign w:val="bottom"/>
            <w:hideMark/>
          </w:tcPr>
          <w:p w:rsidR="00A909B5" w:rsidRPr="0059164A" w:rsidRDefault="00A909B5" w:rsidP="00A909B5">
            <w:pPr>
              <w:jc w:val="right"/>
              <w:rPr>
                <w:color w:val="0070C0"/>
                <w:sz w:val="18"/>
                <w:szCs w:val="18"/>
              </w:rPr>
            </w:pPr>
            <w:r>
              <w:rPr>
                <w:sz w:val="18"/>
                <w:szCs w:val="18"/>
              </w:rPr>
              <w:t>42 798,4</w:t>
            </w:r>
          </w:p>
        </w:tc>
        <w:tc>
          <w:tcPr>
            <w:tcW w:w="1222" w:type="dxa"/>
            <w:tcBorders>
              <w:top w:val="nil"/>
              <w:left w:val="nil"/>
              <w:bottom w:val="nil"/>
              <w:right w:val="nil"/>
            </w:tcBorders>
            <w:shd w:val="clear" w:color="auto" w:fill="auto"/>
            <w:noWrap/>
            <w:vAlign w:val="bottom"/>
            <w:hideMark/>
          </w:tcPr>
          <w:p w:rsidR="00A909B5" w:rsidRPr="0059164A" w:rsidRDefault="00A909B5" w:rsidP="00A909B5">
            <w:pPr>
              <w:jc w:val="right"/>
              <w:rPr>
                <w:color w:val="0070C0"/>
                <w:sz w:val="18"/>
                <w:szCs w:val="18"/>
              </w:rPr>
            </w:pPr>
            <w:r>
              <w:rPr>
                <w:color w:val="000000"/>
                <w:sz w:val="18"/>
                <w:szCs w:val="18"/>
              </w:rPr>
              <w:t>41 917,8</w:t>
            </w:r>
          </w:p>
        </w:tc>
        <w:tc>
          <w:tcPr>
            <w:tcW w:w="1199" w:type="dxa"/>
            <w:tcBorders>
              <w:top w:val="nil"/>
              <w:left w:val="nil"/>
              <w:bottom w:val="nil"/>
              <w:right w:val="nil"/>
            </w:tcBorders>
            <w:shd w:val="clear" w:color="auto" w:fill="auto"/>
            <w:noWrap/>
            <w:vAlign w:val="bottom"/>
            <w:hideMark/>
          </w:tcPr>
          <w:p w:rsidR="00A909B5" w:rsidRPr="0059164A" w:rsidRDefault="00A909B5" w:rsidP="00A909B5">
            <w:pPr>
              <w:jc w:val="right"/>
              <w:rPr>
                <w:color w:val="0070C0"/>
                <w:sz w:val="18"/>
                <w:szCs w:val="18"/>
              </w:rPr>
            </w:pPr>
            <w:r>
              <w:rPr>
                <w:color w:val="000000"/>
                <w:sz w:val="18"/>
                <w:szCs w:val="18"/>
              </w:rPr>
              <w:t>880,6</w:t>
            </w:r>
          </w:p>
        </w:tc>
        <w:tc>
          <w:tcPr>
            <w:tcW w:w="1209" w:type="dxa"/>
            <w:tcBorders>
              <w:top w:val="nil"/>
              <w:left w:val="nil"/>
              <w:bottom w:val="nil"/>
              <w:right w:val="single" w:sz="4" w:space="0" w:color="auto"/>
            </w:tcBorders>
            <w:shd w:val="clear" w:color="auto" w:fill="auto"/>
            <w:noWrap/>
            <w:vAlign w:val="bottom"/>
            <w:hideMark/>
          </w:tcPr>
          <w:p w:rsidR="00A909B5" w:rsidRPr="0059164A" w:rsidRDefault="00A909B5" w:rsidP="00A909B5">
            <w:pPr>
              <w:jc w:val="right"/>
              <w:rPr>
                <w:color w:val="0070C0"/>
                <w:sz w:val="18"/>
                <w:szCs w:val="18"/>
                <w:highlight w:val="yellow"/>
              </w:rPr>
            </w:pPr>
            <w:r>
              <w:rPr>
                <w:sz w:val="18"/>
                <w:szCs w:val="18"/>
              </w:rPr>
              <w:t>68,3%</w:t>
            </w:r>
          </w:p>
        </w:tc>
      </w:tr>
      <w:tr w:rsidR="009E12C8" w:rsidRPr="0059164A" w:rsidTr="004B3567">
        <w:trPr>
          <w:trHeight w:val="250"/>
        </w:trPr>
        <w:tc>
          <w:tcPr>
            <w:tcW w:w="4250" w:type="dxa"/>
            <w:tcBorders>
              <w:top w:val="nil"/>
              <w:left w:val="single" w:sz="8" w:space="0" w:color="auto"/>
              <w:bottom w:val="nil"/>
              <w:right w:val="single" w:sz="4" w:space="0" w:color="auto"/>
            </w:tcBorders>
            <w:shd w:val="clear" w:color="auto" w:fill="auto"/>
            <w:noWrap/>
            <w:vAlign w:val="bottom"/>
          </w:tcPr>
          <w:p w:rsidR="009E12C8" w:rsidRPr="00D62472" w:rsidRDefault="009E12C8" w:rsidP="009E12C8">
            <w:pPr>
              <w:rPr>
                <w:sz w:val="18"/>
                <w:szCs w:val="18"/>
              </w:rPr>
            </w:pPr>
            <w:r w:rsidRPr="00D62472">
              <w:rPr>
                <w:sz w:val="18"/>
                <w:szCs w:val="18"/>
              </w:rPr>
              <w:t xml:space="preserve">    Предоставени </w:t>
            </w:r>
            <w:proofErr w:type="spellStart"/>
            <w:r w:rsidRPr="00D62472">
              <w:rPr>
                <w:sz w:val="18"/>
                <w:szCs w:val="18"/>
              </w:rPr>
              <w:t>тек</w:t>
            </w:r>
            <w:proofErr w:type="spellEnd"/>
            <w:r w:rsidRPr="00D62472">
              <w:rPr>
                <w:sz w:val="18"/>
                <w:szCs w:val="18"/>
              </w:rPr>
              <w:t xml:space="preserve">. и </w:t>
            </w:r>
            <w:proofErr w:type="spellStart"/>
            <w:r w:rsidRPr="00D62472">
              <w:rPr>
                <w:sz w:val="18"/>
                <w:szCs w:val="18"/>
              </w:rPr>
              <w:t>капит</w:t>
            </w:r>
            <w:proofErr w:type="spellEnd"/>
            <w:r w:rsidRPr="00D62472">
              <w:rPr>
                <w:sz w:val="18"/>
                <w:szCs w:val="18"/>
              </w:rPr>
              <w:t>. трансфери за чужбина</w:t>
            </w:r>
          </w:p>
        </w:tc>
        <w:tc>
          <w:tcPr>
            <w:tcW w:w="1147" w:type="dxa"/>
            <w:tcBorders>
              <w:top w:val="nil"/>
              <w:left w:val="single" w:sz="4" w:space="0" w:color="auto"/>
              <w:bottom w:val="nil"/>
              <w:right w:val="nil"/>
            </w:tcBorders>
            <w:shd w:val="clear" w:color="auto" w:fill="auto"/>
            <w:noWrap/>
            <w:vAlign w:val="bottom"/>
          </w:tcPr>
          <w:p w:rsidR="009E12C8" w:rsidRPr="0059164A" w:rsidRDefault="009E12C8" w:rsidP="009E12C8">
            <w:pPr>
              <w:jc w:val="right"/>
              <w:rPr>
                <w:color w:val="0070C0"/>
                <w:sz w:val="18"/>
                <w:szCs w:val="18"/>
              </w:rPr>
            </w:pPr>
            <w:r w:rsidRPr="004B6067">
              <w:rPr>
                <w:sz w:val="18"/>
                <w:szCs w:val="18"/>
              </w:rPr>
              <w:t>20,7</w:t>
            </w:r>
          </w:p>
        </w:tc>
        <w:tc>
          <w:tcPr>
            <w:tcW w:w="1227" w:type="dxa"/>
            <w:tcBorders>
              <w:top w:val="nil"/>
              <w:left w:val="nil"/>
              <w:bottom w:val="nil"/>
              <w:right w:val="nil"/>
            </w:tcBorders>
            <w:shd w:val="clear" w:color="auto" w:fill="auto"/>
            <w:noWrap/>
            <w:vAlign w:val="bottom"/>
          </w:tcPr>
          <w:p w:rsidR="009E12C8" w:rsidRPr="0059164A" w:rsidRDefault="009E12C8" w:rsidP="009E12C8">
            <w:pPr>
              <w:jc w:val="right"/>
              <w:rPr>
                <w:color w:val="0070C0"/>
                <w:sz w:val="18"/>
                <w:szCs w:val="18"/>
              </w:rPr>
            </w:pPr>
            <w:r>
              <w:rPr>
                <w:sz w:val="18"/>
                <w:szCs w:val="18"/>
              </w:rPr>
              <w:t>46,4</w:t>
            </w:r>
          </w:p>
        </w:tc>
        <w:tc>
          <w:tcPr>
            <w:tcW w:w="1222" w:type="dxa"/>
            <w:tcBorders>
              <w:top w:val="nil"/>
              <w:left w:val="nil"/>
              <w:bottom w:val="nil"/>
              <w:right w:val="nil"/>
            </w:tcBorders>
            <w:shd w:val="clear" w:color="auto" w:fill="auto"/>
            <w:noWrap/>
            <w:vAlign w:val="bottom"/>
          </w:tcPr>
          <w:p w:rsidR="009E12C8" w:rsidRPr="0059164A" w:rsidRDefault="009E12C8" w:rsidP="009E12C8">
            <w:pPr>
              <w:jc w:val="right"/>
              <w:rPr>
                <w:color w:val="0070C0"/>
                <w:sz w:val="18"/>
                <w:szCs w:val="18"/>
              </w:rPr>
            </w:pPr>
            <w:r>
              <w:rPr>
                <w:color w:val="000000"/>
                <w:sz w:val="18"/>
                <w:szCs w:val="18"/>
              </w:rPr>
              <w:t>10,0</w:t>
            </w:r>
          </w:p>
        </w:tc>
        <w:tc>
          <w:tcPr>
            <w:tcW w:w="1199" w:type="dxa"/>
            <w:tcBorders>
              <w:top w:val="nil"/>
              <w:left w:val="nil"/>
              <w:bottom w:val="nil"/>
              <w:right w:val="nil"/>
            </w:tcBorders>
            <w:shd w:val="clear" w:color="auto" w:fill="auto"/>
            <w:noWrap/>
            <w:vAlign w:val="bottom"/>
          </w:tcPr>
          <w:p w:rsidR="009E12C8" w:rsidRPr="0059164A" w:rsidRDefault="009E12C8" w:rsidP="009E12C8">
            <w:pPr>
              <w:jc w:val="right"/>
              <w:rPr>
                <w:color w:val="0070C0"/>
                <w:sz w:val="18"/>
                <w:szCs w:val="18"/>
              </w:rPr>
            </w:pPr>
            <w:r>
              <w:rPr>
                <w:color w:val="000000"/>
                <w:sz w:val="18"/>
                <w:szCs w:val="18"/>
              </w:rPr>
              <w:t>36,4</w:t>
            </w:r>
          </w:p>
        </w:tc>
        <w:tc>
          <w:tcPr>
            <w:tcW w:w="1209" w:type="dxa"/>
            <w:tcBorders>
              <w:top w:val="nil"/>
              <w:left w:val="nil"/>
              <w:right w:val="single" w:sz="4" w:space="0" w:color="auto"/>
            </w:tcBorders>
            <w:shd w:val="clear" w:color="auto" w:fill="auto"/>
            <w:noWrap/>
            <w:vAlign w:val="bottom"/>
          </w:tcPr>
          <w:p w:rsidR="009E12C8" w:rsidRPr="0059164A" w:rsidRDefault="009E12C8" w:rsidP="009E12C8">
            <w:pPr>
              <w:jc w:val="right"/>
              <w:rPr>
                <w:color w:val="0070C0"/>
                <w:sz w:val="18"/>
                <w:szCs w:val="18"/>
                <w:highlight w:val="yellow"/>
              </w:rPr>
            </w:pPr>
            <w:r>
              <w:rPr>
                <w:sz w:val="18"/>
                <w:szCs w:val="18"/>
              </w:rPr>
              <w:t>224,3%</w:t>
            </w:r>
          </w:p>
        </w:tc>
      </w:tr>
      <w:tr w:rsidR="009E12C8" w:rsidRPr="0059164A"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9E12C8" w:rsidRPr="00D62472" w:rsidRDefault="009E12C8" w:rsidP="009E12C8">
            <w:pPr>
              <w:rPr>
                <w:sz w:val="18"/>
                <w:szCs w:val="18"/>
              </w:rPr>
            </w:pPr>
            <w:r w:rsidRPr="00D62472">
              <w:rPr>
                <w:sz w:val="18"/>
                <w:szCs w:val="18"/>
              </w:rPr>
              <w:t xml:space="preserve">    Капиталови</w:t>
            </w:r>
          </w:p>
        </w:tc>
        <w:tc>
          <w:tcPr>
            <w:tcW w:w="1147" w:type="dxa"/>
            <w:tcBorders>
              <w:top w:val="nil"/>
              <w:left w:val="single" w:sz="4" w:space="0" w:color="auto"/>
              <w:bottom w:val="nil"/>
              <w:right w:val="nil"/>
            </w:tcBorders>
            <w:shd w:val="clear" w:color="auto" w:fill="auto"/>
            <w:noWrap/>
            <w:vAlign w:val="bottom"/>
            <w:hideMark/>
          </w:tcPr>
          <w:p w:rsidR="009E12C8" w:rsidRPr="0059164A" w:rsidRDefault="009E12C8" w:rsidP="009E12C8">
            <w:pPr>
              <w:jc w:val="right"/>
              <w:rPr>
                <w:color w:val="0070C0"/>
                <w:sz w:val="18"/>
                <w:szCs w:val="18"/>
              </w:rPr>
            </w:pPr>
            <w:r>
              <w:rPr>
                <w:sz w:val="18"/>
                <w:szCs w:val="18"/>
              </w:rPr>
              <w:t>8 133,9</w:t>
            </w:r>
          </w:p>
        </w:tc>
        <w:tc>
          <w:tcPr>
            <w:tcW w:w="1227" w:type="dxa"/>
            <w:tcBorders>
              <w:top w:val="nil"/>
              <w:left w:val="nil"/>
              <w:bottom w:val="nil"/>
              <w:right w:val="nil"/>
            </w:tcBorders>
            <w:shd w:val="clear" w:color="auto" w:fill="auto"/>
            <w:noWrap/>
            <w:vAlign w:val="bottom"/>
            <w:hideMark/>
          </w:tcPr>
          <w:p w:rsidR="009E12C8" w:rsidRPr="0059164A" w:rsidRDefault="009E12C8" w:rsidP="009E12C8">
            <w:pPr>
              <w:jc w:val="right"/>
              <w:rPr>
                <w:color w:val="0070C0"/>
                <w:sz w:val="18"/>
                <w:szCs w:val="18"/>
              </w:rPr>
            </w:pPr>
            <w:r>
              <w:rPr>
                <w:sz w:val="18"/>
                <w:szCs w:val="18"/>
              </w:rPr>
              <w:t>3 647,2</w:t>
            </w:r>
          </w:p>
        </w:tc>
        <w:tc>
          <w:tcPr>
            <w:tcW w:w="1222" w:type="dxa"/>
            <w:tcBorders>
              <w:top w:val="nil"/>
              <w:left w:val="nil"/>
              <w:bottom w:val="nil"/>
              <w:right w:val="nil"/>
            </w:tcBorders>
            <w:shd w:val="clear" w:color="auto" w:fill="auto"/>
            <w:noWrap/>
            <w:vAlign w:val="bottom"/>
            <w:hideMark/>
          </w:tcPr>
          <w:p w:rsidR="009E12C8" w:rsidRPr="0059164A" w:rsidRDefault="009E12C8" w:rsidP="009E12C8">
            <w:pPr>
              <w:jc w:val="right"/>
              <w:rPr>
                <w:color w:val="0070C0"/>
                <w:sz w:val="18"/>
                <w:szCs w:val="18"/>
              </w:rPr>
            </w:pPr>
            <w:r>
              <w:rPr>
                <w:color w:val="000000"/>
                <w:sz w:val="18"/>
                <w:szCs w:val="18"/>
              </w:rPr>
              <w:t>2 231,8</w:t>
            </w:r>
          </w:p>
        </w:tc>
        <w:tc>
          <w:tcPr>
            <w:tcW w:w="1199" w:type="dxa"/>
            <w:tcBorders>
              <w:top w:val="nil"/>
              <w:left w:val="nil"/>
              <w:bottom w:val="nil"/>
              <w:right w:val="nil"/>
            </w:tcBorders>
            <w:shd w:val="clear" w:color="auto" w:fill="auto"/>
            <w:noWrap/>
            <w:vAlign w:val="bottom"/>
            <w:hideMark/>
          </w:tcPr>
          <w:p w:rsidR="009E12C8" w:rsidRPr="0059164A" w:rsidRDefault="009E12C8" w:rsidP="009E12C8">
            <w:pPr>
              <w:jc w:val="right"/>
              <w:rPr>
                <w:color w:val="0070C0"/>
                <w:sz w:val="18"/>
                <w:szCs w:val="18"/>
              </w:rPr>
            </w:pPr>
            <w:r>
              <w:rPr>
                <w:color w:val="000000"/>
                <w:sz w:val="18"/>
                <w:szCs w:val="18"/>
              </w:rPr>
              <w:t>1 415,4</w:t>
            </w:r>
          </w:p>
        </w:tc>
        <w:tc>
          <w:tcPr>
            <w:tcW w:w="1209" w:type="dxa"/>
            <w:tcBorders>
              <w:top w:val="nil"/>
              <w:left w:val="nil"/>
              <w:bottom w:val="nil"/>
              <w:right w:val="single" w:sz="4" w:space="0" w:color="auto"/>
            </w:tcBorders>
            <w:shd w:val="clear" w:color="auto" w:fill="auto"/>
            <w:noWrap/>
            <w:vAlign w:val="bottom"/>
            <w:hideMark/>
          </w:tcPr>
          <w:p w:rsidR="009E12C8" w:rsidRPr="0059164A" w:rsidRDefault="009E12C8" w:rsidP="009E12C8">
            <w:pPr>
              <w:jc w:val="right"/>
              <w:rPr>
                <w:color w:val="0070C0"/>
                <w:sz w:val="18"/>
                <w:szCs w:val="18"/>
                <w:highlight w:val="yellow"/>
              </w:rPr>
            </w:pPr>
            <w:r>
              <w:rPr>
                <w:sz w:val="18"/>
                <w:szCs w:val="18"/>
              </w:rPr>
              <w:t>44,8%</w:t>
            </w:r>
          </w:p>
        </w:tc>
      </w:tr>
      <w:tr w:rsidR="009E12C8" w:rsidRPr="0059164A" w:rsidTr="00C72F1B">
        <w:trPr>
          <w:trHeight w:val="250"/>
        </w:trPr>
        <w:tc>
          <w:tcPr>
            <w:tcW w:w="4250" w:type="dxa"/>
            <w:tcBorders>
              <w:top w:val="nil"/>
              <w:left w:val="single" w:sz="8" w:space="0" w:color="auto"/>
              <w:right w:val="single" w:sz="4" w:space="0" w:color="auto"/>
            </w:tcBorders>
            <w:shd w:val="clear" w:color="auto" w:fill="auto"/>
            <w:noWrap/>
            <w:vAlign w:val="bottom"/>
            <w:hideMark/>
          </w:tcPr>
          <w:p w:rsidR="009E12C8" w:rsidRPr="00D62472" w:rsidRDefault="009E12C8" w:rsidP="009E12C8">
            <w:pPr>
              <w:rPr>
                <w:sz w:val="18"/>
                <w:szCs w:val="18"/>
              </w:rPr>
            </w:pPr>
            <w:r w:rsidRPr="00D62472">
              <w:rPr>
                <w:sz w:val="18"/>
                <w:szCs w:val="18"/>
              </w:rPr>
              <w:t xml:space="preserve">           в т.ч. нетен прираст на държавния резерв</w:t>
            </w:r>
          </w:p>
        </w:tc>
        <w:tc>
          <w:tcPr>
            <w:tcW w:w="1147" w:type="dxa"/>
            <w:tcBorders>
              <w:top w:val="nil"/>
              <w:left w:val="single" w:sz="4" w:space="0" w:color="auto"/>
              <w:bottom w:val="nil"/>
              <w:right w:val="nil"/>
            </w:tcBorders>
            <w:shd w:val="clear" w:color="auto" w:fill="auto"/>
            <w:noWrap/>
            <w:vAlign w:val="bottom"/>
            <w:hideMark/>
          </w:tcPr>
          <w:p w:rsidR="009E12C8" w:rsidRPr="0059164A" w:rsidRDefault="009E12C8" w:rsidP="009E12C8">
            <w:pPr>
              <w:jc w:val="right"/>
              <w:rPr>
                <w:color w:val="0070C0"/>
                <w:sz w:val="18"/>
                <w:szCs w:val="18"/>
              </w:rPr>
            </w:pPr>
            <w:r>
              <w:rPr>
                <w:sz w:val="18"/>
                <w:szCs w:val="18"/>
              </w:rPr>
              <w:t>31,3</w:t>
            </w:r>
          </w:p>
        </w:tc>
        <w:tc>
          <w:tcPr>
            <w:tcW w:w="1227" w:type="dxa"/>
            <w:tcBorders>
              <w:top w:val="nil"/>
              <w:left w:val="nil"/>
              <w:bottom w:val="nil"/>
              <w:right w:val="nil"/>
            </w:tcBorders>
            <w:shd w:val="clear" w:color="auto" w:fill="auto"/>
            <w:noWrap/>
            <w:vAlign w:val="bottom"/>
            <w:hideMark/>
          </w:tcPr>
          <w:p w:rsidR="009E12C8" w:rsidRPr="0059164A" w:rsidRDefault="009E12C8" w:rsidP="009E12C8">
            <w:pPr>
              <w:jc w:val="right"/>
              <w:rPr>
                <w:color w:val="0070C0"/>
                <w:sz w:val="18"/>
                <w:szCs w:val="18"/>
              </w:rPr>
            </w:pPr>
            <w:r>
              <w:rPr>
                <w:sz w:val="18"/>
                <w:szCs w:val="18"/>
              </w:rPr>
              <w:t>61,6</w:t>
            </w:r>
          </w:p>
        </w:tc>
        <w:tc>
          <w:tcPr>
            <w:tcW w:w="1222" w:type="dxa"/>
            <w:tcBorders>
              <w:top w:val="nil"/>
              <w:left w:val="nil"/>
              <w:bottom w:val="nil"/>
              <w:right w:val="nil"/>
            </w:tcBorders>
            <w:shd w:val="clear" w:color="auto" w:fill="auto"/>
            <w:noWrap/>
            <w:vAlign w:val="bottom"/>
            <w:hideMark/>
          </w:tcPr>
          <w:p w:rsidR="009E12C8" w:rsidRPr="0059164A" w:rsidRDefault="009E12C8" w:rsidP="009E12C8">
            <w:pPr>
              <w:jc w:val="right"/>
              <w:rPr>
                <w:color w:val="0070C0"/>
                <w:sz w:val="18"/>
                <w:szCs w:val="18"/>
              </w:rPr>
            </w:pPr>
            <w:r>
              <w:rPr>
                <w:color w:val="000000"/>
                <w:sz w:val="18"/>
                <w:szCs w:val="18"/>
              </w:rPr>
              <w:t>61,6</w:t>
            </w:r>
          </w:p>
        </w:tc>
        <w:tc>
          <w:tcPr>
            <w:tcW w:w="1199" w:type="dxa"/>
            <w:tcBorders>
              <w:top w:val="nil"/>
              <w:left w:val="nil"/>
              <w:bottom w:val="nil"/>
              <w:right w:val="nil"/>
            </w:tcBorders>
            <w:shd w:val="clear" w:color="auto" w:fill="auto"/>
            <w:noWrap/>
            <w:vAlign w:val="bottom"/>
          </w:tcPr>
          <w:p w:rsidR="009E12C8" w:rsidRPr="0059164A" w:rsidRDefault="009E12C8" w:rsidP="009E12C8">
            <w:pPr>
              <w:jc w:val="right"/>
              <w:rPr>
                <w:color w:val="0070C0"/>
                <w:sz w:val="18"/>
                <w:szCs w:val="18"/>
              </w:rPr>
            </w:pPr>
          </w:p>
        </w:tc>
        <w:tc>
          <w:tcPr>
            <w:tcW w:w="1209" w:type="dxa"/>
            <w:tcBorders>
              <w:top w:val="nil"/>
              <w:left w:val="nil"/>
              <w:bottom w:val="nil"/>
              <w:right w:val="single" w:sz="4" w:space="0" w:color="auto"/>
            </w:tcBorders>
            <w:shd w:val="clear" w:color="auto" w:fill="auto"/>
            <w:noWrap/>
            <w:vAlign w:val="bottom"/>
          </w:tcPr>
          <w:p w:rsidR="009E12C8" w:rsidRPr="0059164A" w:rsidRDefault="002D31D9" w:rsidP="009E12C8">
            <w:pPr>
              <w:jc w:val="right"/>
              <w:rPr>
                <w:color w:val="0070C0"/>
                <w:sz w:val="18"/>
                <w:szCs w:val="18"/>
                <w:highlight w:val="yellow"/>
              </w:rPr>
            </w:pPr>
            <w:r>
              <w:rPr>
                <w:sz w:val="18"/>
                <w:szCs w:val="18"/>
              </w:rPr>
              <w:t>196,9%</w:t>
            </w:r>
          </w:p>
        </w:tc>
      </w:tr>
      <w:tr w:rsidR="008A6F20" w:rsidRPr="0059164A" w:rsidTr="004B3567">
        <w:trPr>
          <w:trHeight w:val="250"/>
        </w:trPr>
        <w:tc>
          <w:tcPr>
            <w:tcW w:w="4250" w:type="dxa"/>
            <w:tcBorders>
              <w:top w:val="nil"/>
              <w:left w:val="single" w:sz="8" w:space="0" w:color="auto"/>
              <w:bottom w:val="nil"/>
              <w:right w:val="single" w:sz="4" w:space="0" w:color="auto"/>
            </w:tcBorders>
            <w:shd w:val="clear" w:color="auto" w:fill="auto"/>
            <w:noWrap/>
            <w:vAlign w:val="bottom"/>
            <w:hideMark/>
          </w:tcPr>
          <w:p w:rsidR="008A6F20" w:rsidRPr="00D62472" w:rsidRDefault="008A6F20" w:rsidP="008A6F20">
            <w:pPr>
              <w:rPr>
                <w:sz w:val="18"/>
                <w:szCs w:val="18"/>
              </w:rPr>
            </w:pPr>
            <w:r w:rsidRPr="00D62472">
              <w:rPr>
                <w:sz w:val="18"/>
                <w:szCs w:val="18"/>
              </w:rPr>
              <w:t xml:space="preserve">  Лихвени</w:t>
            </w:r>
          </w:p>
        </w:tc>
        <w:tc>
          <w:tcPr>
            <w:tcW w:w="1147" w:type="dxa"/>
            <w:tcBorders>
              <w:top w:val="nil"/>
              <w:left w:val="single" w:sz="4" w:space="0" w:color="auto"/>
              <w:bottom w:val="nil"/>
              <w:right w:val="nil"/>
            </w:tcBorders>
            <w:shd w:val="clear" w:color="auto" w:fill="auto"/>
            <w:noWrap/>
            <w:vAlign w:val="bottom"/>
            <w:hideMark/>
          </w:tcPr>
          <w:p w:rsidR="008A6F20" w:rsidRPr="0059164A" w:rsidRDefault="008A6F20" w:rsidP="008A6F20">
            <w:pPr>
              <w:jc w:val="right"/>
              <w:rPr>
                <w:color w:val="0070C0"/>
                <w:sz w:val="18"/>
                <w:szCs w:val="18"/>
              </w:rPr>
            </w:pPr>
            <w:r w:rsidRPr="004B6067">
              <w:rPr>
                <w:sz w:val="18"/>
                <w:szCs w:val="18"/>
              </w:rPr>
              <w:t>823,8</w:t>
            </w:r>
          </w:p>
        </w:tc>
        <w:tc>
          <w:tcPr>
            <w:tcW w:w="1227" w:type="dxa"/>
            <w:tcBorders>
              <w:top w:val="nil"/>
              <w:left w:val="nil"/>
              <w:bottom w:val="nil"/>
              <w:right w:val="nil"/>
            </w:tcBorders>
            <w:shd w:val="clear" w:color="auto" w:fill="auto"/>
            <w:noWrap/>
            <w:vAlign w:val="bottom"/>
            <w:hideMark/>
          </w:tcPr>
          <w:p w:rsidR="008A6F20" w:rsidRPr="0059164A" w:rsidRDefault="008A6F20" w:rsidP="008A6F20">
            <w:pPr>
              <w:jc w:val="right"/>
              <w:rPr>
                <w:color w:val="0070C0"/>
                <w:sz w:val="18"/>
                <w:szCs w:val="18"/>
              </w:rPr>
            </w:pPr>
            <w:r>
              <w:rPr>
                <w:sz w:val="18"/>
                <w:szCs w:val="18"/>
              </w:rPr>
              <w:t>733,5</w:t>
            </w:r>
          </w:p>
        </w:tc>
        <w:tc>
          <w:tcPr>
            <w:tcW w:w="1222" w:type="dxa"/>
            <w:tcBorders>
              <w:top w:val="nil"/>
              <w:left w:val="nil"/>
              <w:bottom w:val="nil"/>
              <w:right w:val="nil"/>
            </w:tcBorders>
            <w:shd w:val="clear" w:color="auto" w:fill="auto"/>
            <w:noWrap/>
            <w:vAlign w:val="bottom"/>
            <w:hideMark/>
          </w:tcPr>
          <w:p w:rsidR="008A6F20" w:rsidRPr="0059164A" w:rsidRDefault="008A6F20" w:rsidP="008A6F20">
            <w:pPr>
              <w:jc w:val="right"/>
              <w:rPr>
                <w:color w:val="0070C0"/>
                <w:sz w:val="18"/>
                <w:szCs w:val="18"/>
              </w:rPr>
            </w:pPr>
            <w:r>
              <w:rPr>
                <w:color w:val="000000"/>
                <w:sz w:val="18"/>
                <w:szCs w:val="18"/>
              </w:rPr>
              <w:t>733,5</w:t>
            </w:r>
          </w:p>
        </w:tc>
        <w:tc>
          <w:tcPr>
            <w:tcW w:w="1199" w:type="dxa"/>
            <w:tcBorders>
              <w:top w:val="nil"/>
              <w:left w:val="nil"/>
              <w:bottom w:val="nil"/>
              <w:right w:val="nil"/>
            </w:tcBorders>
            <w:shd w:val="clear" w:color="auto" w:fill="auto"/>
            <w:noWrap/>
            <w:vAlign w:val="bottom"/>
          </w:tcPr>
          <w:p w:rsidR="008A6F20" w:rsidRPr="0059164A" w:rsidRDefault="008A6F20" w:rsidP="008A6F20">
            <w:pPr>
              <w:jc w:val="right"/>
              <w:rPr>
                <w:color w:val="0070C0"/>
                <w:sz w:val="18"/>
                <w:szCs w:val="18"/>
              </w:rPr>
            </w:pPr>
            <w:r>
              <w:rPr>
                <w:color w:val="000000"/>
                <w:sz w:val="18"/>
                <w:szCs w:val="18"/>
              </w:rPr>
              <w:t>0,02</w:t>
            </w:r>
          </w:p>
        </w:tc>
        <w:tc>
          <w:tcPr>
            <w:tcW w:w="1209" w:type="dxa"/>
            <w:tcBorders>
              <w:top w:val="nil"/>
              <w:left w:val="nil"/>
              <w:bottom w:val="nil"/>
              <w:right w:val="single" w:sz="4" w:space="0" w:color="auto"/>
            </w:tcBorders>
            <w:shd w:val="clear" w:color="auto" w:fill="auto"/>
            <w:noWrap/>
            <w:vAlign w:val="bottom"/>
            <w:hideMark/>
          </w:tcPr>
          <w:p w:rsidR="008A6F20" w:rsidRPr="0059164A" w:rsidRDefault="008A6F20" w:rsidP="008A6F20">
            <w:pPr>
              <w:jc w:val="right"/>
              <w:rPr>
                <w:color w:val="0070C0"/>
                <w:sz w:val="18"/>
                <w:szCs w:val="18"/>
                <w:highlight w:val="yellow"/>
              </w:rPr>
            </w:pPr>
            <w:r>
              <w:rPr>
                <w:sz w:val="18"/>
                <w:szCs w:val="18"/>
              </w:rPr>
              <w:t>89,0%</w:t>
            </w:r>
          </w:p>
        </w:tc>
      </w:tr>
      <w:tr w:rsidR="008A6F20" w:rsidRPr="0059164A" w:rsidTr="00C72F1B">
        <w:trPr>
          <w:trHeight w:val="250"/>
        </w:trPr>
        <w:tc>
          <w:tcPr>
            <w:tcW w:w="4250" w:type="dxa"/>
            <w:tcBorders>
              <w:top w:val="nil"/>
              <w:left w:val="single" w:sz="8" w:space="0" w:color="auto"/>
              <w:bottom w:val="nil"/>
              <w:right w:val="single" w:sz="4" w:space="0" w:color="auto"/>
            </w:tcBorders>
            <w:noWrap/>
            <w:vAlign w:val="bottom"/>
          </w:tcPr>
          <w:p w:rsidR="008A6F20" w:rsidRPr="00C72F1B" w:rsidRDefault="008A6F20" w:rsidP="008A6F20">
            <w:pPr>
              <w:rPr>
                <w:sz w:val="18"/>
                <w:szCs w:val="18"/>
              </w:rPr>
            </w:pPr>
            <w:r>
              <w:rPr>
                <w:sz w:val="18"/>
                <w:szCs w:val="18"/>
                <w:lang w:val="en-US"/>
              </w:rPr>
              <w:t xml:space="preserve">  </w:t>
            </w:r>
            <w:r w:rsidRPr="00C72F1B">
              <w:rPr>
                <w:sz w:val="18"/>
                <w:szCs w:val="18"/>
              </w:rPr>
              <w:t>Резерв за неотложни и непредвидени разходи</w:t>
            </w:r>
          </w:p>
        </w:tc>
        <w:tc>
          <w:tcPr>
            <w:tcW w:w="1147" w:type="dxa"/>
            <w:tcBorders>
              <w:left w:val="single" w:sz="4" w:space="0" w:color="auto"/>
            </w:tcBorders>
            <w:noWrap/>
            <w:vAlign w:val="bottom"/>
          </w:tcPr>
          <w:p w:rsidR="008A6F20" w:rsidRPr="004B6067" w:rsidRDefault="008A6F20" w:rsidP="008A6F20">
            <w:pPr>
              <w:jc w:val="right"/>
              <w:rPr>
                <w:sz w:val="18"/>
                <w:szCs w:val="18"/>
              </w:rPr>
            </w:pPr>
            <w:r w:rsidRPr="00A10D9D">
              <w:rPr>
                <w:sz w:val="18"/>
                <w:szCs w:val="18"/>
                <w:lang w:val="en-US"/>
              </w:rPr>
              <w:t>336,8</w:t>
            </w:r>
          </w:p>
        </w:tc>
        <w:tc>
          <w:tcPr>
            <w:tcW w:w="1227" w:type="dxa"/>
            <w:noWrap/>
            <w:vAlign w:val="bottom"/>
          </w:tcPr>
          <w:p w:rsidR="008A6F20" w:rsidRPr="0059164A" w:rsidRDefault="008A6F20" w:rsidP="008A6F20">
            <w:pPr>
              <w:jc w:val="right"/>
              <w:rPr>
                <w:color w:val="0070C0"/>
                <w:sz w:val="18"/>
                <w:szCs w:val="18"/>
              </w:rPr>
            </w:pPr>
          </w:p>
        </w:tc>
        <w:tc>
          <w:tcPr>
            <w:tcW w:w="1222" w:type="dxa"/>
            <w:noWrap/>
            <w:vAlign w:val="bottom"/>
          </w:tcPr>
          <w:p w:rsidR="008A6F20" w:rsidRPr="0059164A" w:rsidRDefault="008A6F20" w:rsidP="008A6F20">
            <w:pPr>
              <w:jc w:val="right"/>
              <w:rPr>
                <w:color w:val="0070C0"/>
                <w:sz w:val="18"/>
                <w:szCs w:val="18"/>
              </w:rPr>
            </w:pPr>
          </w:p>
        </w:tc>
        <w:tc>
          <w:tcPr>
            <w:tcW w:w="1199" w:type="dxa"/>
            <w:noWrap/>
            <w:vAlign w:val="bottom"/>
          </w:tcPr>
          <w:p w:rsidR="008A6F20" w:rsidRPr="0059164A" w:rsidRDefault="008A6F20" w:rsidP="008A6F20">
            <w:pPr>
              <w:jc w:val="right"/>
              <w:rPr>
                <w:color w:val="0070C0"/>
                <w:sz w:val="18"/>
                <w:szCs w:val="18"/>
              </w:rPr>
            </w:pPr>
          </w:p>
        </w:tc>
        <w:tc>
          <w:tcPr>
            <w:tcW w:w="1209" w:type="dxa"/>
            <w:tcBorders>
              <w:top w:val="nil"/>
              <w:left w:val="nil"/>
              <w:bottom w:val="nil"/>
              <w:right w:val="single" w:sz="8" w:space="0" w:color="auto"/>
            </w:tcBorders>
            <w:noWrap/>
            <w:vAlign w:val="bottom"/>
          </w:tcPr>
          <w:p w:rsidR="008A6F20" w:rsidRPr="0059164A" w:rsidRDefault="008A6F20" w:rsidP="008A6F20">
            <w:pPr>
              <w:jc w:val="right"/>
              <w:rPr>
                <w:color w:val="0070C0"/>
                <w:sz w:val="18"/>
                <w:szCs w:val="18"/>
              </w:rPr>
            </w:pPr>
            <w:r>
              <w:rPr>
                <w:sz w:val="18"/>
                <w:szCs w:val="18"/>
              </w:rPr>
              <w:t> </w:t>
            </w:r>
          </w:p>
        </w:tc>
      </w:tr>
      <w:tr w:rsidR="008A6F20" w:rsidRPr="0059164A" w:rsidTr="004B3567">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rsidR="008A6F20" w:rsidRPr="00D62472" w:rsidRDefault="008A6F20" w:rsidP="008A6F20">
            <w:pPr>
              <w:rPr>
                <w:sz w:val="18"/>
                <w:szCs w:val="18"/>
              </w:rPr>
            </w:pPr>
            <w:r w:rsidRPr="00D62472">
              <w:rPr>
                <w:sz w:val="18"/>
                <w:szCs w:val="18"/>
              </w:rPr>
              <w:t xml:space="preserve">  Вноска за общия бюджет на ЕС</w:t>
            </w:r>
          </w:p>
        </w:tc>
        <w:tc>
          <w:tcPr>
            <w:tcW w:w="1147" w:type="dxa"/>
            <w:tcBorders>
              <w:top w:val="nil"/>
              <w:left w:val="single" w:sz="4" w:space="0" w:color="auto"/>
              <w:bottom w:val="single" w:sz="4" w:space="0" w:color="auto"/>
              <w:right w:val="nil"/>
            </w:tcBorders>
            <w:shd w:val="clear" w:color="auto" w:fill="auto"/>
            <w:noWrap/>
            <w:vAlign w:val="bottom"/>
            <w:hideMark/>
          </w:tcPr>
          <w:p w:rsidR="008A6F20" w:rsidRPr="0059164A" w:rsidRDefault="008A6F20" w:rsidP="008A6F20">
            <w:pPr>
              <w:jc w:val="right"/>
              <w:rPr>
                <w:color w:val="0070C0"/>
                <w:sz w:val="18"/>
                <w:szCs w:val="18"/>
              </w:rPr>
            </w:pPr>
            <w:r w:rsidRPr="004B6067">
              <w:rPr>
                <w:sz w:val="18"/>
                <w:szCs w:val="18"/>
              </w:rPr>
              <w:t>2 042,4</w:t>
            </w:r>
          </w:p>
        </w:tc>
        <w:tc>
          <w:tcPr>
            <w:tcW w:w="1227" w:type="dxa"/>
            <w:tcBorders>
              <w:top w:val="nil"/>
              <w:left w:val="nil"/>
              <w:bottom w:val="single" w:sz="4" w:space="0" w:color="auto"/>
              <w:right w:val="nil"/>
            </w:tcBorders>
            <w:shd w:val="clear" w:color="auto" w:fill="auto"/>
            <w:noWrap/>
            <w:vAlign w:val="bottom"/>
            <w:hideMark/>
          </w:tcPr>
          <w:p w:rsidR="008A6F20" w:rsidRPr="0059164A" w:rsidRDefault="008A6F20" w:rsidP="008A6F20">
            <w:pPr>
              <w:jc w:val="right"/>
              <w:rPr>
                <w:color w:val="0070C0"/>
                <w:sz w:val="18"/>
                <w:szCs w:val="18"/>
              </w:rPr>
            </w:pPr>
            <w:r>
              <w:rPr>
                <w:sz w:val="18"/>
                <w:szCs w:val="18"/>
              </w:rPr>
              <w:t>1 252,1</w:t>
            </w:r>
          </w:p>
        </w:tc>
        <w:tc>
          <w:tcPr>
            <w:tcW w:w="1222" w:type="dxa"/>
            <w:tcBorders>
              <w:top w:val="nil"/>
              <w:left w:val="nil"/>
              <w:bottom w:val="single" w:sz="4" w:space="0" w:color="auto"/>
              <w:right w:val="nil"/>
            </w:tcBorders>
            <w:shd w:val="clear" w:color="auto" w:fill="auto"/>
            <w:noWrap/>
            <w:vAlign w:val="bottom"/>
            <w:hideMark/>
          </w:tcPr>
          <w:p w:rsidR="008A6F20" w:rsidRPr="0059164A" w:rsidRDefault="008A6F20" w:rsidP="008A6F20">
            <w:pPr>
              <w:jc w:val="right"/>
              <w:rPr>
                <w:color w:val="0070C0"/>
                <w:sz w:val="18"/>
                <w:szCs w:val="18"/>
              </w:rPr>
            </w:pPr>
            <w:r>
              <w:rPr>
                <w:color w:val="000000"/>
                <w:sz w:val="18"/>
                <w:szCs w:val="18"/>
              </w:rPr>
              <w:t>1 252,1</w:t>
            </w:r>
          </w:p>
        </w:tc>
        <w:tc>
          <w:tcPr>
            <w:tcW w:w="1199" w:type="dxa"/>
            <w:tcBorders>
              <w:top w:val="nil"/>
              <w:left w:val="nil"/>
              <w:bottom w:val="single" w:sz="4" w:space="0" w:color="auto"/>
              <w:right w:val="nil"/>
            </w:tcBorders>
            <w:shd w:val="clear" w:color="auto" w:fill="auto"/>
            <w:noWrap/>
            <w:vAlign w:val="bottom"/>
          </w:tcPr>
          <w:p w:rsidR="008A6F20" w:rsidRPr="0059164A" w:rsidRDefault="008A6F20" w:rsidP="008A6F20">
            <w:pPr>
              <w:jc w:val="right"/>
              <w:rPr>
                <w:color w:val="0070C0"/>
                <w:sz w:val="18"/>
                <w:szCs w:val="18"/>
              </w:rPr>
            </w:pPr>
          </w:p>
        </w:tc>
        <w:tc>
          <w:tcPr>
            <w:tcW w:w="1209" w:type="dxa"/>
            <w:tcBorders>
              <w:top w:val="nil"/>
              <w:left w:val="nil"/>
              <w:bottom w:val="single" w:sz="4" w:space="0" w:color="auto"/>
              <w:right w:val="single" w:sz="4" w:space="0" w:color="auto"/>
            </w:tcBorders>
            <w:shd w:val="clear" w:color="auto" w:fill="auto"/>
            <w:noWrap/>
            <w:vAlign w:val="bottom"/>
            <w:hideMark/>
          </w:tcPr>
          <w:p w:rsidR="008A6F20" w:rsidRPr="0059164A" w:rsidRDefault="008A6F20" w:rsidP="008A6F20">
            <w:pPr>
              <w:jc w:val="right"/>
              <w:rPr>
                <w:color w:val="0070C0"/>
                <w:sz w:val="18"/>
                <w:szCs w:val="18"/>
                <w:highlight w:val="yellow"/>
              </w:rPr>
            </w:pPr>
            <w:r>
              <w:rPr>
                <w:sz w:val="18"/>
                <w:szCs w:val="18"/>
              </w:rPr>
              <w:t>61,3%</w:t>
            </w:r>
          </w:p>
        </w:tc>
      </w:tr>
      <w:tr w:rsidR="008A6F20" w:rsidRPr="0059164A" w:rsidTr="004B3567">
        <w:trPr>
          <w:trHeight w:val="250"/>
        </w:trPr>
        <w:tc>
          <w:tcPr>
            <w:tcW w:w="4250" w:type="dxa"/>
            <w:tcBorders>
              <w:top w:val="nil"/>
              <w:left w:val="single" w:sz="8" w:space="0" w:color="auto"/>
              <w:bottom w:val="single" w:sz="4" w:space="0" w:color="auto"/>
              <w:right w:val="single" w:sz="4" w:space="0" w:color="auto"/>
            </w:tcBorders>
            <w:shd w:val="clear" w:color="auto" w:fill="auto"/>
            <w:noWrap/>
            <w:vAlign w:val="bottom"/>
            <w:hideMark/>
          </w:tcPr>
          <w:p w:rsidR="008A6F20" w:rsidRPr="00D62472" w:rsidRDefault="008A6F20" w:rsidP="008A6F20">
            <w:pPr>
              <w:rPr>
                <w:sz w:val="18"/>
                <w:szCs w:val="18"/>
              </w:rPr>
            </w:pPr>
            <w:r w:rsidRPr="00D62472">
              <w:rPr>
                <w:sz w:val="18"/>
                <w:szCs w:val="18"/>
              </w:rPr>
              <w:t>Трансфери</w:t>
            </w:r>
            <w:r w:rsidRPr="00D62472">
              <w:rPr>
                <w:sz w:val="18"/>
                <w:szCs w:val="18"/>
                <w:lang w:val="en-US"/>
              </w:rPr>
              <w:t xml:space="preserve"> </w:t>
            </w:r>
            <w:r w:rsidRPr="00D62472">
              <w:rPr>
                <w:sz w:val="18"/>
                <w:szCs w:val="18"/>
              </w:rPr>
              <w:t>-</w:t>
            </w:r>
            <w:r w:rsidRPr="00D62472">
              <w:rPr>
                <w:sz w:val="18"/>
                <w:szCs w:val="18"/>
                <w:lang w:val="en-US"/>
              </w:rPr>
              <w:t xml:space="preserve"> </w:t>
            </w:r>
            <w:r w:rsidRPr="00D62472">
              <w:rPr>
                <w:sz w:val="18"/>
                <w:szCs w:val="18"/>
              </w:rPr>
              <w:t>нето</w:t>
            </w:r>
          </w:p>
        </w:tc>
        <w:tc>
          <w:tcPr>
            <w:tcW w:w="1147" w:type="dxa"/>
            <w:tcBorders>
              <w:top w:val="single" w:sz="4" w:space="0" w:color="auto"/>
              <w:left w:val="single" w:sz="4" w:space="0" w:color="auto"/>
              <w:bottom w:val="single" w:sz="4" w:space="0" w:color="auto"/>
              <w:right w:val="nil"/>
            </w:tcBorders>
            <w:shd w:val="clear" w:color="auto" w:fill="auto"/>
            <w:noWrap/>
            <w:vAlign w:val="bottom"/>
            <w:hideMark/>
          </w:tcPr>
          <w:p w:rsidR="008A6F20" w:rsidRPr="0059164A" w:rsidRDefault="008A6F20" w:rsidP="008A6F20">
            <w:pPr>
              <w:jc w:val="right"/>
              <w:rPr>
                <w:color w:val="0070C0"/>
                <w:sz w:val="18"/>
                <w:szCs w:val="18"/>
              </w:rPr>
            </w:pPr>
          </w:p>
        </w:tc>
        <w:tc>
          <w:tcPr>
            <w:tcW w:w="1227" w:type="dxa"/>
            <w:tcBorders>
              <w:top w:val="single" w:sz="4" w:space="0" w:color="auto"/>
              <w:left w:val="nil"/>
              <w:bottom w:val="single" w:sz="4" w:space="0" w:color="auto"/>
              <w:right w:val="nil"/>
            </w:tcBorders>
            <w:shd w:val="clear" w:color="auto" w:fill="auto"/>
            <w:noWrap/>
            <w:vAlign w:val="bottom"/>
            <w:hideMark/>
          </w:tcPr>
          <w:p w:rsidR="008A6F20" w:rsidRPr="0059164A" w:rsidRDefault="008A6F20" w:rsidP="008A6F20">
            <w:pPr>
              <w:jc w:val="right"/>
              <w:rPr>
                <w:b/>
                <w:bCs/>
                <w:color w:val="0070C0"/>
                <w:sz w:val="18"/>
                <w:szCs w:val="18"/>
              </w:rPr>
            </w:pPr>
          </w:p>
        </w:tc>
        <w:tc>
          <w:tcPr>
            <w:tcW w:w="1222" w:type="dxa"/>
            <w:tcBorders>
              <w:top w:val="single" w:sz="4" w:space="0" w:color="auto"/>
              <w:left w:val="nil"/>
              <w:bottom w:val="single" w:sz="4" w:space="0" w:color="auto"/>
              <w:right w:val="nil"/>
            </w:tcBorders>
            <w:shd w:val="clear" w:color="auto" w:fill="auto"/>
            <w:noWrap/>
            <w:vAlign w:val="bottom"/>
            <w:hideMark/>
          </w:tcPr>
          <w:p w:rsidR="008A6F20" w:rsidRPr="0059164A" w:rsidRDefault="008A6F20" w:rsidP="008A6F20">
            <w:pPr>
              <w:jc w:val="right"/>
              <w:rPr>
                <w:color w:val="0070C0"/>
                <w:sz w:val="18"/>
                <w:szCs w:val="18"/>
              </w:rPr>
            </w:pPr>
            <w:r>
              <w:rPr>
                <w:color w:val="000000"/>
                <w:sz w:val="18"/>
                <w:szCs w:val="18"/>
              </w:rPr>
              <w:t>-663,0</w:t>
            </w:r>
          </w:p>
        </w:tc>
        <w:tc>
          <w:tcPr>
            <w:tcW w:w="1199" w:type="dxa"/>
            <w:tcBorders>
              <w:top w:val="single" w:sz="4" w:space="0" w:color="auto"/>
              <w:left w:val="nil"/>
              <w:bottom w:val="single" w:sz="4" w:space="0" w:color="auto"/>
              <w:right w:val="nil"/>
            </w:tcBorders>
            <w:shd w:val="clear" w:color="auto" w:fill="auto"/>
            <w:noWrap/>
            <w:vAlign w:val="bottom"/>
            <w:hideMark/>
          </w:tcPr>
          <w:p w:rsidR="008A6F20" w:rsidRPr="0059164A" w:rsidRDefault="008A6F20" w:rsidP="008A6F20">
            <w:pPr>
              <w:jc w:val="right"/>
              <w:rPr>
                <w:color w:val="0070C0"/>
                <w:sz w:val="18"/>
                <w:szCs w:val="18"/>
              </w:rPr>
            </w:pPr>
            <w:r>
              <w:rPr>
                <w:color w:val="000000"/>
                <w:sz w:val="18"/>
                <w:szCs w:val="18"/>
              </w:rPr>
              <w:t>663,0</w:t>
            </w:r>
          </w:p>
        </w:tc>
        <w:tc>
          <w:tcPr>
            <w:tcW w:w="1209" w:type="dxa"/>
            <w:tcBorders>
              <w:top w:val="single" w:sz="4" w:space="0" w:color="auto"/>
              <w:left w:val="nil"/>
              <w:bottom w:val="single" w:sz="4" w:space="0" w:color="auto"/>
              <w:right w:val="single" w:sz="8" w:space="0" w:color="auto"/>
            </w:tcBorders>
            <w:shd w:val="clear" w:color="auto" w:fill="auto"/>
            <w:noWrap/>
            <w:vAlign w:val="bottom"/>
            <w:hideMark/>
          </w:tcPr>
          <w:p w:rsidR="008A6F20" w:rsidRPr="0059164A" w:rsidRDefault="008A6F20" w:rsidP="008A6F20">
            <w:pPr>
              <w:rPr>
                <w:b/>
                <w:bCs/>
                <w:color w:val="0070C0"/>
                <w:sz w:val="18"/>
                <w:szCs w:val="18"/>
              </w:rPr>
            </w:pPr>
            <w:r>
              <w:rPr>
                <w:b/>
                <w:bCs/>
                <w:sz w:val="18"/>
                <w:szCs w:val="18"/>
              </w:rPr>
              <w:t> </w:t>
            </w:r>
          </w:p>
        </w:tc>
      </w:tr>
      <w:tr w:rsidR="008A6F20" w:rsidRPr="0059164A" w:rsidTr="004B3567">
        <w:trPr>
          <w:trHeight w:val="265"/>
        </w:trPr>
        <w:tc>
          <w:tcPr>
            <w:tcW w:w="425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8A6F20" w:rsidRPr="00D62472" w:rsidRDefault="008A6F20" w:rsidP="008A6F20">
            <w:pPr>
              <w:rPr>
                <w:b/>
                <w:bCs/>
                <w:sz w:val="18"/>
                <w:szCs w:val="18"/>
              </w:rPr>
            </w:pPr>
            <w:r w:rsidRPr="00D62472">
              <w:rPr>
                <w:b/>
                <w:bCs/>
                <w:sz w:val="18"/>
                <w:szCs w:val="18"/>
              </w:rPr>
              <w:t>БЮДЖЕТНО САЛДО</w:t>
            </w:r>
          </w:p>
        </w:tc>
        <w:tc>
          <w:tcPr>
            <w:tcW w:w="1147" w:type="dxa"/>
            <w:tcBorders>
              <w:top w:val="nil"/>
              <w:left w:val="single" w:sz="4" w:space="0" w:color="auto"/>
              <w:bottom w:val="single" w:sz="8" w:space="0" w:color="auto"/>
              <w:right w:val="nil"/>
            </w:tcBorders>
            <w:shd w:val="clear" w:color="auto" w:fill="auto"/>
            <w:noWrap/>
            <w:vAlign w:val="bottom"/>
            <w:hideMark/>
          </w:tcPr>
          <w:p w:rsidR="008A6F20" w:rsidRPr="0059164A" w:rsidRDefault="008A6F20" w:rsidP="008A6F20">
            <w:pPr>
              <w:jc w:val="right"/>
              <w:rPr>
                <w:b/>
                <w:bCs/>
                <w:color w:val="0070C0"/>
                <w:sz w:val="18"/>
                <w:szCs w:val="18"/>
              </w:rPr>
            </w:pPr>
            <w:r w:rsidRPr="006C0B2A">
              <w:rPr>
                <w:b/>
                <w:bCs/>
                <w:sz w:val="18"/>
                <w:szCs w:val="18"/>
              </w:rPr>
              <w:t>-4 580,0</w:t>
            </w:r>
          </w:p>
        </w:tc>
        <w:tc>
          <w:tcPr>
            <w:tcW w:w="1227" w:type="dxa"/>
            <w:tcBorders>
              <w:top w:val="single" w:sz="4" w:space="0" w:color="auto"/>
              <w:left w:val="nil"/>
              <w:bottom w:val="single" w:sz="4" w:space="0" w:color="auto"/>
              <w:right w:val="nil"/>
            </w:tcBorders>
            <w:shd w:val="clear" w:color="auto" w:fill="auto"/>
            <w:noWrap/>
            <w:vAlign w:val="bottom"/>
            <w:hideMark/>
          </w:tcPr>
          <w:p w:rsidR="008A6F20" w:rsidRPr="0059164A" w:rsidRDefault="008A6F20" w:rsidP="008A6F20">
            <w:pPr>
              <w:jc w:val="right"/>
              <w:rPr>
                <w:b/>
                <w:bCs/>
                <w:color w:val="0070C0"/>
                <w:sz w:val="18"/>
                <w:szCs w:val="18"/>
              </w:rPr>
            </w:pPr>
            <w:r>
              <w:rPr>
                <w:b/>
                <w:bCs/>
                <w:sz w:val="18"/>
                <w:szCs w:val="18"/>
              </w:rPr>
              <w:t>-841,0</w:t>
            </w:r>
          </w:p>
        </w:tc>
        <w:tc>
          <w:tcPr>
            <w:tcW w:w="1222" w:type="dxa"/>
            <w:tcBorders>
              <w:top w:val="single" w:sz="4" w:space="0" w:color="auto"/>
              <w:left w:val="nil"/>
              <w:bottom w:val="single" w:sz="4" w:space="0" w:color="auto"/>
              <w:right w:val="nil"/>
            </w:tcBorders>
            <w:shd w:val="clear" w:color="auto" w:fill="auto"/>
            <w:noWrap/>
            <w:vAlign w:val="bottom"/>
            <w:hideMark/>
          </w:tcPr>
          <w:p w:rsidR="008A6F20" w:rsidRPr="0059164A" w:rsidRDefault="008A6F20" w:rsidP="008A6F20">
            <w:pPr>
              <w:jc w:val="right"/>
              <w:rPr>
                <w:b/>
                <w:bCs/>
                <w:color w:val="0070C0"/>
                <w:sz w:val="18"/>
                <w:szCs w:val="18"/>
              </w:rPr>
            </w:pPr>
            <w:r>
              <w:rPr>
                <w:b/>
                <w:bCs/>
                <w:color w:val="000000"/>
                <w:sz w:val="18"/>
                <w:szCs w:val="18"/>
              </w:rPr>
              <w:t>-771,5</w:t>
            </w:r>
          </w:p>
        </w:tc>
        <w:tc>
          <w:tcPr>
            <w:tcW w:w="1199" w:type="dxa"/>
            <w:tcBorders>
              <w:top w:val="single" w:sz="4" w:space="0" w:color="auto"/>
              <w:left w:val="nil"/>
              <w:bottom w:val="single" w:sz="4" w:space="0" w:color="auto"/>
              <w:right w:val="nil"/>
            </w:tcBorders>
            <w:shd w:val="clear" w:color="auto" w:fill="auto"/>
            <w:noWrap/>
            <w:vAlign w:val="bottom"/>
            <w:hideMark/>
          </w:tcPr>
          <w:p w:rsidR="008A6F20" w:rsidRPr="0059164A" w:rsidRDefault="008A6F20" w:rsidP="008A6F20">
            <w:pPr>
              <w:jc w:val="right"/>
              <w:rPr>
                <w:b/>
                <w:bCs/>
                <w:color w:val="0070C0"/>
                <w:sz w:val="18"/>
                <w:szCs w:val="18"/>
              </w:rPr>
            </w:pPr>
            <w:r>
              <w:rPr>
                <w:b/>
                <w:bCs/>
                <w:color w:val="000000"/>
                <w:sz w:val="18"/>
                <w:szCs w:val="18"/>
              </w:rPr>
              <w:t>-69,5</w:t>
            </w:r>
          </w:p>
        </w:tc>
        <w:tc>
          <w:tcPr>
            <w:tcW w:w="1209" w:type="dxa"/>
            <w:tcBorders>
              <w:top w:val="nil"/>
              <w:left w:val="nil"/>
              <w:bottom w:val="single" w:sz="8" w:space="0" w:color="auto"/>
              <w:right w:val="single" w:sz="8" w:space="0" w:color="auto"/>
            </w:tcBorders>
            <w:shd w:val="clear" w:color="auto" w:fill="auto"/>
            <w:noWrap/>
            <w:vAlign w:val="bottom"/>
            <w:hideMark/>
          </w:tcPr>
          <w:p w:rsidR="008A6F20" w:rsidRPr="0059164A" w:rsidRDefault="008A6F20" w:rsidP="008A6F20">
            <w:pPr>
              <w:rPr>
                <w:b/>
                <w:bCs/>
                <w:color w:val="0070C0"/>
                <w:sz w:val="18"/>
                <w:szCs w:val="18"/>
              </w:rPr>
            </w:pPr>
            <w:r>
              <w:rPr>
                <w:b/>
                <w:bCs/>
                <w:sz w:val="18"/>
                <w:szCs w:val="18"/>
              </w:rPr>
              <w:t> </w:t>
            </w:r>
          </w:p>
        </w:tc>
      </w:tr>
    </w:tbl>
    <w:p w:rsidR="0010424C" w:rsidRPr="0059164A" w:rsidRDefault="0010424C" w:rsidP="0010424C">
      <w:pPr>
        <w:ind w:left="360"/>
        <w:jc w:val="both"/>
        <w:rPr>
          <w:color w:val="0070C0"/>
          <w:sz w:val="22"/>
        </w:rPr>
      </w:pPr>
    </w:p>
    <w:p w:rsidR="0010424C" w:rsidRPr="0059164A" w:rsidRDefault="0010424C" w:rsidP="0010424C">
      <w:pPr>
        <w:tabs>
          <w:tab w:val="num" w:pos="2880"/>
        </w:tabs>
        <w:jc w:val="both"/>
        <w:rPr>
          <w:rFonts w:eastAsia="Calibri"/>
          <w:color w:val="0070C0"/>
        </w:rPr>
      </w:pPr>
    </w:p>
    <w:p w:rsidR="0010424C" w:rsidRPr="0059164A" w:rsidRDefault="0010424C" w:rsidP="0010424C">
      <w:pPr>
        <w:numPr>
          <w:ilvl w:val="1"/>
          <w:numId w:val="10"/>
        </w:numPr>
        <w:tabs>
          <w:tab w:val="num" w:pos="426"/>
        </w:tabs>
        <w:ind w:left="0" w:firstLine="0"/>
        <w:jc w:val="both"/>
        <w:rPr>
          <w:rFonts w:eastAsia="Calibri"/>
          <w:color w:val="0070C0"/>
        </w:rPr>
      </w:pPr>
      <w:r w:rsidRPr="00DE7140">
        <w:rPr>
          <w:b/>
        </w:rPr>
        <w:t>Приходите, помощите и даренията по консолидираната фискална програма</w:t>
      </w:r>
      <w:r w:rsidRPr="00DE7140">
        <w:t xml:space="preserve"> (КФП) за</w:t>
      </w:r>
      <w:r w:rsidRPr="00DE7140">
        <w:rPr>
          <w:b/>
        </w:rPr>
        <w:t xml:space="preserve"> </w:t>
      </w:r>
      <w:r w:rsidR="00DE7140" w:rsidRPr="00DE7140">
        <w:t xml:space="preserve">деветмесечието </w:t>
      </w:r>
      <w:r w:rsidRPr="00DE7140">
        <w:t xml:space="preserve">на 2023 г. са в размер на </w:t>
      </w:r>
      <w:r w:rsidR="00DE7140" w:rsidRPr="00DE7140">
        <w:rPr>
          <w:b/>
          <w:bCs/>
          <w:lang w:val="en-US"/>
        </w:rPr>
        <w:t>47 636</w:t>
      </w:r>
      <w:r w:rsidR="00DE7140" w:rsidRPr="00DE7140">
        <w:rPr>
          <w:b/>
          <w:bCs/>
        </w:rPr>
        <w:t>,7 </w:t>
      </w:r>
      <w:r w:rsidRPr="00DE7140">
        <w:rPr>
          <w:b/>
          <w:bCs/>
          <w:lang w:eastAsia="bg-BG"/>
        </w:rPr>
        <w:t>млн. лв</w:t>
      </w:r>
      <w:r w:rsidRPr="00DE7140">
        <w:rPr>
          <w:bCs/>
          <w:lang w:eastAsia="bg-BG"/>
        </w:rPr>
        <w:t xml:space="preserve">. </w:t>
      </w:r>
      <w:r w:rsidR="00B7788E" w:rsidRPr="00967E3D">
        <w:rPr>
          <w:rFonts w:eastAsia="Calibri"/>
        </w:rPr>
        <w:t>Постъпленията нарастват с 2 639,7</w:t>
      </w:r>
      <w:r w:rsidR="00B7788E">
        <w:rPr>
          <w:rFonts w:eastAsia="Calibri"/>
        </w:rPr>
        <w:t> </w:t>
      </w:r>
      <w:r w:rsidR="00B7788E" w:rsidRPr="00967E3D">
        <w:rPr>
          <w:rFonts w:eastAsia="Calibri"/>
        </w:rPr>
        <w:t>млн. лв. спрямо отчетените към септември 2022 г.</w:t>
      </w:r>
    </w:p>
    <w:p w:rsidR="0010424C" w:rsidRPr="00B711F0" w:rsidRDefault="0010424C" w:rsidP="0010424C">
      <w:pPr>
        <w:spacing w:before="120"/>
        <w:jc w:val="both"/>
        <w:rPr>
          <w:color w:val="0070C0"/>
        </w:rPr>
      </w:pPr>
      <w:r w:rsidRPr="007A38E9">
        <w:t>Общата сума</w:t>
      </w:r>
      <w:r w:rsidRPr="007A38E9">
        <w:rPr>
          <w:b/>
        </w:rPr>
        <w:t xml:space="preserve"> </w:t>
      </w:r>
      <w:r w:rsidRPr="007A38E9">
        <w:t>на</w:t>
      </w:r>
      <w:r w:rsidRPr="007A38E9">
        <w:rPr>
          <w:b/>
        </w:rPr>
        <w:t xml:space="preserve"> </w:t>
      </w:r>
      <w:r w:rsidRPr="007A38E9">
        <w:rPr>
          <w:b/>
          <w:i/>
        </w:rPr>
        <w:t>данъчните постъпления</w:t>
      </w:r>
      <w:r w:rsidRPr="007A38E9">
        <w:t xml:space="preserve"> (вкл. приходите от осигурителни вноски) </w:t>
      </w:r>
      <w:r w:rsidR="007E5F7B" w:rsidRPr="007A38E9">
        <w:t>е</w:t>
      </w:r>
      <w:r w:rsidRPr="007A38E9">
        <w:t xml:space="preserve"> в размер на </w:t>
      </w:r>
      <w:r w:rsidR="007A38E9" w:rsidRPr="007A38E9">
        <w:rPr>
          <w:b/>
          <w:bCs/>
          <w:i/>
        </w:rPr>
        <w:t>37 373,9 </w:t>
      </w:r>
      <w:r w:rsidRPr="007A38E9">
        <w:rPr>
          <w:b/>
          <w:i/>
        </w:rPr>
        <w:t xml:space="preserve">млн. лв. </w:t>
      </w:r>
      <w:r w:rsidR="007A38E9" w:rsidRPr="007A38E9">
        <w:t xml:space="preserve">Постъпленията от данъци и осигурителни вноски нарастват с 3 377,6 млн. лв. (9,9 %) спрямо отчетените за същия период на предходната година, като формират 78,5 % от общите </w:t>
      </w:r>
      <w:r w:rsidR="007A38E9" w:rsidRPr="00E819BE">
        <w:t>постъпления по КФП за периода</w:t>
      </w:r>
      <w:r w:rsidR="00F67329" w:rsidRPr="00E819BE">
        <w:t xml:space="preserve">. </w:t>
      </w:r>
      <w:r w:rsidR="00B711F0" w:rsidRPr="00E819BE">
        <w:rPr>
          <w:lang w:eastAsia="bg-BG"/>
        </w:rPr>
        <w:t>В частта на данъчните приходи по КФП постъпленията от преки данъци, социално и здравно осигурителни вноски и други данъци</w:t>
      </w:r>
      <w:r w:rsidR="00B711F0" w:rsidRPr="00E819BE">
        <w:rPr>
          <w:vertAlign w:val="superscript"/>
          <w:lang w:eastAsia="bg-BG"/>
        </w:rPr>
        <w:footnoteReference w:id="6"/>
      </w:r>
      <w:r w:rsidR="00B711F0" w:rsidRPr="00E819BE">
        <w:rPr>
          <w:lang w:eastAsia="bg-BG"/>
        </w:rPr>
        <w:t xml:space="preserve"> нарастват с добри темпове, а косвените данъци са близки по размер до отчетените за същия период на предходната година. </w:t>
      </w:r>
      <w:r w:rsidR="00FC77C7">
        <w:t xml:space="preserve">През септември се отчита известно </w:t>
      </w:r>
      <w:r w:rsidR="00FC77C7" w:rsidRPr="005071FB">
        <w:t>подобрение при косвените данъци</w:t>
      </w:r>
      <w:r w:rsidR="00FC77C7">
        <w:t>, за което</w:t>
      </w:r>
      <w:r w:rsidR="00FC77C7" w:rsidRPr="005071FB">
        <w:rPr>
          <w:lang w:val="en-US"/>
        </w:rPr>
        <w:t xml:space="preserve"> </w:t>
      </w:r>
      <w:r w:rsidR="00FC77C7" w:rsidRPr="005071FB">
        <w:t>основен принос имат приходите от ДДС от ВОП и приходите от акцизи. Върху приходите от ДДС от внос продължават да оказват влияние цената на суровия петрол, внесен за преработка, курсът на щатския долар, както и количествата на внесените стоки, пораждащи ДДС, в т.ч. на суровия петрол</w:t>
      </w:r>
      <w:r w:rsidRPr="00E819BE">
        <w:rPr>
          <w:color w:val="0070C0"/>
        </w:rPr>
        <w:t>.</w:t>
      </w:r>
      <w:r w:rsidRPr="00B711F0">
        <w:rPr>
          <w:color w:val="0070C0"/>
        </w:rPr>
        <w:t xml:space="preserve"> </w:t>
      </w:r>
    </w:p>
    <w:p w:rsidR="0010424C" w:rsidRPr="0059164A" w:rsidRDefault="0010424C" w:rsidP="0010424C">
      <w:pPr>
        <w:spacing w:before="120"/>
        <w:jc w:val="both"/>
        <w:rPr>
          <w:color w:val="0070C0"/>
        </w:rPr>
      </w:pPr>
      <w:r w:rsidRPr="003C634A">
        <w:t xml:space="preserve">Приходите в частта на </w:t>
      </w:r>
      <w:r w:rsidRPr="003C634A">
        <w:rPr>
          <w:i/>
        </w:rPr>
        <w:t xml:space="preserve">преките данъци </w:t>
      </w:r>
      <w:r w:rsidRPr="003C634A">
        <w:t xml:space="preserve">възлизат на </w:t>
      </w:r>
      <w:r w:rsidR="003C634A" w:rsidRPr="003C634A">
        <w:t xml:space="preserve">7 401,8 </w:t>
      </w:r>
      <w:r w:rsidRPr="003C634A">
        <w:t xml:space="preserve">млн. лв., </w:t>
      </w:r>
      <w:r w:rsidR="005C3A1E" w:rsidRPr="005C3A1E">
        <w:t>което представлява 63,7 % от разчета за 2023 г.</w:t>
      </w:r>
      <w:r w:rsidRPr="003C634A">
        <w:t xml:space="preserve"> </w:t>
      </w:r>
      <w:r w:rsidRPr="007B776B">
        <w:t xml:space="preserve">Приходите от </w:t>
      </w:r>
      <w:r w:rsidRPr="007B776B">
        <w:rPr>
          <w:i/>
        </w:rPr>
        <w:t>косвени данъци</w:t>
      </w:r>
      <w:r w:rsidRPr="007B776B">
        <w:t xml:space="preserve"> са в размер на </w:t>
      </w:r>
      <w:r w:rsidR="005C3A1E" w:rsidRPr="007B776B">
        <w:t xml:space="preserve">16 452,3 </w:t>
      </w:r>
      <w:r w:rsidRPr="007B776B">
        <w:rPr>
          <w:rFonts w:eastAsia="Calibri"/>
          <w:bCs/>
          <w:iCs/>
        </w:rPr>
        <w:t>млн. лв.</w:t>
      </w:r>
      <w:r w:rsidR="007B776B" w:rsidRPr="007B776B">
        <w:rPr>
          <w:rFonts w:eastAsia="Calibri"/>
          <w:bCs/>
          <w:iCs/>
        </w:rPr>
        <w:t xml:space="preserve">, което </w:t>
      </w:r>
      <w:r w:rsidR="007B776B" w:rsidRPr="00351D96">
        <w:rPr>
          <w:rFonts w:eastAsia="Calibri"/>
          <w:bCs/>
          <w:iCs/>
        </w:rPr>
        <w:t>представлява 70,3 % от предвидените в ЗДБРБ за 2023 г.</w:t>
      </w:r>
      <w:r w:rsidRPr="00351D96">
        <w:t xml:space="preserve"> Постъпленията от </w:t>
      </w:r>
      <w:r w:rsidRPr="00351D96">
        <w:rPr>
          <w:i/>
        </w:rPr>
        <w:t>други данъци</w:t>
      </w:r>
      <w:r w:rsidRPr="00351D96">
        <w:t xml:space="preserve"> (включват други данъци по ЗКПО, имуществени и др. данъци) </w:t>
      </w:r>
      <w:r w:rsidR="00351D96" w:rsidRPr="00351D96">
        <w:t xml:space="preserve">са в размер на 2 136,4 млн. лв. (в т. ч. 802,8 млн. лв. целеви вноски във Фонд "Сигурност на електроенергийната система"), което представлява 80,2 % от годишния разчет. Приходите от </w:t>
      </w:r>
      <w:r w:rsidR="00351D96" w:rsidRPr="0038300C">
        <w:rPr>
          <w:i/>
        </w:rPr>
        <w:t>социални и здравноосигурителни вноски</w:t>
      </w:r>
      <w:r w:rsidR="00351D96" w:rsidRPr="00351D96">
        <w:t xml:space="preserve"> са в размер на 11 383,3 млн. лв. или 73,6 % от разчета за 2023 година</w:t>
      </w:r>
      <w:r w:rsidRPr="00351D96">
        <w:t xml:space="preserve">. </w:t>
      </w:r>
    </w:p>
    <w:p w:rsidR="0010424C" w:rsidRPr="0059164A" w:rsidRDefault="00C1149B" w:rsidP="0010424C">
      <w:pPr>
        <w:spacing w:before="120"/>
        <w:jc w:val="both"/>
        <w:rPr>
          <w:color w:val="0070C0"/>
        </w:rPr>
      </w:pPr>
      <w:r w:rsidRPr="005B7B2E">
        <w:rPr>
          <w:b/>
          <w:bCs/>
          <w:i/>
          <w:iCs/>
        </w:rPr>
        <w:t>Неданъчните приходи</w:t>
      </w:r>
      <w:r w:rsidRPr="005B7B2E">
        <w:rPr>
          <w:rStyle w:val="FootnoteReference"/>
          <w:b/>
          <w:bCs/>
          <w:i/>
          <w:iCs/>
        </w:rPr>
        <w:footnoteReference w:id="7"/>
      </w:r>
      <w:r w:rsidRPr="005B7B2E">
        <w:rPr>
          <w:b/>
          <w:bCs/>
          <w:iCs/>
        </w:rPr>
        <w:t xml:space="preserve"> </w:t>
      </w:r>
      <w:r w:rsidRPr="005B7B2E">
        <w:t xml:space="preserve">са в размер на </w:t>
      </w:r>
      <w:r w:rsidRPr="005B7B2E">
        <w:rPr>
          <w:b/>
          <w:i/>
        </w:rPr>
        <w:t xml:space="preserve">8 567,7 </w:t>
      </w:r>
      <w:r w:rsidRPr="005B7B2E">
        <w:rPr>
          <w:b/>
          <w:bCs/>
          <w:i/>
        </w:rPr>
        <w:t xml:space="preserve">млн. лв., </w:t>
      </w:r>
      <w:r w:rsidRPr="005B7B2E">
        <w:t>което представлява</w:t>
      </w:r>
      <w:r w:rsidRPr="005B7B2E">
        <w:rPr>
          <w:i/>
        </w:rPr>
        <w:t xml:space="preserve"> </w:t>
      </w:r>
      <w:r w:rsidRPr="005B7B2E">
        <w:t>76,8 %</w:t>
      </w:r>
      <w:r w:rsidRPr="005B7B2E">
        <w:rPr>
          <w:b/>
          <w:i/>
        </w:rPr>
        <w:t xml:space="preserve"> </w:t>
      </w:r>
      <w:r w:rsidRPr="005B7B2E">
        <w:t>от</w:t>
      </w:r>
      <w:r w:rsidRPr="005B7B2E">
        <w:rPr>
          <w:b/>
          <w:i/>
        </w:rPr>
        <w:t xml:space="preserve"> </w:t>
      </w:r>
      <w:r w:rsidRPr="005B7B2E">
        <w:t>годишните разчети</w:t>
      </w:r>
      <w:r w:rsidRPr="005B7B2E">
        <w:rPr>
          <w:rFonts w:eastAsia="Calibri"/>
          <w:bCs/>
        </w:rPr>
        <w:t xml:space="preserve"> 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Pr="005B7B2E">
        <w:rPr>
          <w:rFonts w:eastAsia="Calibri"/>
        </w:rPr>
        <w:t xml:space="preserve">. </w:t>
      </w:r>
      <w:r w:rsidRPr="005B7B2E">
        <w:rPr>
          <w:rFonts w:eastAsia="Calibri"/>
          <w:bCs/>
        </w:rPr>
        <w:t>В частта на неданъчните приходи към края на септември 2023 г. са постъпили 1 546,9 млн. лв. приходи от дивидент за държавата от държавни предприятия</w:t>
      </w:r>
      <w:r w:rsidR="0010424C" w:rsidRPr="0059164A">
        <w:rPr>
          <w:rFonts w:eastAsia="Calibri"/>
          <w:color w:val="0070C0"/>
        </w:rPr>
        <w:t>.</w:t>
      </w:r>
      <w:r w:rsidR="0010424C" w:rsidRPr="0059164A">
        <w:rPr>
          <w:color w:val="0070C0"/>
        </w:rPr>
        <w:t xml:space="preserve"> </w:t>
      </w:r>
    </w:p>
    <w:p w:rsidR="0010424C" w:rsidRPr="00F35885" w:rsidRDefault="0010424C" w:rsidP="0010424C">
      <w:pPr>
        <w:spacing w:before="120" w:after="120"/>
        <w:jc w:val="both"/>
      </w:pPr>
      <w:r w:rsidRPr="00F35885">
        <w:t xml:space="preserve">Постъпленията от </w:t>
      </w:r>
      <w:r w:rsidRPr="00F35885">
        <w:rPr>
          <w:b/>
          <w:i/>
        </w:rPr>
        <w:t>помощи</w:t>
      </w:r>
      <w:r w:rsidRPr="00F35885">
        <w:t xml:space="preserve"> </w:t>
      </w:r>
      <w:r w:rsidRPr="00F35885">
        <w:rPr>
          <w:b/>
          <w:i/>
        </w:rPr>
        <w:t xml:space="preserve">и дарения </w:t>
      </w:r>
      <w:r w:rsidRPr="00F35885">
        <w:t xml:space="preserve">от страната и чужбина (основно помощи от фондовете на ЕС) </w:t>
      </w:r>
      <w:r w:rsidR="00F35885" w:rsidRPr="00F35885">
        <w:t xml:space="preserve">към септември 2023 г. са в размер на </w:t>
      </w:r>
      <w:r w:rsidR="00F35885" w:rsidRPr="00F35885">
        <w:rPr>
          <w:b/>
          <w:i/>
        </w:rPr>
        <w:t>1 695,1 млн. лв.</w:t>
      </w:r>
      <w:r w:rsidR="00F35885" w:rsidRPr="00F35885">
        <w:t>, като съпоставено със същия период на 2022 г. се отчита спад с 450,2 млн. лева</w:t>
      </w:r>
      <w:r w:rsidRPr="00F35885">
        <w:t xml:space="preserve">. </w:t>
      </w:r>
    </w:p>
    <w:p w:rsidR="0010424C" w:rsidRPr="00E726BE" w:rsidRDefault="0010424C" w:rsidP="0010424C">
      <w:pPr>
        <w:pStyle w:val="ListParagraph"/>
        <w:numPr>
          <w:ilvl w:val="0"/>
          <w:numId w:val="24"/>
        </w:numPr>
        <w:tabs>
          <w:tab w:val="left" w:pos="426"/>
        </w:tabs>
        <w:spacing w:line="240" w:lineRule="auto"/>
        <w:ind w:left="0" w:firstLine="0"/>
        <w:rPr>
          <w:rFonts w:ascii="Times New Roman" w:eastAsia="Calibri" w:hAnsi="Times New Roman"/>
        </w:rPr>
      </w:pPr>
      <w:r w:rsidRPr="00E726BE">
        <w:rPr>
          <w:rFonts w:ascii="Times New Roman" w:eastAsia="Calibri" w:hAnsi="Times New Roman"/>
          <w:b/>
        </w:rPr>
        <w:t xml:space="preserve">Разходите </w:t>
      </w:r>
      <w:r w:rsidRPr="00E726BE">
        <w:rPr>
          <w:rFonts w:ascii="Times New Roman" w:eastAsia="Calibri" w:hAnsi="Times New Roman"/>
        </w:rPr>
        <w:t xml:space="preserve">по КФП (вкл. вноската на Република България в бюджета на ЕС) </w:t>
      </w:r>
      <w:r w:rsidR="00E726BE" w:rsidRPr="00E726BE">
        <w:rPr>
          <w:rFonts w:ascii="Times New Roman" w:eastAsia="Calibri" w:hAnsi="Times New Roman"/>
        </w:rPr>
        <w:t xml:space="preserve">към септември 2023 г. възлизат на </w:t>
      </w:r>
      <w:r w:rsidR="00E726BE" w:rsidRPr="00E726BE">
        <w:rPr>
          <w:rFonts w:ascii="Times New Roman" w:eastAsia="Calibri" w:hAnsi="Times New Roman"/>
          <w:b/>
        </w:rPr>
        <w:t xml:space="preserve">48 477,7 млн. лв., </w:t>
      </w:r>
      <w:r w:rsidR="00E726BE" w:rsidRPr="00E726BE">
        <w:rPr>
          <w:rFonts w:ascii="Times New Roman" w:eastAsia="Calibri" w:hAnsi="Times New Roman"/>
        </w:rPr>
        <w:t>което е 65,5 % от годишните разчети.</w:t>
      </w:r>
      <w:r w:rsidR="00E726BE" w:rsidRPr="00E726BE">
        <w:rPr>
          <w:rFonts w:ascii="Times New Roman" w:eastAsia="Calibri" w:hAnsi="Times New Roman"/>
          <w:b/>
        </w:rPr>
        <w:t xml:space="preserve"> </w:t>
      </w:r>
      <w:r w:rsidR="00E726BE" w:rsidRPr="00E726BE">
        <w:rPr>
          <w:rFonts w:ascii="Times New Roman" w:eastAsia="Calibri" w:hAnsi="Times New Roman"/>
        </w:rPr>
        <w:t xml:space="preserve">В номинално изражение разходите нарастват спрямо същия период на 2022 г. с 4 466,9 млн. лв. (10,1 %). </w:t>
      </w:r>
      <w:r w:rsidR="00BF16D5" w:rsidRPr="00BF16D5">
        <w:rPr>
          <w:rFonts w:ascii="Times New Roman" w:eastAsia="Calibri" w:hAnsi="Times New Roman"/>
        </w:rPr>
        <w:t>В отделните разходни показатели най-значително нарастване има при социалните и здравноосигурителни разходи, както и в частта на разходите за персонал, капиталовите разходи и други</w:t>
      </w:r>
      <w:r w:rsidRPr="00E726BE">
        <w:rPr>
          <w:rFonts w:ascii="Times New Roman" w:eastAsia="Calibri" w:hAnsi="Times New Roman"/>
        </w:rPr>
        <w:t>.</w:t>
      </w:r>
    </w:p>
    <w:p w:rsidR="0010424C" w:rsidRPr="00DB2C57" w:rsidRDefault="0010424C" w:rsidP="0010424C">
      <w:pPr>
        <w:spacing w:before="120" w:after="120"/>
        <w:jc w:val="both"/>
      </w:pPr>
      <w:r w:rsidRPr="00DB2C57">
        <w:rPr>
          <w:b/>
          <w:i/>
        </w:rPr>
        <w:t>Нелихвените разходи</w:t>
      </w:r>
      <w:r w:rsidRPr="00DB2C57">
        <w:t xml:space="preserve"> </w:t>
      </w:r>
      <w:r w:rsidR="00DB2C57" w:rsidRPr="00DB2C57">
        <w:t xml:space="preserve">към септември 2023 г. са в размер на </w:t>
      </w:r>
      <w:r w:rsidR="00DB2C57" w:rsidRPr="00DB2C57">
        <w:rPr>
          <w:lang w:val="ru-RU"/>
        </w:rPr>
        <w:t>46 492,1</w:t>
      </w:r>
      <w:r w:rsidR="00DB2C57" w:rsidRPr="00DB2C57">
        <w:t xml:space="preserve"> млн. лв.</w:t>
      </w:r>
      <w:r w:rsidR="00DB2C57" w:rsidRPr="00DB2C57">
        <w:rPr>
          <w:bCs/>
        </w:rPr>
        <w:t xml:space="preserve">, </w:t>
      </w:r>
      <w:r w:rsidR="00DB2C57" w:rsidRPr="00DB2C57">
        <w:t>което представлява 65,6 % от годишния разчет</w:t>
      </w:r>
      <w:r w:rsidR="00DB2C57" w:rsidRPr="00DB2C57">
        <w:rPr>
          <w:bCs/>
        </w:rPr>
        <w:t>.</w:t>
      </w:r>
      <w:r w:rsidR="00DB2C57" w:rsidRPr="00DB2C57">
        <w:t xml:space="preserve"> </w:t>
      </w:r>
      <w:r w:rsidR="00DB2C57" w:rsidRPr="00DB2C57">
        <w:rPr>
          <w:i/>
        </w:rPr>
        <w:t>Текущите нелихвени разходи</w:t>
      </w:r>
      <w:r w:rsidR="00DB2C57" w:rsidRPr="00DB2C57">
        <w:t xml:space="preserve"> са в размер на 42 798,4</w:t>
      </w:r>
      <w:r w:rsidR="0003685F">
        <w:t> </w:t>
      </w:r>
      <w:r w:rsidR="00DB2C57" w:rsidRPr="00DB2C57">
        <w:t xml:space="preserve">млн. лв. </w:t>
      </w:r>
      <w:r w:rsidR="00DB2C57" w:rsidRPr="00DB2C57">
        <w:rPr>
          <w:i/>
        </w:rPr>
        <w:t>Капиталовите разходи</w:t>
      </w:r>
      <w:r w:rsidR="00DB2C57" w:rsidRPr="00DB2C57">
        <w:t xml:space="preserve"> (вкл. нетния прираст на държавния резерв) възлизат на 3 647,2 млн. лв. </w:t>
      </w:r>
      <w:r w:rsidR="00DB2C57" w:rsidRPr="00DB2C57">
        <w:rPr>
          <w:i/>
        </w:rPr>
        <w:t>Предоставените текущи и капиталови трансфери за чужбина</w:t>
      </w:r>
      <w:r w:rsidR="00DB2C57" w:rsidRPr="00DB2C57">
        <w:t xml:space="preserve"> са в размер на 46,4 млн. лв. </w:t>
      </w:r>
      <w:r w:rsidR="00DB2C57" w:rsidRPr="00DB2C57">
        <w:rPr>
          <w:b/>
          <w:i/>
        </w:rPr>
        <w:t>Лихвените плащания</w:t>
      </w:r>
      <w:r w:rsidR="00DB2C57" w:rsidRPr="00DB2C57">
        <w:t xml:space="preserve"> са в размер на 733,5 млн. лв. </w:t>
      </w:r>
      <w:r w:rsidR="00DB2C57" w:rsidRPr="00DB2C57">
        <w:rPr>
          <w:bCs/>
        </w:rPr>
        <w:t>(89,0 % от планираните за 2023</w:t>
      </w:r>
      <w:r w:rsidR="0003685F">
        <w:rPr>
          <w:bCs/>
        </w:rPr>
        <w:t> </w:t>
      </w:r>
      <w:r w:rsidR="00DB2C57" w:rsidRPr="00DB2C57">
        <w:rPr>
          <w:bCs/>
        </w:rPr>
        <w:t>година)</w:t>
      </w:r>
      <w:r w:rsidRPr="00DB2C57">
        <w:rPr>
          <w:rFonts w:eastAsia="Calibri"/>
          <w:bCs/>
        </w:rPr>
        <w:t>.</w:t>
      </w:r>
    </w:p>
    <w:p w:rsidR="0010424C" w:rsidRPr="00B10E27" w:rsidRDefault="0010424C" w:rsidP="0010424C">
      <w:pPr>
        <w:pStyle w:val="ListParagraph"/>
        <w:numPr>
          <w:ilvl w:val="0"/>
          <w:numId w:val="24"/>
        </w:numPr>
        <w:tabs>
          <w:tab w:val="left" w:pos="426"/>
        </w:tabs>
        <w:spacing w:before="120" w:line="240" w:lineRule="auto"/>
        <w:ind w:left="0" w:firstLine="0"/>
        <w:contextualSpacing w:val="0"/>
        <w:rPr>
          <w:rFonts w:ascii="Times New Roman" w:hAnsi="Times New Roman"/>
        </w:rPr>
      </w:pPr>
      <w:r w:rsidRPr="00B10E27">
        <w:rPr>
          <w:rFonts w:ascii="Times New Roman" w:hAnsi="Times New Roman"/>
          <w:b/>
        </w:rPr>
        <w:t>Частта от вноската на Република България в общия бюджет на ЕС</w:t>
      </w:r>
      <w:r w:rsidRPr="00B10E27">
        <w:rPr>
          <w:rFonts w:ascii="Times New Roman" w:hAnsi="Times New Roman"/>
        </w:rPr>
        <w:t>, изплатена към 30.0</w:t>
      </w:r>
      <w:r w:rsidR="00B10E27" w:rsidRPr="00B10E27">
        <w:rPr>
          <w:rFonts w:ascii="Times New Roman" w:hAnsi="Times New Roman"/>
        </w:rPr>
        <w:t>9</w:t>
      </w:r>
      <w:r w:rsidRPr="00B10E27">
        <w:rPr>
          <w:rFonts w:ascii="Times New Roman" w:hAnsi="Times New Roman"/>
        </w:rPr>
        <w:t>.2023</w:t>
      </w:r>
      <w:r w:rsidRPr="00B10E27">
        <w:rPr>
          <w:rFonts w:ascii="Times New Roman" w:hAnsi="Times New Roman"/>
          <w:lang w:val="en-US"/>
        </w:rPr>
        <w:t> </w:t>
      </w:r>
      <w:r w:rsidRPr="00B10E27">
        <w:rPr>
          <w:rFonts w:ascii="Times New Roman" w:hAnsi="Times New Roman"/>
        </w:rPr>
        <w:t xml:space="preserve">г. от централния бюджет, възлиза на </w:t>
      </w:r>
      <w:r w:rsidR="00B10E27" w:rsidRPr="00B10E27">
        <w:rPr>
          <w:rFonts w:ascii="Times New Roman" w:hAnsi="Times New Roman"/>
          <w:b/>
          <w:bCs/>
          <w:lang w:val="ru-RU"/>
        </w:rPr>
        <w:t>1 252,1</w:t>
      </w:r>
      <w:r w:rsidRPr="00B10E27">
        <w:rPr>
          <w:rFonts w:ascii="Times New Roman" w:hAnsi="Times New Roman"/>
          <w:b/>
          <w:bCs/>
          <w:lang w:val="ru-RU"/>
        </w:rPr>
        <w:t xml:space="preserve"> </w:t>
      </w:r>
      <w:r w:rsidRPr="00B10E27">
        <w:rPr>
          <w:rFonts w:ascii="Times New Roman" w:hAnsi="Times New Roman"/>
          <w:b/>
        </w:rPr>
        <w:t>млн. лв.</w:t>
      </w:r>
      <w:r w:rsidRPr="00B10E27">
        <w:rPr>
          <w:rFonts w:ascii="Times New Roman" w:hAnsi="Times New Roman"/>
        </w:rPr>
        <w:t xml:space="preserve">, </w:t>
      </w:r>
      <w:r w:rsidRPr="00B10E27">
        <w:rPr>
          <w:rFonts w:ascii="Times New Roman" w:eastAsia="Calibri" w:hAnsi="Times New Roman"/>
        </w:rPr>
        <w:t>което е в изпълнение на действащото към момента законодателство в областта на собствените ресурси на ЕС</w:t>
      </w:r>
      <w:r w:rsidRPr="00B10E27">
        <w:rPr>
          <w:rFonts w:ascii="Times New Roman" w:hAnsi="Times New Roman"/>
        </w:rPr>
        <w:t xml:space="preserve">. </w:t>
      </w:r>
    </w:p>
    <w:p w:rsidR="0010424C" w:rsidRPr="009B0519" w:rsidRDefault="0010424C" w:rsidP="002D0CBD">
      <w:pPr>
        <w:pStyle w:val="ListParagraph"/>
        <w:numPr>
          <w:ilvl w:val="0"/>
          <w:numId w:val="24"/>
        </w:numPr>
        <w:tabs>
          <w:tab w:val="left" w:pos="426"/>
        </w:tabs>
        <w:spacing w:line="240" w:lineRule="auto"/>
        <w:ind w:left="0" w:firstLine="0"/>
        <w:rPr>
          <w:rFonts w:ascii="Times New Roman" w:hAnsi="Times New Roman"/>
        </w:rPr>
      </w:pPr>
      <w:r w:rsidRPr="002D0CBD">
        <w:rPr>
          <w:rFonts w:ascii="Times New Roman" w:hAnsi="Times New Roman"/>
          <w:b/>
        </w:rPr>
        <w:t xml:space="preserve">Бюджетното салдо </w:t>
      </w:r>
      <w:r w:rsidRPr="002D0CBD">
        <w:rPr>
          <w:rFonts w:ascii="Times New Roman" w:hAnsi="Times New Roman"/>
        </w:rPr>
        <w:t xml:space="preserve">по консолидираната фискална програма към </w:t>
      </w:r>
      <w:r w:rsidR="002D0CBD" w:rsidRPr="002D0CBD">
        <w:rPr>
          <w:rFonts w:ascii="Times New Roman" w:hAnsi="Times New Roman"/>
        </w:rPr>
        <w:t xml:space="preserve">септември </w:t>
      </w:r>
      <w:r w:rsidRPr="002D0CBD">
        <w:rPr>
          <w:rFonts w:ascii="Times New Roman" w:hAnsi="Times New Roman"/>
        </w:rPr>
        <w:t>2023</w:t>
      </w:r>
      <w:r w:rsidRPr="002D0CBD">
        <w:rPr>
          <w:rFonts w:ascii="Times New Roman" w:hAnsi="Times New Roman"/>
          <w:bCs/>
        </w:rPr>
        <w:t xml:space="preserve"> г. </w:t>
      </w:r>
      <w:r w:rsidR="002D0CBD" w:rsidRPr="002D0CBD">
        <w:rPr>
          <w:rFonts w:ascii="Times New Roman" w:hAnsi="Times New Roman"/>
          <w:bCs/>
        </w:rPr>
        <w:t xml:space="preserve">е </w:t>
      </w:r>
      <w:r w:rsidR="002D0CBD" w:rsidRPr="00C64362">
        <w:rPr>
          <w:rFonts w:ascii="Times New Roman" w:hAnsi="Times New Roman"/>
          <w:b/>
          <w:bCs/>
        </w:rPr>
        <w:t>отрицателно</w:t>
      </w:r>
      <w:r w:rsidR="002D0CBD" w:rsidRPr="00C64362">
        <w:rPr>
          <w:rFonts w:ascii="Times New Roman" w:hAnsi="Times New Roman"/>
          <w:bCs/>
        </w:rPr>
        <w:t xml:space="preserve"> в размер на </w:t>
      </w:r>
      <w:r w:rsidR="002D0CBD" w:rsidRPr="00C64362">
        <w:rPr>
          <w:rFonts w:ascii="Times New Roman" w:hAnsi="Times New Roman"/>
          <w:b/>
          <w:bCs/>
        </w:rPr>
        <w:t>0,841 млрд. лв.</w:t>
      </w:r>
      <w:r w:rsidR="002D0CBD" w:rsidRPr="00C64362">
        <w:rPr>
          <w:rFonts w:ascii="Times New Roman" w:hAnsi="Times New Roman"/>
          <w:bCs/>
        </w:rPr>
        <w:t xml:space="preserve"> или 0,5 % от прогнозния БВП, при планиран в</w:t>
      </w:r>
      <w:r w:rsidR="002D0CBD" w:rsidRPr="002D0CBD">
        <w:rPr>
          <w:rFonts w:ascii="Times New Roman" w:hAnsi="Times New Roman"/>
          <w:bCs/>
        </w:rPr>
        <w:t xml:space="preserve"> разчетите към ЗДБРБ за 2023 г. дефицит за годината в размер на 4,6 млрд. лв.</w:t>
      </w:r>
    </w:p>
    <w:p w:rsidR="009B0519" w:rsidRPr="00D678B7" w:rsidRDefault="00C64362" w:rsidP="009B0519">
      <w:pPr>
        <w:spacing w:after="120"/>
        <w:jc w:val="both"/>
        <w:rPr>
          <w:bCs/>
          <w:color w:val="0070C0"/>
        </w:rPr>
      </w:pPr>
      <w:r w:rsidRPr="002F223F">
        <w:rPr>
          <w:bCs/>
        </w:rPr>
        <w:t>Нарастването на дефицита през септември се дължи на значителни по размер плащания в месеца: лихвени плащания по държавния дълг (над 0,3 млрд. лв.)</w:t>
      </w:r>
      <w:r w:rsidRPr="002F223F">
        <w:rPr>
          <w:bCs/>
          <w:lang w:val="en-US"/>
        </w:rPr>
        <w:t>;</w:t>
      </w:r>
      <w:r w:rsidRPr="002F223F">
        <w:rPr>
          <w:bCs/>
        </w:rPr>
        <w:t xml:space="preserve"> изплатена държавна помощ за осигуряване на подкрепа на земеделските стопани по национални мерки и компенсации на увеличените цени на енергоносители, фуражи и др. (близо 0,2 млрд. лв.) и други плащания</w:t>
      </w:r>
      <w:r w:rsidR="009B0519" w:rsidRPr="00C64362">
        <w:rPr>
          <w:bCs/>
        </w:rPr>
        <w:t>.</w:t>
      </w:r>
    </w:p>
    <w:p w:rsidR="0010424C" w:rsidRPr="0059164A" w:rsidRDefault="0010424C" w:rsidP="0010424C">
      <w:pPr>
        <w:numPr>
          <w:ilvl w:val="0"/>
          <w:numId w:val="8"/>
        </w:numPr>
        <w:tabs>
          <w:tab w:val="num" w:pos="0"/>
          <w:tab w:val="left" w:pos="426"/>
          <w:tab w:val="left" w:pos="720"/>
        </w:tabs>
        <w:spacing w:before="120" w:after="60"/>
        <w:ind w:left="0" w:firstLine="0"/>
        <w:jc w:val="both"/>
        <w:rPr>
          <w:color w:val="0070C0"/>
          <w:sz w:val="22"/>
        </w:rPr>
      </w:pPr>
      <w:r w:rsidRPr="00AD71D9">
        <w:rPr>
          <w:b/>
          <w:szCs w:val="28"/>
        </w:rPr>
        <w:t>Общият размер</w:t>
      </w:r>
      <w:r w:rsidRPr="00AD71D9">
        <w:rPr>
          <w:bCs/>
          <w:sz w:val="22"/>
        </w:rPr>
        <w:t xml:space="preserve"> </w:t>
      </w:r>
      <w:r w:rsidRPr="00AD71D9">
        <w:rPr>
          <w:b/>
          <w:bCs/>
          <w:szCs w:val="28"/>
        </w:rPr>
        <w:t>на касовите постъпления от ЕС</w:t>
      </w:r>
      <w:r w:rsidRPr="00AD71D9">
        <w:rPr>
          <w:bCs/>
          <w:szCs w:val="28"/>
        </w:rPr>
        <w:t xml:space="preserve"> (от Структурните и Кохезионния </w:t>
      </w:r>
      <w:r w:rsidRPr="0086438A">
        <w:rPr>
          <w:bCs/>
          <w:szCs w:val="28"/>
        </w:rPr>
        <w:t>фондове, от</w:t>
      </w:r>
      <w:r w:rsidRPr="0086438A">
        <w:rPr>
          <w:szCs w:val="28"/>
        </w:rPr>
        <w:t xml:space="preserve"> ЕЗФРСР и ЕФМДР</w:t>
      </w:r>
      <w:r w:rsidRPr="0086438A">
        <w:rPr>
          <w:bCs/>
          <w:szCs w:val="28"/>
        </w:rPr>
        <w:t xml:space="preserve">, от средства за директни плащания към земеделските производители и плащания по пазарни мерки и др.) за </w:t>
      </w:r>
      <w:r w:rsidR="00AD71D9" w:rsidRPr="0086438A">
        <w:t>деветмесечието</w:t>
      </w:r>
      <w:r w:rsidRPr="0086438A">
        <w:t xml:space="preserve"> </w:t>
      </w:r>
      <w:r w:rsidRPr="0086438A">
        <w:rPr>
          <w:szCs w:val="28"/>
        </w:rPr>
        <w:t>на 2023</w:t>
      </w:r>
      <w:r w:rsidRPr="0086438A">
        <w:rPr>
          <w:bCs/>
          <w:szCs w:val="28"/>
        </w:rPr>
        <w:t xml:space="preserve"> г. е </w:t>
      </w:r>
      <w:r w:rsidR="0086438A" w:rsidRPr="0086438A">
        <w:rPr>
          <w:b/>
          <w:bCs/>
          <w:szCs w:val="28"/>
        </w:rPr>
        <w:t>3 387,9</w:t>
      </w:r>
      <w:r w:rsidRPr="0086438A">
        <w:rPr>
          <w:b/>
          <w:bCs/>
          <w:szCs w:val="28"/>
        </w:rPr>
        <w:t> млн. лв.</w:t>
      </w:r>
      <w:r w:rsidRPr="0086438A">
        <w:rPr>
          <w:b/>
          <w:szCs w:val="28"/>
        </w:rPr>
        <w:t xml:space="preserve"> </w:t>
      </w:r>
      <w:r w:rsidRPr="0086438A">
        <w:rPr>
          <w:b/>
          <w:bCs/>
          <w:szCs w:val="28"/>
        </w:rPr>
        <w:t>Нетните постъпления от ЕС към 30.0</w:t>
      </w:r>
      <w:r w:rsidR="0086438A" w:rsidRPr="0086438A">
        <w:rPr>
          <w:b/>
          <w:bCs/>
          <w:szCs w:val="28"/>
        </w:rPr>
        <w:t>9</w:t>
      </w:r>
      <w:r w:rsidRPr="0086438A">
        <w:rPr>
          <w:b/>
          <w:bCs/>
          <w:szCs w:val="28"/>
        </w:rPr>
        <w:t xml:space="preserve">.2023 г. </w:t>
      </w:r>
      <w:r w:rsidRPr="0086438A">
        <w:rPr>
          <w:bCs/>
          <w:szCs w:val="28"/>
        </w:rPr>
        <w:t xml:space="preserve">(касови постъпления от ЕС, намалени с вноската в общия бюджет на ЕС) са положителни в размер на </w:t>
      </w:r>
      <w:r w:rsidR="0086438A" w:rsidRPr="0086438A">
        <w:rPr>
          <w:b/>
          <w:bCs/>
          <w:szCs w:val="28"/>
        </w:rPr>
        <w:t>2 135,8</w:t>
      </w:r>
      <w:r w:rsidRPr="0086438A">
        <w:rPr>
          <w:b/>
          <w:bCs/>
          <w:szCs w:val="28"/>
        </w:rPr>
        <w:t xml:space="preserve"> млн. лева</w:t>
      </w:r>
      <w:r w:rsidRPr="0086438A">
        <w:rPr>
          <w:sz w:val="22"/>
        </w:rPr>
        <w:t>.</w:t>
      </w:r>
    </w:p>
    <w:p w:rsidR="0010424C" w:rsidRPr="0059164A" w:rsidRDefault="0010424C" w:rsidP="0010424C">
      <w:pPr>
        <w:numPr>
          <w:ilvl w:val="2"/>
          <w:numId w:val="14"/>
        </w:numPr>
        <w:tabs>
          <w:tab w:val="left" w:pos="426"/>
        </w:tabs>
        <w:spacing w:before="120" w:after="240"/>
        <w:ind w:left="0" w:firstLine="0"/>
        <w:jc w:val="both"/>
        <w:rPr>
          <w:color w:val="0070C0"/>
          <w:sz w:val="8"/>
          <w:szCs w:val="8"/>
        </w:rPr>
      </w:pPr>
      <w:r w:rsidRPr="0071162B">
        <w:rPr>
          <w:b/>
        </w:rPr>
        <w:t>Фискалният резерв</w:t>
      </w:r>
      <w:r w:rsidRPr="0071162B">
        <w:rPr>
          <w:b/>
          <w:bCs/>
          <w:vertAlign w:val="superscript"/>
          <w:lang w:eastAsia="bg-BG"/>
        </w:rPr>
        <w:footnoteReference w:id="8"/>
      </w:r>
      <w:r w:rsidRPr="0071162B">
        <w:rPr>
          <w:bCs/>
          <w:lang w:eastAsia="bg-BG"/>
        </w:rPr>
        <w:t xml:space="preserve"> </w:t>
      </w:r>
      <w:r w:rsidRPr="0071162B">
        <w:rPr>
          <w:bCs/>
        </w:rPr>
        <w:t>към 30.0</w:t>
      </w:r>
      <w:r w:rsidR="0071162B" w:rsidRPr="0071162B">
        <w:rPr>
          <w:bCs/>
        </w:rPr>
        <w:t>9</w:t>
      </w:r>
      <w:r w:rsidRPr="0071162B">
        <w:rPr>
          <w:bCs/>
        </w:rPr>
        <w:t>.2023</w:t>
      </w:r>
      <w:r w:rsidRPr="0071162B">
        <w:rPr>
          <w:rFonts w:eastAsia="Calibri"/>
        </w:rPr>
        <w:t xml:space="preserve"> г. </w:t>
      </w:r>
      <w:r w:rsidRPr="0071162B">
        <w:rPr>
          <w:bCs/>
        </w:rPr>
        <w:t xml:space="preserve">е </w:t>
      </w:r>
      <w:r w:rsidR="0071162B" w:rsidRPr="0071162B">
        <w:rPr>
          <w:b/>
          <w:bCs/>
        </w:rPr>
        <w:t>11,35 млрд. лв</w:t>
      </w:r>
      <w:r w:rsidR="0071162B" w:rsidRPr="0071162B">
        <w:rPr>
          <w:bCs/>
        </w:rPr>
        <w:t xml:space="preserve">., в т.ч. 10,88 млрд. лв. депозити на </w:t>
      </w:r>
      <w:r w:rsidR="0071162B" w:rsidRPr="00D82D68">
        <w:rPr>
          <w:bCs/>
        </w:rPr>
        <w:t>фискалния резерв в БНБ и банки и 0,47 млрд. лв. вземания от фондовете на Европейския съюз за сертифицирани разходи, аванси и други</w:t>
      </w:r>
      <w:r w:rsidRPr="0059164A">
        <w:rPr>
          <w:bCs/>
          <w:color w:val="0070C0"/>
          <w:lang w:eastAsia="bg-BG"/>
        </w:rPr>
        <w:t>.</w:t>
      </w:r>
      <w:r w:rsidRPr="0059164A">
        <w:rPr>
          <w:bCs/>
          <w:color w:val="0070C0"/>
        </w:rPr>
        <w:t xml:space="preserve"> </w:t>
      </w:r>
    </w:p>
    <w:p w:rsidR="00222173" w:rsidRPr="0059164A" w:rsidRDefault="00222173" w:rsidP="00222173">
      <w:pPr>
        <w:tabs>
          <w:tab w:val="left" w:pos="426"/>
        </w:tabs>
        <w:spacing w:before="120" w:after="120"/>
        <w:jc w:val="both"/>
        <w:rPr>
          <w:color w:val="0070C0"/>
          <w:sz w:val="8"/>
          <w:szCs w:val="8"/>
        </w:rPr>
      </w:pPr>
    </w:p>
    <w:p w:rsidR="00222173" w:rsidRPr="0059164A" w:rsidRDefault="00222173" w:rsidP="00222173">
      <w:pPr>
        <w:tabs>
          <w:tab w:val="left" w:pos="426"/>
        </w:tabs>
        <w:spacing w:before="120" w:after="120"/>
        <w:jc w:val="both"/>
        <w:rPr>
          <w:color w:val="0070C0"/>
          <w:sz w:val="8"/>
          <w:szCs w:val="8"/>
        </w:rPr>
      </w:pPr>
    </w:p>
    <w:p w:rsidR="00222173" w:rsidRPr="0059164A" w:rsidRDefault="00222173" w:rsidP="00222173">
      <w:pPr>
        <w:rPr>
          <w:color w:val="0070C0"/>
          <w:sz w:val="8"/>
          <w:szCs w:val="8"/>
        </w:rPr>
      </w:pPr>
      <w:r w:rsidRPr="0059164A">
        <w:rPr>
          <w:color w:val="0070C0"/>
          <w:sz w:val="8"/>
          <w:szCs w:val="8"/>
        </w:rPr>
        <w:br w:type="page"/>
      </w:r>
    </w:p>
    <w:p w:rsidR="00222173" w:rsidRPr="00E13C3D" w:rsidRDefault="00222173" w:rsidP="00691C48">
      <w:pPr>
        <w:keepNext/>
        <w:numPr>
          <w:ilvl w:val="0"/>
          <w:numId w:val="9"/>
        </w:numPr>
        <w:ind w:right="-108"/>
        <w:jc w:val="both"/>
        <w:outlineLvl w:val="0"/>
        <w:rPr>
          <w:b/>
          <w:bCs/>
        </w:rPr>
      </w:pPr>
      <w:r w:rsidRPr="00E13C3D">
        <w:rPr>
          <w:b/>
          <w:bCs/>
        </w:rPr>
        <w:t>Изпълнение на държавния бюджет</w:t>
      </w:r>
      <w:r w:rsidRPr="00E13C3D">
        <w:rPr>
          <w:b/>
          <w:sz w:val="20"/>
          <w:szCs w:val="20"/>
          <w:vertAlign w:val="superscript"/>
        </w:rPr>
        <w:footnoteReference w:id="9"/>
      </w:r>
      <w:r w:rsidRPr="00E13C3D">
        <w:rPr>
          <w:b/>
          <w:bCs/>
        </w:rPr>
        <w:t xml:space="preserve"> за </w:t>
      </w:r>
      <w:r w:rsidR="00E13C3D" w:rsidRPr="00E13C3D">
        <w:rPr>
          <w:b/>
          <w:bCs/>
        </w:rPr>
        <w:t>деветмесечието</w:t>
      </w:r>
      <w:r w:rsidR="00691C48" w:rsidRPr="00E13C3D">
        <w:rPr>
          <w:b/>
          <w:bCs/>
        </w:rPr>
        <w:t xml:space="preserve"> </w:t>
      </w:r>
      <w:r w:rsidRPr="00E13C3D">
        <w:rPr>
          <w:b/>
          <w:bCs/>
        </w:rPr>
        <w:t>на 202</w:t>
      </w:r>
      <w:r w:rsidR="00E90B5E" w:rsidRPr="00E13C3D">
        <w:rPr>
          <w:b/>
          <w:bCs/>
        </w:rPr>
        <w:t>3</w:t>
      </w:r>
      <w:r w:rsidRPr="00E13C3D">
        <w:rPr>
          <w:b/>
          <w:bCs/>
        </w:rPr>
        <w:t xml:space="preserve"> г.</w:t>
      </w:r>
    </w:p>
    <w:p w:rsidR="000F0BD7" w:rsidRPr="005358AC" w:rsidRDefault="000F0BD7" w:rsidP="000F0BD7">
      <w:pPr>
        <w:pStyle w:val="BodyTextIndent"/>
        <w:tabs>
          <w:tab w:val="left" w:pos="1080"/>
        </w:tabs>
        <w:spacing w:before="120" w:after="0"/>
        <w:ind w:left="0"/>
        <w:jc w:val="both"/>
        <w:rPr>
          <w:color w:val="0070C0"/>
          <w:lang w:val="en-US"/>
        </w:rPr>
      </w:pPr>
      <w:r w:rsidRPr="00C2025A">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0F0BD7" w:rsidRPr="001078CA" w:rsidRDefault="000F0BD7" w:rsidP="000F0BD7">
      <w:pPr>
        <w:spacing w:after="120"/>
        <w:ind w:right="-244"/>
        <w:rPr>
          <w:b/>
          <w:bCs/>
          <w:sz w:val="20"/>
          <w:szCs w:val="20"/>
        </w:rPr>
      </w:pPr>
      <w:r w:rsidRPr="001078CA">
        <w:rPr>
          <w:b/>
          <w:bCs/>
          <w:sz w:val="20"/>
          <w:szCs w:val="20"/>
        </w:rPr>
        <w:t xml:space="preserve">            Таблица</w:t>
      </w:r>
      <w:r w:rsidRPr="001078CA">
        <w:rPr>
          <w:rStyle w:val="FootnoteReference"/>
        </w:rPr>
        <w:footnoteReference w:id="10"/>
      </w:r>
      <w:r w:rsidRPr="001078CA">
        <w:rPr>
          <w:b/>
          <w:bCs/>
          <w:sz w:val="20"/>
          <w:szCs w:val="20"/>
        </w:rPr>
        <w:t xml:space="preserve">  №1      </w:t>
      </w:r>
      <w:r w:rsidRPr="001078CA">
        <w:rPr>
          <w:b/>
          <w:bCs/>
          <w:sz w:val="20"/>
          <w:szCs w:val="20"/>
        </w:rPr>
        <w:tab/>
      </w:r>
      <w:r w:rsidRPr="001078CA">
        <w:rPr>
          <w:b/>
          <w:bCs/>
          <w:sz w:val="20"/>
          <w:szCs w:val="20"/>
        </w:rPr>
        <w:tab/>
        <w:t xml:space="preserve">                                          </w:t>
      </w:r>
      <w:r w:rsidRPr="001078CA">
        <w:rPr>
          <w:b/>
          <w:bCs/>
          <w:sz w:val="20"/>
          <w:szCs w:val="20"/>
        </w:rPr>
        <w:tab/>
      </w:r>
      <w:r w:rsidRPr="001078CA">
        <w:rPr>
          <w:b/>
          <w:bCs/>
          <w:sz w:val="20"/>
          <w:szCs w:val="20"/>
        </w:rPr>
        <w:tab/>
      </w:r>
      <w:r w:rsidRPr="001078CA">
        <w:rPr>
          <w:b/>
          <w:bCs/>
          <w:sz w:val="20"/>
          <w:szCs w:val="20"/>
        </w:rPr>
        <w:tab/>
      </w:r>
      <w:r w:rsidRPr="001078CA">
        <w:rPr>
          <w:b/>
          <w:bCs/>
          <w:sz w:val="20"/>
          <w:szCs w:val="20"/>
        </w:rPr>
        <w:tab/>
        <w:t xml:space="preserve">  (млн. лв.)</w:t>
      </w: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0F0BD7" w:rsidRPr="005358AC" w:rsidTr="00C65952">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rsidR="000F0BD7" w:rsidRPr="001078CA" w:rsidRDefault="000F0BD7" w:rsidP="00C65952">
            <w:pPr>
              <w:jc w:val="center"/>
              <w:rPr>
                <w:b/>
                <w:bCs/>
                <w:sz w:val="18"/>
                <w:szCs w:val="18"/>
              </w:rPr>
            </w:pPr>
            <w:r w:rsidRPr="001078CA">
              <w:rPr>
                <w:b/>
                <w:bCs/>
                <w:sz w:val="18"/>
                <w:szCs w:val="18"/>
              </w:rPr>
              <w:t>ПОКАЗАТЕЛИ</w:t>
            </w:r>
          </w:p>
        </w:tc>
        <w:tc>
          <w:tcPr>
            <w:tcW w:w="1276" w:type="dxa"/>
            <w:tcBorders>
              <w:top w:val="single" w:sz="8" w:space="0" w:color="auto"/>
              <w:left w:val="nil"/>
              <w:bottom w:val="single" w:sz="4" w:space="0" w:color="auto"/>
              <w:right w:val="nil"/>
            </w:tcBorders>
            <w:shd w:val="clear" w:color="auto" w:fill="auto"/>
            <w:vAlign w:val="center"/>
          </w:tcPr>
          <w:p w:rsidR="000F0BD7" w:rsidRPr="001078CA" w:rsidRDefault="000F0BD7" w:rsidP="00C65952">
            <w:pPr>
              <w:jc w:val="center"/>
              <w:rPr>
                <w:b/>
                <w:bCs/>
                <w:sz w:val="18"/>
                <w:szCs w:val="18"/>
              </w:rPr>
            </w:pPr>
            <w:r w:rsidRPr="001078CA">
              <w:rPr>
                <w:b/>
                <w:bCs/>
                <w:sz w:val="18"/>
                <w:szCs w:val="18"/>
              </w:rPr>
              <w:t xml:space="preserve">ЗДБРБ    </w:t>
            </w:r>
            <w:r w:rsidRPr="001078CA">
              <w:rPr>
                <w:b/>
                <w:bCs/>
                <w:sz w:val="18"/>
                <w:szCs w:val="18"/>
                <w:highlight w:val="yellow"/>
              </w:rPr>
              <w:t xml:space="preserve"> </w:t>
            </w:r>
            <w:r w:rsidRPr="001078CA">
              <w:rPr>
                <w:b/>
                <w:bCs/>
                <w:sz w:val="18"/>
                <w:szCs w:val="18"/>
              </w:rPr>
              <w:t>2023 г.</w:t>
            </w:r>
          </w:p>
        </w:tc>
        <w:tc>
          <w:tcPr>
            <w:tcW w:w="1616" w:type="dxa"/>
            <w:tcBorders>
              <w:top w:val="single" w:sz="8" w:space="0" w:color="auto"/>
              <w:left w:val="nil"/>
              <w:bottom w:val="single" w:sz="4" w:space="0" w:color="auto"/>
              <w:right w:val="nil"/>
            </w:tcBorders>
            <w:shd w:val="clear" w:color="auto" w:fill="auto"/>
            <w:vAlign w:val="center"/>
          </w:tcPr>
          <w:p w:rsidR="000F0BD7" w:rsidRPr="001078CA" w:rsidRDefault="000F0BD7" w:rsidP="00C65952">
            <w:pPr>
              <w:jc w:val="center"/>
              <w:rPr>
                <w:b/>
                <w:bCs/>
                <w:sz w:val="18"/>
                <w:szCs w:val="18"/>
              </w:rPr>
            </w:pPr>
            <w:r w:rsidRPr="001078CA">
              <w:rPr>
                <w:b/>
                <w:bCs/>
                <w:sz w:val="18"/>
                <w:szCs w:val="18"/>
              </w:rPr>
              <w:t xml:space="preserve">Отчет </w:t>
            </w:r>
          </w:p>
          <w:p w:rsidR="000F0BD7" w:rsidRPr="001078CA" w:rsidRDefault="000F0BD7" w:rsidP="00C65952">
            <w:pPr>
              <w:jc w:val="center"/>
              <w:rPr>
                <w:b/>
                <w:bCs/>
                <w:sz w:val="18"/>
                <w:szCs w:val="18"/>
              </w:rPr>
            </w:pPr>
            <w:r w:rsidRPr="001078CA">
              <w:rPr>
                <w:b/>
                <w:bCs/>
                <w:sz w:val="18"/>
                <w:szCs w:val="18"/>
              </w:rPr>
              <w:t>септември 2023 г.</w:t>
            </w:r>
          </w:p>
        </w:tc>
        <w:tc>
          <w:tcPr>
            <w:tcW w:w="1304" w:type="dxa"/>
            <w:tcBorders>
              <w:top w:val="single" w:sz="8" w:space="0" w:color="auto"/>
              <w:left w:val="nil"/>
              <w:bottom w:val="single" w:sz="4" w:space="0" w:color="auto"/>
              <w:right w:val="single" w:sz="8" w:space="0" w:color="auto"/>
            </w:tcBorders>
            <w:shd w:val="clear" w:color="auto" w:fill="auto"/>
            <w:vAlign w:val="center"/>
          </w:tcPr>
          <w:p w:rsidR="000F0BD7" w:rsidRPr="001078CA" w:rsidRDefault="000F0BD7" w:rsidP="00C65952">
            <w:pPr>
              <w:jc w:val="center"/>
              <w:rPr>
                <w:b/>
                <w:bCs/>
                <w:sz w:val="18"/>
                <w:szCs w:val="18"/>
              </w:rPr>
            </w:pPr>
            <w:r w:rsidRPr="001078CA">
              <w:rPr>
                <w:b/>
                <w:bCs/>
                <w:sz w:val="18"/>
                <w:szCs w:val="18"/>
              </w:rPr>
              <w:t>Изпълнение спрямо ЗДБРБ 2023 г.</w:t>
            </w:r>
          </w:p>
        </w:tc>
      </w:tr>
      <w:tr w:rsidR="000F0BD7" w:rsidRPr="005358AC" w:rsidTr="00C65952">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rsidR="000F0BD7" w:rsidRPr="001078CA" w:rsidRDefault="000F0BD7" w:rsidP="00C65952">
            <w:pPr>
              <w:rPr>
                <w:b/>
                <w:bCs/>
                <w:sz w:val="18"/>
                <w:szCs w:val="18"/>
              </w:rPr>
            </w:pPr>
            <w:r w:rsidRPr="001078CA">
              <w:rPr>
                <w:b/>
                <w:bCs/>
                <w:sz w:val="18"/>
                <w:szCs w:val="18"/>
              </w:rPr>
              <w:t>Общо приходи, помощи и дарения</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b/>
                <w:bCs/>
                <w:sz w:val="18"/>
                <w:szCs w:val="18"/>
              </w:rPr>
            </w:pPr>
            <w:r w:rsidRPr="001078CA">
              <w:rPr>
                <w:b/>
                <w:bCs/>
                <w:sz w:val="18"/>
                <w:szCs w:val="18"/>
              </w:rPr>
              <w:t>40 810,6</w:t>
            </w:r>
          </w:p>
        </w:tc>
        <w:tc>
          <w:tcPr>
            <w:tcW w:w="1616" w:type="dxa"/>
            <w:tcBorders>
              <w:top w:val="nil"/>
              <w:left w:val="nil"/>
              <w:bottom w:val="nil"/>
              <w:right w:val="nil"/>
            </w:tcBorders>
            <w:shd w:val="clear" w:color="auto" w:fill="auto"/>
            <w:noWrap/>
            <w:vAlign w:val="bottom"/>
          </w:tcPr>
          <w:p w:rsidR="000F0BD7" w:rsidRDefault="000F0BD7" w:rsidP="00C65952">
            <w:pPr>
              <w:jc w:val="right"/>
              <w:rPr>
                <w:b/>
                <w:bCs/>
                <w:sz w:val="18"/>
                <w:szCs w:val="18"/>
              </w:rPr>
            </w:pPr>
            <w:r>
              <w:rPr>
                <w:b/>
                <w:bCs/>
                <w:sz w:val="18"/>
                <w:szCs w:val="18"/>
              </w:rPr>
              <w:t>28 526,4</w:t>
            </w:r>
          </w:p>
        </w:tc>
        <w:tc>
          <w:tcPr>
            <w:tcW w:w="1304" w:type="dxa"/>
            <w:tcBorders>
              <w:top w:val="single" w:sz="4" w:space="0" w:color="auto"/>
              <w:left w:val="nil"/>
              <w:bottom w:val="nil"/>
              <w:right w:val="single" w:sz="8" w:space="0" w:color="auto"/>
            </w:tcBorders>
            <w:shd w:val="clear" w:color="auto" w:fill="auto"/>
            <w:noWrap/>
            <w:vAlign w:val="bottom"/>
          </w:tcPr>
          <w:p w:rsidR="000F0BD7" w:rsidRDefault="000F0BD7" w:rsidP="00C65952">
            <w:pPr>
              <w:jc w:val="right"/>
              <w:rPr>
                <w:b/>
                <w:bCs/>
                <w:sz w:val="18"/>
                <w:szCs w:val="18"/>
              </w:rPr>
            </w:pPr>
            <w:r>
              <w:rPr>
                <w:b/>
                <w:bCs/>
                <w:sz w:val="18"/>
                <w:szCs w:val="18"/>
              </w:rPr>
              <w:t>69,9%</w:t>
            </w:r>
          </w:p>
        </w:tc>
      </w:tr>
      <w:tr w:rsidR="000F0BD7" w:rsidRPr="005358AC" w:rsidTr="00C65952">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-Данъчни приходи</w:t>
            </w:r>
          </w:p>
        </w:tc>
        <w:tc>
          <w:tcPr>
            <w:tcW w:w="1276" w:type="dxa"/>
            <w:tcBorders>
              <w:top w:val="single" w:sz="4" w:space="0" w:color="auto"/>
              <w:left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35 559,4</w:t>
            </w:r>
          </w:p>
        </w:tc>
        <w:tc>
          <w:tcPr>
            <w:tcW w:w="1616" w:type="dxa"/>
            <w:tcBorders>
              <w:top w:val="single" w:sz="4" w:space="0" w:color="auto"/>
              <w:left w:val="nil"/>
              <w:bottom w:val="nil"/>
              <w:right w:val="nil"/>
            </w:tcBorders>
            <w:shd w:val="clear" w:color="auto" w:fill="auto"/>
            <w:noWrap/>
            <w:vAlign w:val="bottom"/>
          </w:tcPr>
          <w:p w:rsidR="000F0BD7" w:rsidRDefault="000F0BD7" w:rsidP="00C65952">
            <w:pPr>
              <w:jc w:val="right"/>
              <w:rPr>
                <w:sz w:val="18"/>
                <w:szCs w:val="18"/>
              </w:rPr>
            </w:pPr>
            <w:r>
              <w:rPr>
                <w:sz w:val="18"/>
                <w:szCs w:val="18"/>
              </w:rPr>
              <w:t>24 091,5</w:t>
            </w:r>
          </w:p>
        </w:tc>
        <w:tc>
          <w:tcPr>
            <w:tcW w:w="1304" w:type="dxa"/>
            <w:tcBorders>
              <w:top w:val="single" w:sz="4" w:space="0" w:color="auto"/>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67,7%</w:t>
            </w:r>
          </w:p>
        </w:tc>
      </w:tr>
      <w:tr w:rsidR="000F0BD7" w:rsidRPr="005358AC" w:rsidTr="00C65952">
        <w:trPr>
          <w:trHeight w:val="80"/>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5 510,0</w:t>
            </w:r>
          </w:p>
        </w:tc>
        <w:tc>
          <w:tcPr>
            <w:tcW w:w="1616" w:type="dxa"/>
            <w:tcBorders>
              <w:left w:val="nil"/>
              <w:bottom w:val="nil"/>
              <w:right w:val="nil"/>
            </w:tcBorders>
            <w:shd w:val="clear" w:color="auto" w:fill="auto"/>
            <w:noWrap/>
            <w:vAlign w:val="bottom"/>
          </w:tcPr>
          <w:p w:rsidR="000F0BD7" w:rsidRDefault="000F0BD7" w:rsidP="00C65952">
            <w:pPr>
              <w:jc w:val="right"/>
              <w:rPr>
                <w:sz w:val="18"/>
                <w:szCs w:val="18"/>
              </w:rPr>
            </w:pPr>
            <w:r>
              <w:rPr>
                <w:sz w:val="18"/>
                <w:szCs w:val="18"/>
              </w:rPr>
              <w:t>2 909,1</w:t>
            </w:r>
          </w:p>
        </w:tc>
        <w:tc>
          <w:tcPr>
            <w:tcW w:w="1304" w:type="dxa"/>
            <w:tcBorders>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52,8%</w:t>
            </w:r>
          </w:p>
        </w:tc>
      </w:tr>
      <w:tr w:rsidR="000F0BD7" w:rsidRPr="005358AC" w:rsidTr="00C65952">
        <w:trPr>
          <w:trHeight w:val="165"/>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w:t>
            </w:r>
            <w:r w:rsidRPr="001078CA">
              <w:rPr>
                <w:sz w:val="18"/>
                <w:szCs w:val="18"/>
                <w:lang w:val="en-US"/>
              </w:rPr>
              <w:t xml:space="preserve"> </w:t>
            </w:r>
            <w:r w:rsidRPr="001078CA">
              <w:rPr>
                <w:sz w:val="18"/>
                <w:szCs w:val="18"/>
              </w:rPr>
              <w:t>ДДФЛ</w:t>
            </w:r>
          </w:p>
        </w:tc>
        <w:tc>
          <w:tcPr>
            <w:tcW w:w="1276" w:type="dxa"/>
            <w:tcBorders>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6 100,0</w:t>
            </w:r>
          </w:p>
        </w:tc>
        <w:tc>
          <w:tcPr>
            <w:tcW w:w="1616" w:type="dxa"/>
            <w:tcBorders>
              <w:left w:val="nil"/>
              <w:bottom w:val="nil"/>
              <w:right w:val="nil"/>
            </w:tcBorders>
            <w:shd w:val="clear" w:color="auto" w:fill="auto"/>
            <w:noWrap/>
            <w:vAlign w:val="bottom"/>
          </w:tcPr>
          <w:p w:rsidR="000F0BD7" w:rsidRDefault="000F0BD7" w:rsidP="00C65952">
            <w:pPr>
              <w:jc w:val="right"/>
              <w:rPr>
                <w:sz w:val="18"/>
                <w:szCs w:val="18"/>
              </w:rPr>
            </w:pPr>
            <w:r>
              <w:rPr>
                <w:sz w:val="18"/>
                <w:szCs w:val="18"/>
              </w:rPr>
              <w:t>4 485,2</w:t>
            </w:r>
          </w:p>
        </w:tc>
        <w:tc>
          <w:tcPr>
            <w:tcW w:w="1304" w:type="dxa"/>
            <w:tcBorders>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73,5%</w:t>
            </w:r>
          </w:p>
        </w:tc>
      </w:tr>
      <w:tr w:rsidR="000F0BD7" w:rsidRPr="005358AC" w:rsidTr="00C65952">
        <w:trPr>
          <w:trHeight w:val="165"/>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w:t>
            </w:r>
            <w:r w:rsidRPr="001078CA">
              <w:rPr>
                <w:sz w:val="18"/>
                <w:szCs w:val="18"/>
                <w:lang w:val="en-US"/>
              </w:rPr>
              <w:t xml:space="preserve"> </w:t>
            </w:r>
            <w:r w:rsidRPr="001078CA">
              <w:rPr>
                <w:sz w:val="18"/>
                <w:szCs w:val="18"/>
              </w:rPr>
              <w:t>ДДС</w:t>
            </w:r>
          </w:p>
        </w:tc>
        <w:tc>
          <w:tcPr>
            <w:tcW w:w="1276" w:type="dxa"/>
            <w:tcBorders>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17 005,0</w:t>
            </w:r>
          </w:p>
        </w:tc>
        <w:tc>
          <w:tcPr>
            <w:tcW w:w="1616" w:type="dxa"/>
            <w:tcBorders>
              <w:left w:val="nil"/>
              <w:bottom w:val="nil"/>
              <w:right w:val="nil"/>
            </w:tcBorders>
            <w:shd w:val="clear" w:color="auto" w:fill="auto"/>
            <w:noWrap/>
            <w:vAlign w:val="bottom"/>
          </w:tcPr>
          <w:p w:rsidR="000F0BD7" w:rsidRDefault="000F0BD7" w:rsidP="00C65952">
            <w:pPr>
              <w:jc w:val="right"/>
              <w:rPr>
                <w:sz w:val="18"/>
                <w:szCs w:val="18"/>
              </w:rPr>
            </w:pPr>
            <w:r>
              <w:rPr>
                <w:sz w:val="18"/>
                <w:szCs w:val="18"/>
              </w:rPr>
              <w:t>11 607,8</w:t>
            </w:r>
          </w:p>
        </w:tc>
        <w:tc>
          <w:tcPr>
            <w:tcW w:w="1304" w:type="dxa"/>
            <w:tcBorders>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68,3%</w:t>
            </w:r>
          </w:p>
        </w:tc>
      </w:tr>
      <w:tr w:rsidR="000F0BD7" w:rsidRPr="005358AC" w:rsidTr="00C65952">
        <w:trPr>
          <w:trHeight w:val="165"/>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w:t>
            </w:r>
            <w:r w:rsidRPr="001078CA">
              <w:rPr>
                <w:sz w:val="18"/>
                <w:szCs w:val="18"/>
                <w:lang w:val="en-US"/>
              </w:rPr>
              <w:t xml:space="preserve"> </w:t>
            </w:r>
            <w:r w:rsidRPr="001078CA">
              <w:rPr>
                <w:sz w:val="18"/>
                <w:szCs w:val="18"/>
              </w:rPr>
              <w:t xml:space="preserve">Акцизи </w:t>
            </w:r>
          </w:p>
        </w:tc>
        <w:tc>
          <w:tcPr>
            <w:tcW w:w="1276" w:type="dxa"/>
            <w:tcBorders>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5 939,0</w:t>
            </w:r>
          </w:p>
        </w:tc>
        <w:tc>
          <w:tcPr>
            <w:tcW w:w="1616" w:type="dxa"/>
            <w:tcBorders>
              <w:left w:val="nil"/>
              <w:bottom w:val="nil"/>
              <w:right w:val="nil"/>
            </w:tcBorders>
            <w:shd w:val="clear" w:color="auto" w:fill="auto"/>
            <w:noWrap/>
            <w:vAlign w:val="bottom"/>
          </w:tcPr>
          <w:p w:rsidR="000F0BD7" w:rsidRDefault="000F0BD7" w:rsidP="00C65952">
            <w:pPr>
              <w:jc w:val="right"/>
              <w:rPr>
                <w:sz w:val="18"/>
                <w:szCs w:val="18"/>
              </w:rPr>
            </w:pPr>
            <w:r>
              <w:rPr>
                <w:sz w:val="18"/>
                <w:szCs w:val="18"/>
              </w:rPr>
              <w:t>4 552,6</w:t>
            </w:r>
          </w:p>
        </w:tc>
        <w:tc>
          <w:tcPr>
            <w:tcW w:w="1304" w:type="dxa"/>
            <w:tcBorders>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76,7%</w:t>
            </w:r>
          </w:p>
        </w:tc>
      </w:tr>
      <w:tr w:rsidR="000F0BD7" w:rsidRPr="005358AC" w:rsidTr="00C65952">
        <w:trPr>
          <w:trHeight w:val="165"/>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57,5</w:t>
            </w:r>
          </w:p>
        </w:tc>
        <w:tc>
          <w:tcPr>
            <w:tcW w:w="1616" w:type="dxa"/>
            <w:tcBorders>
              <w:left w:val="nil"/>
              <w:bottom w:val="nil"/>
              <w:right w:val="nil"/>
            </w:tcBorders>
            <w:shd w:val="clear" w:color="auto" w:fill="auto"/>
            <w:noWrap/>
            <w:vAlign w:val="bottom"/>
          </w:tcPr>
          <w:p w:rsidR="000F0BD7" w:rsidRDefault="000F0BD7" w:rsidP="00C65952">
            <w:pPr>
              <w:jc w:val="right"/>
              <w:rPr>
                <w:sz w:val="18"/>
                <w:szCs w:val="18"/>
              </w:rPr>
            </w:pPr>
            <w:r>
              <w:rPr>
                <w:sz w:val="18"/>
                <w:szCs w:val="18"/>
              </w:rPr>
              <w:t>43,6</w:t>
            </w:r>
          </w:p>
        </w:tc>
        <w:tc>
          <w:tcPr>
            <w:tcW w:w="1304" w:type="dxa"/>
            <w:tcBorders>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75,8%</w:t>
            </w:r>
          </w:p>
        </w:tc>
      </w:tr>
      <w:tr w:rsidR="000F0BD7" w:rsidRPr="005358AC" w:rsidTr="00C65952">
        <w:trPr>
          <w:trHeight w:val="165"/>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w:t>
            </w:r>
            <w:r w:rsidRPr="001078CA">
              <w:rPr>
                <w:sz w:val="18"/>
                <w:szCs w:val="18"/>
                <w:lang w:val="en-US"/>
              </w:rPr>
              <w:t xml:space="preserve"> </w:t>
            </w:r>
            <w:r w:rsidRPr="001078CA">
              <w:rPr>
                <w:sz w:val="18"/>
                <w:szCs w:val="18"/>
              </w:rPr>
              <w:t>Мита и митнически такси</w:t>
            </w:r>
          </w:p>
        </w:tc>
        <w:tc>
          <w:tcPr>
            <w:tcW w:w="1276" w:type="dxa"/>
            <w:tcBorders>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405,0</w:t>
            </w:r>
          </w:p>
        </w:tc>
        <w:tc>
          <w:tcPr>
            <w:tcW w:w="1616" w:type="dxa"/>
            <w:tcBorders>
              <w:left w:val="nil"/>
              <w:bottom w:val="nil"/>
              <w:right w:val="nil"/>
            </w:tcBorders>
            <w:shd w:val="clear" w:color="auto" w:fill="auto"/>
            <w:noWrap/>
            <w:vAlign w:val="bottom"/>
          </w:tcPr>
          <w:p w:rsidR="000F0BD7" w:rsidRDefault="000F0BD7" w:rsidP="00C65952">
            <w:pPr>
              <w:jc w:val="right"/>
              <w:rPr>
                <w:sz w:val="18"/>
                <w:szCs w:val="18"/>
              </w:rPr>
            </w:pPr>
            <w:r>
              <w:rPr>
                <w:sz w:val="18"/>
                <w:szCs w:val="18"/>
              </w:rPr>
              <w:t>248,3</w:t>
            </w:r>
          </w:p>
        </w:tc>
        <w:tc>
          <w:tcPr>
            <w:tcW w:w="1304" w:type="dxa"/>
            <w:tcBorders>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61,3%</w:t>
            </w:r>
          </w:p>
        </w:tc>
      </w:tr>
      <w:tr w:rsidR="000F0BD7" w:rsidRPr="005358AC" w:rsidTr="00C65952">
        <w:trPr>
          <w:trHeight w:val="165"/>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w:t>
            </w:r>
            <w:r w:rsidRPr="001078CA">
              <w:rPr>
                <w:sz w:val="18"/>
                <w:szCs w:val="18"/>
                <w:lang w:val="en-US"/>
              </w:rPr>
              <w:t xml:space="preserve"> </w:t>
            </w:r>
            <w:r w:rsidRPr="001078CA">
              <w:rPr>
                <w:sz w:val="18"/>
                <w:szCs w:val="18"/>
              </w:rPr>
              <w:t>Други данъци</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542,9</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245,0</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45,1%</w:t>
            </w:r>
          </w:p>
        </w:tc>
      </w:tr>
      <w:tr w:rsidR="000F0BD7" w:rsidRPr="005358AC" w:rsidTr="00C65952">
        <w:trPr>
          <w:trHeight w:val="165"/>
          <w:jc w:val="center"/>
        </w:trPr>
        <w:tc>
          <w:tcPr>
            <w:tcW w:w="4854" w:type="dxa"/>
            <w:tcBorders>
              <w:left w:val="single" w:sz="8"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-Неданъчни приходи</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5 250,7</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4 431,4</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84,4%</w:t>
            </w:r>
          </w:p>
        </w:tc>
      </w:tr>
      <w:tr w:rsidR="000F0BD7" w:rsidRPr="005358AC" w:rsidTr="00C65952">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-Помощи и дарения</w:t>
            </w:r>
          </w:p>
        </w:tc>
        <w:tc>
          <w:tcPr>
            <w:tcW w:w="1276" w:type="dxa"/>
            <w:tcBorders>
              <w:top w:val="nil"/>
              <w:left w:val="nil"/>
              <w:bottom w:val="single" w:sz="4" w:space="0" w:color="auto"/>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0,5</w:t>
            </w:r>
          </w:p>
        </w:tc>
        <w:tc>
          <w:tcPr>
            <w:tcW w:w="1616" w:type="dxa"/>
            <w:tcBorders>
              <w:top w:val="nil"/>
              <w:left w:val="nil"/>
              <w:bottom w:val="single" w:sz="4" w:space="0" w:color="auto"/>
              <w:right w:val="nil"/>
            </w:tcBorders>
            <w:shd w:val="clear" w:color="auto" w:fill="auto"/>
            <w:noWrap/>
            <w:vAlign w:val="bottom"/>
          </w:tcPr>
          <w:p w:rsidR="000F0BD7" w:rsidRDefault="000F0BD7" w:rsidP="00C65952">
            <w:pPr>
              <w:jc w:val="right"/>
              <w:rPr>
                <w:sz w:val="18"/>
                <w:szCs w:val="18"/>
              </w:rPr>
            </w:pPr>
            <w:r>
              <w:rPr>
                <w:sz w:val="18"/>
                <w:szCs w:val="18"/>
              </w:rPr>
              <w:t>3,6</w:t>
            </w:r>
          </w:p>
        </w:tc>
        <w:tc>
          <w:tcPr>
            <w:tcW w:w="1304" w:type="dxa"/>
            <w:tcBorders>
              <w:top w:val="nil"/>
              <w:left w:val="nil"/>
              <w:bottom w:val="single" w:sz="4" w:space="0" w:color="auto"/>
              <w:right w:val="single" w:sz="8" w:space="0" w:color="auto"/>
            </w:tcBorders>
            <w:shd w:val="clear" w:color="auto" w:fill="auto"/>
            <w:noWrap/>
            <w:vAlign w:val="bottom"/>
          </w:tcPr>
          <w:p w:rsidR="000F0BD7" w:rsidRDefault="000F0BD7" w:rsidP="00C65952">
            <w:pPr>
              <w:jc w:val="right"/>
              <w:rPr>
                <w:sz w:val="18"/>
                <w:szCs w:val="18"/>
              </w:rPr>
            </w:pPr>
          </w:p>
        </w:tc>
      </w:tr>
      <w:tr w:rsidR="000F0BD7" w:rsidRPr="005358AC" w:rsidTr="00C65952">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BD7" w:rsidRPr="001078CA" w:rsidRDefault="000F0BD7" w:rsidP="00C65952">
            <w:pPr>
              <w:rPr>
                <w:b/>
                <w:bCs/>
                <w:sz w:val="18"/>
                <w:szCs w:val="18"/>
              </w:rPr>
            </w:pPr>
            <w:r w:rsidRPr="001078CA">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rsidR="000F0BD7" w:rsidRPr="001078CA" w:rsidRDefault="000F0BD7" w:rsidP="00C65952">
            <w:pPr>
              <w:jc w:val="right"/>
              <w:rPr>
                <w:b/>
                <w:bCs/>
                <w:sz w:val="18"/>
                <w:szCs w:val="18"/>
              </w:rPr>
            </w:pPr>
            <w:r w:rsidRPr="001078CA">
              <w:rPr>
                <w:b/>
                <w:bCs/>
                <w:sz w:val="18"/>
                <w:szCs w:val="18"/>
              </w:rPr>
              <w:t>46 826,6</w:t>
            </w:r>
          </w:p>
        </w:tc>
        <w:tc>
          <w:tcPr>
            <w:tcW w:w="1616" w:type="dxa"/>
            <w:tcBorders>
              <w:top w:val="single" w:sz="4" w:space="0" w:color="auto"/>
              <w:left w:val="nil"/>
              <w:bottom w:val="single" w:sz="4" w:space="0" w:color="auto"/>
              <w:right w:val="nil"/>
            </w:tcBorders>
            <w:shd w:val="clear" w:color="auto" w:fill="auto"/>
            <w:noWrap/>
            <w:vAlign w:val="bottom"/>
          </w:tcPr>
          <w:p w:rsidR="000F0BD7" w:rsidRDefault="000F0BD7" w:rsidP="00C65952">
            <w:pPr>
              <w:jc w:val="right"/>
              <w:rPr>
                <w:b/>
                <w:bCs/>
                <w:sz w:val="18"/>
                <w:szCs w:val="18"/>
              </w:rPr>
            </w:pPr>
            <w:r>
              <w:rPr>
                <w:b/>
                <w:bCs/>
                <w:sz w:val="18"/>
                <w:szCs w:val="18"/>
              </w:rPr>
              <w:t>30 090,3</w:t>
            </w:r>
          </w:p>
        </w:tc>
        <w:tc>
          <w:tcPr>
            <w:tcW w:w="1304" w:type="dxa"/>
            <w:tcBorders>
              <w:top w:val="single" w:sz="4" w:space="0" w:color="auto"/>
              <w:left w:val="nil"/>
              <w:bottom w:val="single" w:sz="4" w:space="0" w:color="auto"/>
              <w:right w:val="single" w:sz="8" w:space="0" w:color="auto"/>
            </w:tcBorders>
            <w:shd w:val="clear" w:color="auto" w:fill="auto"/>
            <w:noWrap/>
            <w:vAlign w:val="bottom"/>
          </w:tcPr>
          <w:p w:rsidR="000F0BD7" w:rsidRDefault="000F0BD7" w:rsidP="00C65952">
            <w:pPr>
              <w:jc w:val="right"/>
              <w:rPr>
                <w:b/>
                <w:bCs/>
                <w:sz w:val="18"/>
                <w:szCs w:val="18"/>
              </w:rPr>
            </w:pPr>
            <w:r>
              <w:rPr>
                <w:b/>
                <w:bCs/>
                <w:sz w:val="18"/>
                <w:szCs w:val="18"/>
              </w:rPr>
              <w:t>64,3%</w:t>
            </w:r>
          </w:p>
        </w:tc>
      </w:tr>
      <w:tr w:rsidR="000F0BD7" w:rsidRPr="005358AC" w:rsidTr="00C65952">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rsidR="000F0BD7" w:rsidRPr="001078CA" w:rsidRDefault="000F0BD7" w:rsidP="00C65952">
            <w:pPr>
              <w:rPr>
                <w:b/>
                <w:i/>
                <w:sz w:val="18"/>
                <w:szCs w:val="18"/>
              </w:rPr>
            </w:pPr>
            <w:r w:rsidRPr="001078CA">
              <w:rPr>
                <w:b/>
                <w:i/>
                <w:sz w:val="18"/>
                <w:szCs w:val="18"/>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21 336,8</w:t>
            </w:r>
          </w:p>
        </w:tc>
        <w:tc>
          <w:tcPr>
            <w:tcW w:w="1616" w:type="dxa"/>
            <w:tcBorders>
              <w:top w:val="single" w:sz="4" w:space="0" w:color="auto"/>
              <w:left w:val="nil"/>
              <w:bottom w:val="nil"/>
              <w:right w:val="nil"/>
            </w:tcBorders>
            <w:shd w:val="clear" w:color="auto" w:fill="auto"/>
            <w:noWrap/>
            <w:vAlign w:val="bottom"/>
          </w:tcPr>
          <w:p w:rsidR="000F0BD7" w:rsidRDefault="000F0BD7" w:rsidP="00C65952">
            <w:pPr>
              <w:jc w:val="right"/>
              <w:rPr>
                <w:sz w:val="18"/>
                <w:szCs w:val="18"/>
              </w:rPr>
            </w:pPr>
            <w:r>
              <w:rPr>
                <w:sz w:val="18"/>
                <w:szCs w:val="18"/>
              </w:rPr>
              <w:t>11 385,2</w:t>
            </w:r>
          </w:p>
        </w:tc>
        <w:tc>
          <w:tcPr>
            <w:tcW w:w="1304" w:type="dxa"/>
            <w:tcBorders>
              <w:top w:val="single" w:sz="4" w:space="0" w:color="auto"/>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53,4%</w:t>
            </w:r>
          </w:p>
        </w:tc>
      </w:tr>
      <w:tr w:rsidR="000F0BD7" w:rsidRPr="005358AC" w:rsidTr="00C6595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Текущи </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17 769,2</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10 365,0</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58,3%</w:t>
            </w:r>
          </w:p>
        </w:tc>
      </w:tr>
      <w:tr w:rsidR="000F0BD7" w:rsidRPr="005358AC" w:rsidTr="00C6595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Предоставени </w:t>
            </w:r>
            <w:proofErr w:type="spellStart"/>
            <w:r w:rsidRPr="001078CA">
              <w:rPr>
                <w:sz w:val="18"/>
                <w:szCs w:val="18"/>
              </w:rPr>
              <w:t>тек</w:t>
            </w:r>
            <w:proofErr w:type="spellEnd"/>
            <w:r w:rsidRPr="001078CA">
              <w:rPr>
                <w:sz w:val="18"/>
                <w:szCs w:val="18"/>
              </w:rPr>
              <w:t xml:space="preserve">. и </w:t>
            </w:r>
            <w:proofErr w:type="spellStart"/>
            <w:r w:rsidRPr="001078CA">
              <w:rPr>
                <w:sz w:val="18"/>
                <w:szCs w:val="18"/>
              </w:rPr>
              <w:t>капит</w:t>
            </w:r>
            <w:proofErr w:type="spellEnd"/>
            <w:r w:rsidRPr="001078CA">
              <w:rPr>
                <w:sz w:val="18"/>
                <w:szCs w:val="18"/>
              </w:rPr>
              <w:t>. трансфери за чужбина</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20,7</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8,8</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42,4%</w:t>
            </w:r>
          </w:p>
        </w:tc>
      </w:tr>
      <w:tr w:rsidR="000F0BD7" w:rsidRPr="005358AC" w:rsidTr="00C65952">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Капиталови</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3 546,9</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1 011,4</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28,5%</w:t>
            </w:r>
          </w:p>
        </w:tc>
      </w:tr>
      <w:tr w:rsidR="000F0BD7" w:rsidRPr="005358AC" w:rsidTr="00C6595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b/>
                <w:i/>
                <w:sz w:val="18"/>
                <w:szCs w:val="18"/>
              </w:rPr>
            </w:pPr>
            <w:r w:rsidRPr="001078CA">
              <w:rPr>
                <w:b/>
                <w:i/>
                <w:sz w:val="18"/>
                <w:szCs w:val="18"/>
              </w:rPr>
              <w:t xml:space="preserve">   -Лихви</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784,1</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699,2</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89,2%</w:t>
            </w:r>
          </w:p>
        </w:tc>
      </w:tr>
      <w:tr w:rsidR="000F0BD7" w:rsidRPr="005358AC" w:rsidTr="00C65952">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667,2</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592,9</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88,9%</w:t>
            </w:r>
          </w:p>
        </w:tc>
      </w:tr>
      <w:tr w:rsidR="000F0BD7" w:rsidRPr="005358AC" w:rsidTr="00C65952">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sz w:val="18"/>
                <w:szCs w:val="18"/>
              </w:rPr>
            </w:pPr>
            <w:r w:rsidRPr="001078CA">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116,9</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106,3</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90,9%</w:t>
            </w:r>
          </w:p>
        </w:tc>
      </w:tr>
      <w:tr w:rsidR="000F0BD7" w:rsidRPr="005358AC" w:rsidTr="00C65952">
        <w:trPr>
          <w:trHeight w:val="60"/>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b/>
                <w:i/>
                <w:sz w:val="18"/>
                <w:szCs w:val="18"/>
              </w:rPr>
            </w:pPr>
            <w:r w:rsidRPr="001078CA">
              <w:rPr>
                <w:b/>
                <w:i/>
                <w:sz w:val="18"/>
                <w:szCs w:val="18"/>
              </w:rPr>
              <w:t xml:space="preserve"> - Резерв за непредвидени и неотложни разходи</w:t>
            </w:r>
            <w:r w:rsidRPr="001078CA">
              <w:rPr>
                <w:rStyle w:val="FootnoteReference"/>
                <w:sz w:val="18"/>
                <w:szCs w:val="18"/>
              </w:rPr>
              <w:footnoteReference w:id="11"/>
            </w:r>
            <w:r w:rsidRPr="001078CA">
              <w:rPr>
                <w:b/>
                <w:i/>
                <w:sz w:val="18"/>
                <w:szCs w:val="18"/>
              </w:rPr>
              <w:tab/>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131,4</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0F0BD7" w:rsidRDefault="000F0BD7" w:rsidP="00C65952">
            <w:pPr>
              <w:rPr>
                <w:sz w:val="18"/>
                <w:szCs w:val="18"/>
              </w:rPr>
            </w:pPr>
            <w:r>
              <w:rPr>
                <w:sz w:val="18"/>
                <w:szCs w:val="18"/>
              </w:rPr>
              <w:t> </w:t>
            </w:r>
          </w:p>
        </w:tc>
      </w:tr>
      <w:tr w:rsidR="000F0BD7" w:rsidRPr="005358AC" w:rsidTr="00C65952">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rsidR="000F0BD7" w:rsidRPr="001078CA" w:rsidRDefault="000F0BD7" w:rsidP="00C65952">
            <w:pPr>
              <w:rPr>
                <w:b/>
                <w:i/>
                <w:sz w:val="18"/>
                <w:szCs w:val="18"/>
              </w:rPr>
            </w:pPr>
            <w:r w:rsidRPr="001078CA">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22 531,9</w:t>
            </w:r>
          </w:p>
        </w:tc>
        <w:tc>
          <w:tcPr>
            <w:tcW w:w="1616" w:type="dxa"/>
            <w:tcBorders>
              <w:top w:val="nil"/>
              <w:left w:val="nil"/>
              <w:bottom w:val="nil"/>
              <w:right w:val="nil"/>
            </w:tcBorders>
            <w:shd w:val="clear" w:color="auto" w:fill="auto"/>
            <w:noWrap/>
            <w:vAlign w:val="bottom"/>
          </w:tcPr>
          <w:p w:rsidR="000F0BD7" w:rsidRDefault="000F0BD7" w:rsidP="00C65952">
            <w:pPr>
              <w:jc w:val="right"/>
              <w:rPr>
                <w:sz w:val="18"/>
                <w:szCs w:val="18"/>
              </w:rPr>
            </w:pPr>
            <w:r>
              <w:rPr>
                <w:sz w:val="18"/>
                <w:szCs w:val="18"/>
              </w:rPr>
              <w:t>16 753,9</w:t>
            </w:r>
          </w:p>
        </w:tc>
        <w:tc>
          <w:tcPr>
            <w:tcW w:w="1304" w:type="dxa"/>
            <w:tcBorders>
              <w:top w:val="nil"/>
              <w:left w:val="nil"/>
              <w:bottom w:val="nil"/>
              <w:right w:val="single" w:sz="8" w:space="0" w:color="auto"/>
            </w:tcBorders>
            <w:shd w:val="clear" w:color="auto" w:fill="auto"/>
            <w:noWrap/>
            <w:vAlign w:val="bottom"/>
          </w:tcPr>
          <w:p w:rsidR="000F0BD7" w:rsidRDefault="000F0BD7" w:rsidP="00C65952">
            <w:pPr>
              <w:jc w:val="right"/>
              <w:rPr>
                <w:sz w:val="18"/>
                <w:szCs w:val="18"/>
              </w:rPr>
            </w:pPr>
            <w:r>
              <w:rPr>
                <w:sz w:val="18"/>
                <w:szCs w:val="18"/>
              </w:rPr>
              <w:t>74,4%</w:t>
            </w:r>
          </w:p>
        </w:tc>
      </w:tr>
      <w:tr w:rsidR="000F0BD7" w:rsidRPr="005358AC" w:rsidTr="00C65952">
        <w:trPr>
          <w:trHeight w:val="6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rsidR="000F0BD7" w:rsidRPr="001078CA" w:rsidRDefault="000F0BD7" w:rsidP="00C65952">
            <w:pPr>
              <w:rPr>
                <w:b/>
                <w:bCs/>
                <w:i/>
                <w:sz w:val="18"/>
                <w:szCs w:val="18"/>
              </w:rPr>
            </w:pPr>
            <w:r w:rsidRPr="001078CA">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0F0BD7" w:rsidRPr="001078CA" w:rsidRDefault="000F0BD7" w:rsidP="00C65952">
            <w:pPr>
              <w:jc w:val="right"/>
              <w:rPr>
                <w:sz w:val="18"/>
                <w:szCs w:val="18"/>
              </w:rPr>
            </w:pPr>
            <w:r w:rsidRPr="001078CA">
              <w:rPr>
                <w:sz w:val="18"/>
                <w:szCs w:val="18"/>
              </w:rPr>
              <w:t>2 042,4</w:t>
            </w:r>
          </w:p>
        </w:tc>
        <w:tc>
          <w:tcPr>
            <w:tcW w:w="1616" w:type="dxa"/>
            <w:tcBorders>
              <w:top w:val="nil"/>
              <w:left w:val="nil"/>
              <w:bottom w:val="single" w:sz="4" w:space="0" w:color="auto"/>
              <w:right w:val="nil"/>
            </w:tcBorders>
            <w:shd w:val="clear" w:color="auto" w:fill="auto"/>
            <w:noWrap/>
            <w:vAlign w:val="bottom"/>
          </w:tcPr>
          <w:p w:rsidR="000F0BD7" w:rsidRDefault="000F0BD7" w:rsidP="00C65952">
            <w:pPr>
              <w:jc w:val="right"/>
              <w:rPr>
                <w:sz w:val="18"/>
                <w:szCs w:val="18"/>
              </w:rPr>
            </w:pPr>
            <w:r>
              <w:rPr>
                <w:sz w:val="18"/>
                <w:szCs w:val="18"/>
              </w:rPr>
              <w:t>1 252,1</w:t>
            </w:r>
          </w:p>
        </w:tc>
        <w:tc>
          <w:tcPr>
            <w:tcW w:w="1304" w:type="dxa"/>
            <w:tcBorders>
              <w:top w:val="nil"/>
              <w:left w:val="nil"/>
              <w:bottom w:val="single" w:sz="4" w:space="0" w:color="auto"/>
              <w:right w:val="single" w:sz="8" w:space="0" w:color="auto"/>
            </w:tcBorders>
            <w:shd w:val="clear" w:color="auto" w:fill="auto"/>
            <w:noWrap/>
            <w:vAlign w:val="bottom"/>
          </w:tcPr>
          <w:p w:rsidR="000F0BD7" w:rsidRDefault="000F0BD7" w:rsidP="00C65952">
            <w:pPr>
              <w:jc w:val="right"/>
              <w:rPr>
                <w:sz w:val="18"/>
                <w:szCs w:val="18"/>
              </w:rPr>
            </w:pPr>
            <w:r>
              <w:rPr>
                <w:sz w:val="18"/>
                <w:szCs w:val="18"/>
              </w:rPr>
              <w:t>61,3%</w:t>
            </w:r>
          </w:p>
        </w:tc>
      </w:tr>
      <w:tr w:rsidR="000F0BD7" w:rsidRPr="005358AC" w:rsidTr="00C65952">
        <w:trPr>
          <w:trHeight w:val="5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BD7" w:rsidRPr="001078CA" w:rsidRDefault="000F0BD7" w:rsidP="00C65952">
            <w:pPr>
              <w:rPr>
                <w:b/>
                <w:bCs/>
                <w:sz w:val="18"/>
                <w:szCs w:val="18"/>
              </w:rPr>
            </w:pPr>
            <w:r w:rsidRPr="001078CA">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0F0BD7" w:rsidRPr="001078CA" w:rsidRDefault="000F0BD7" w:rsidP="00C65952">
            <w:pPr>
              <w:jc w:val="right"/>
              <w:rPr>
                <w:b/>
                <w:bCs/>
                <w:sz w:val="18"/>
                <w:szCs w:val="18"/>
              </w:rPr>
            </w:pPr>
            <w:r w:rsidRPr="001078CA">
              <w:rPr>
                <w:b/>
                <w:bCs/>
                <w:sz w:val="18"/>
                <w:szCs w:val="18"/>
              </w:rPr>
              <w:t>-6 016,0</w:t>
            </w:r>
          </w:p>
        </w:tc>
        <w:tc>
          <w:tcPr>
            <w:tcW w:w="1616" w:type="dxa"/>
            <w:tcBorders>
              <w:top w:val="single" w:sz="4" w:space="0" w:color="auto"/>
              <w:left w:val="nil"/>
              <w:bottom w:val="single" w:sz="8" w:space="0" w:color="auto"/>
              <w:right w:val="nil"/>
            </w:tcBorders>
            <w:shd w:val="clear" w:color="auto" w:fill="auto"/>
            <w:noWrap/>
            <w:vAlign w:val="bottom"/>
          </w:tcPr>
          <w:p w:rsidR="000F0BD7" w:rsidRDefault="000F0BD7" w:rsidP="00C65952">
            <w:pPr>
              <w:jc w:val="right"/>
              <w:rPr>
                <w:b/>
                <w:bCs/>
                <w:sz w:val="18"/>
                <w:szCs w:val="18"/>
              </w:rPr>
            </w:pPr>
            <w:r>
              <w:rPr>
                <w:b/>
                <w:bCs/>
                <w:sz w:val="18"/>
                <w:szCs w:val="18"/>
              </w:rPr>
              <w:t>-1 563,9</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0F0BD7" w:rsidRDefault="000F0BD7" w:rsidP="00C65952">
            <w:pPr>
              <w:rPr>
                <w:b/>
                <w:bCs/>
                <w:sz w:val="18"/>
                <w:szCs w:val="18"/>
              </w:rPr>
            </w:pPr>
            <w:r>
              <w:rPr>
                <w:b/>
                <w:bCs/>
                <w:sz w:val="18"/>
                <w:szCs w:val="18"/>
              </w:rPr>
              <w:t> </w:t>
            </w:r>
          </w:p>
        </w:tc>
      </w:tr>
    </w:tbl>
    <w:p w:rsidR="000F0BD7" w:rsidRPr="005358AC" w:rsidRDefault="000F0BD7" w:rsidP="000F0BD7">
      <w:pPr>
        <w:ind w:right="-242"/>
        <w:rPr>
          <w:b/>
          <w:bCs/>
          <w:color w:val="0070C0"/>
          <w:sz w:val="6"/>
          <w:szCs w:val="6"/>
        </w:rPr>
      </w:pPr>
    </w:p>
    <w:p w:rsidR="000F0BD7" w:rsidRPr="005358AC" w:rsidRDefault="000F0BD7" w:rsidP="000F0BD7">
      <w:pPr>
        <w:pStyle w:val="BodyTextIndent"/>
        <w:ind w:left="360"/>
        <w:jc w:val="both"/>
        <w:rPr>
          <w:b/>
          <w:color w:val="0070C0"/>
          <w:sz w:val="12"/>
        </w:rPr>
      </w:pPr>
    </w:p>
    <w:p w:rsidR="000F0BD7" w:rsidRPr="0091407C" w:rsidRDefault="000F0BD7" w:rsidP="000F0BD7">
      <w:pPr>
        <w:pStyle w:val="BodyTextIndent"/>
        <w:numPr>
          <w:ilvl w:val="0"/>
          <w:numId w:val="2"/>
        </w:numPr>
        <w:jc w:val="both"/>
        <w:rPr>
          <w:b/>
        </w:rPr>
      </w:pPr>
      <w:r w:rsidRPr="0091407C">
        <w:rPr>
          <w:b/>
          <w:bCs/>
        </w:rPr>
        <w:t xml:space="preserve">Приходи по държавния бюджет </w:t>
      </w:r>
    </w:p>
    <w:p w:rsidR="000F0BD7" w:rsidRPr="0091407C" w:rsidRDefault="000F0BD7" w:rsidP="000F0BD7">
      <w:pPr>
        <w:spacing w:after="120"/>
        <w:jc w:val="both"/>
        <w:rPr>
          <w:bCs/>
        </w:rPr>
      </w:pPr>
      <w:r w:rsidRPr="0091407C">
        <w:rPr>
          <w:bCs/>
        </w:rPr>
        <w:t>Общият размер на</w:t>
      </w:r>
      <w:r w:rsidRPr="0091407C">
        <w:rPr>
          <w:b/>
          <w:bCs/>
        </w:rPr>
        <w:t xml:space="preserve"> приходите, помощите и даренията по държавния бюджет</w:t>
      </w:r>
      <w:r w:rsidRPr="0091407C">
        <w:rPr>
          <w:bCs/>
        </w:rPr>
        <w:t xml:space="preserve"> към септември 2023 г. е</w:t>
      </w:r>
      <w:r w:rsidRPr="0091407C">
        <w:rPr>
          <w:b/>
          <w:bCs/>
        </w:rPr>
        <w:t xml:space="preserve"> 28 526,4 млн. лв.</w:t>
      </w:r>
      <w:r w:rsidRPr="0091407C">
        <w:rPr>
          <w:bCs/>
        </w:rPr>
        <w:t>, което представлява 69,9 % изпълнение на разчетите по ЗДБРБ за 2023 година.</w:t>
      </w:r>
    </w:p>
    <w:p w:rsidR="000F0BD7" w:rsidRPr="003B5D66" w:rsidRDefault="000F0BD7" w:rsidP="000F0BD7">
      <w:pPr>
        <w:numPr>
          <w:ilvl w:val="0"/>
          <w:numId w:val="3"/>
        </w:numPr>
        <w:tabs>
          <w:tab w:val="num" w:pos="720"/>
        </w:tabs>
        <w:ind w:left="0" w:firstLine="180"/>
        <w:jc w:val="both"/>
        <w:rPr>
          <w:b/>
          <w:bCs/>
        </w:rPr>
      </w:pPr>
      <w:r w:rsidRPr="003B5D66">
        <w:rPr>
          <w:bCs/>
        </w:rPr>
        <w:t xml:space="preserve"> </w:t>
      </w:r>
      <w:r w:rsidRPr="003B5D66">
        <w:rPr>
          <w:b/>
          <w:bCs/>
        </w:rPr>
        <w:t>Данъчни приходи</w:t>
      </w:r>
    </w:p>
    <w:p w:rsidR="000F0BD7" w:rsidRPr="005358AC" w:rsidRDefault="000F0BD7" w:rsidP="000F0BD7">
      <w:pPr>
        <w:jc w:val="both"/>
        <w:rPr>
          <w:bCs/>
          <w:color w:val="0070C0"/>
          <w:sz w:val="4"/>
          <w:szCs w:val="4"/>
        </w:rPr>
      </w:pPr>
    </w:p>
    <w:p w:rsidR="000F0BD7" w:rsidRPr="005358AC" w:rsidRDefault="000F0BD7" w:rsidP="000F0BD7">
      <w:pPr>
        <w:jc w:val="both"/>
        <w:rPr>
          <w:color w:val="0070C0"/>
          <w:sz w:val="10"/>
        </w:rPr>
      </w:pPr>
      <w:r w:rsidRPr="003B5D66">
        <w:rPr>
          <w:bCs/>
        </w:rPr>
        <w:t>Размерът на</w:t>
      </w:r>
      <w:r w:rsidRPr="003B5D66">
        <w:rPr>
          <w:b/>
          <w:bCs/>
        </w:rPr>
        <w:t xml:space="preserve"> данъчните постъпления по държавния бюджет</w:t>
      </w:r>
      <w:r w:rsidRPr="003B5D66">
        <w:rPr>
          <w:bCs/>
        </w:rPr>
        <w:t xml:space="preserve"> към септември 2023 г. </w:t>
      </w:r>
      <w:r w:rsidRPr="003B5D66">
        <w:t xml:space="preserve">е </w:t>
      </w:r>
      <w:r w:rsidRPr="003B5D66">
        <w:rPr>
          <w:b/>
          <w:lang w:val="ru-RU"/>
        </w:rPr>
        <w:t>24 091,5</w:t>
      </w:r>
      <w:r w:rsidRPr="003B5D66">
        <w:rPr>
          <w:b/>
        </w:rPr>
        <w:t> млн.</w:t>
      </w:r>
      <w:r w:rsidRPr="003B5D66">
        <w:rPr>
          <w:b/>
          <w:lang w:val="en-US"/>
        </w:rPr>
        <w:t> </w:t>
      </w:r>
      <w:r w:rsidRPr="003B5D66">
        <w:rPr>
          <w:b/>
        </w:rPr>
        <w:t>лв</w:t>
      </w:r>
      <w:r w:rsidRPr="003B5D66">
        <w:t>., което представлява 67,7 % изпълнение на годишните разчети. В сравнение със същия период на 2022 г. постъпленията в групата нарастват с 1 153,0 млн. лева (5,0 %).</w:t>
      </w:r>
    </w:p>
    <w:p w:rsidR="000F0BD7" w:rsidRPr="000E2AFA" w:rsidRDefault="000F0BD7" w:rsidP="000F0BD7">
      <w:pPr>
        <w:numPr>
          <w:ilvl w:val="0"/>
          <w:numId w:val="4"/>
        </w:numPr>
        <w:tabs>
          <w:tab w:val="clear" w:pos="1440"/>
          <w:tab w:val="num" w:pos="540"/>
        </w:tabs>
        <w:spacing w:before="120" w:after="120"/>
        <w:ind w:left="0" w:firstLine="181"/>
        <w:jc w:val="both"/>
        <w:rPr>
          <w:b/>
          <w:bCs/>
        </w:rPr>
      </w:pPr>
      <w:r w:rsidRPr="000E2AFA">
        <w:rPr>
          <w:b/>
          <w:bCs/>
        </w:rPr>
        <w:t>Преки данъци</w:t>
      </w:r>
    </w:p>
    <w:p w:rsidR="000F0BD7" w:rsidRPr="006440AB" w:rsidRDefault="000F0BD7" w:rsidP="000F0BD7">
      <w:pPr>
        <w:spacing w:before="120"/>
        <w:jc w:val="both"/>
      </w:pPr>
      <w:r w:rsidRPr="004E02F0">
        <w:t>Приходите в групата на</w:t>
      </w:r>
      <w:r w:rsidRPr="004E02F0">
        <w:rPr>
          <w:b/>
        </w:rPr>
        <w:t xml:space="preserve"> преките данъци</w:t>
      </w:r>
      <w:r w:rsidRPr="004E02F0">
        <w:t xml:space="preserve"> са в размер на</w:t>
      </w:r>
      <w:r w:rsidRPr="004E02F0">
        <w:rPr>
          <w:b/>
        </w:rPr>
        <w:t> 7 394,2 млн. лв</w:t>
      </w:r>
      <w:r w:rsidRPr="004E02F0">
        <w:t xml:space="preserve">. или 63,7 % от </w:t>
      </w:r>
      <w:r w:rsidRPr="006440AB">
        <w:t>планираните за годината, като съпоставени със същия период на предходната година постъпленията нарастват с 1 032,6 млн. лв. (16,2 %). Повишението се дължи основно на значително по-високите приходи от данъците върху доходите на физическите лица.</w:t>
      </w:r>
    </w:p>
    <w:p w:rsidR="000F0BD7" w:rsidRPr="005358AC" w:rsidRDefault="000F0BD7" w:rsidP="000F0BD7">
      <w:pPr>
        <w:spacing w:before="120"/>
        <w:jc w:val="both"/>
        <w:rPr>
          <w:color w:val="0070C0"/>
        </w:rPr>
      </w:pPr>
      <w:r w:rsidRPr="00E101E4">
        <w:t xml:space="preserve">Приходите </w:t>
      </w:r>
      <w:r w:rsidRPr="0088474C">
        <w:t>от</w:t>
      </w:r>
      <w:r w:rsidRPr="0088474C">
        <w:rPr>
          <w:b/>
        </w:rPr>
        <w:t xml:space="preserve"> </w:t>
      </w:r>
      <w:r w:rsidRPr="0088474C">
        <w:rPr>
          <w:b/>
          <w:bCs/>
          <w:i/>
        </w:rPr>
        <w:t>корпоративни данъци</w:t>
      </w:r>
      <w:r w:rsidRPr="0088474C">
        <w:t xml:space="preserve"> </w:t>
      </w:r>
      <w:r w:rsidRPr="0088474C">
        <w:rPr>
          <w:bCs/>
        </w:rPr>
        <w:t>към септември 2023</w:t>
      </w:r>
      <w:r w:rsidRPr="0088474C">
        <w:rPr>
          <w:b/>
        </w:rPr>
        <w:t> </w:t>
      </w:r>
      <w:r w:rsidRPr="0088474C">
        <w:t xml:space="preserve">г. са в размер на 2 909,1 млн. лв. или 52,8 % от годишния план. Сравнени с данните към месец септември на предходната </w:t>
      </w:r>
      <w:r w:rsidRPr="00A4216F">
        <w:t>година постъпленията нарастват с 416,0 млн. лв. (16,7 %). 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65,9 млн. лв., като съпоставено с края на септември 2022</w:t>
      </w:r>
      <w:r w:rsidRPr="00A4216F">
        <w:rPr>
          <w:lang w:val="en-US"/>
        </w:rPr>
        <w:t> </w:t>
      </w:r>
      <w:r w:rsidRPr="00A4216F">
        <w:t>г. приходите са с 8,3 млн. лв. по-малко (11,2 % спад).</w:t>
      </w:r>
    </w:p>
    <w:p w:rsidR="000F0BD7" w:rsidRPr="001F6504" w:rsidRDefault="000F0BD7" w:rsidP="000F0BD7">
      <w:pPr>
        <w:spacing w:before="120" w:after="120"/>
        <w:jc w:val="both"/>
        <w:rPr>
          <w:color w:val="0070C0"/>
          <w:lang w:val="en-US"/>
        </w:rPr>
      </w:pPr>
      <w:r w:rsidRPr="00AD474B">
        <w:t>Приходите от</w:t>
      </w:r>
      <w:r w:rsidRPr="00AD474B">
        <w:rPr>
          <w:b/>
        </w:rPr>
        <w:t xml:space="preserve"> данъци върху доходите на физически лица </w:t>
      </w:r>
      <w:r w:rsidRPr="00AD474B">
        <w:t xml:space="preserve">са в размер на </w:t>
      </w:r>
      <w:r w:rsidRPr="00AD474B">
        <w:rPr>
          <w:b/>
          <w:lang w:val="ru-RU"/>
        </w:rPr>
        <w:t xml:space="preserve">4 485,2 </w:t>
      </w:r>
      <w:r w:rsidRPr="00AD474B">
        <w:rPr>
          <w:b/>
        </w:rPr>
        <w:t>млн. лв.</w:t>
      </w:r>
      <w:r w:rsidRPr="00AD474B">
        <w:t xml:space="preserve"> </w:t>
      </w:r>
      <w:r w:rsidRPr="00BD13D2">
        <w:t>или 73,5 % от заложените в разчета за годината. Тези приходи са с 616,6 млн. лв. повече или 15,9 % ръст спрямо същия период на предходната година.</w:t>
      </w:r>
      <w:r>
        <w:rPr>
          <w:lang w:val="en-US"/>
        </w:rPr>
        <w:t xml:space="preserve"> </w:t>
      </w:r>
    </w:p>
    <w:p w:rsidR="000F0BD7" w:rsidRPr="00457580" w:rsidRDefault="000F0BD7" w:rsidP="000F0BD7">
      <w:pPr>
        <w:spacing w:before="120" w:after="120"/>
        <w:jc w:val="both"/>
      </w:pPr>
      <w:r w:rsidRPr="00AE4EA8">
        <w:t>Върху размера на данъчните постъпления от ДДФЛ основно влияние имат икономическата активност и развитието на пазара на труда, както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тематичните кампании за контрол, провеждани от НАП.</w:t>
      </w:r>
    </w:p>
    <w:p w:rsidR="000F0BD7" w:rsidRPr="00192F6E" w:rsidRDefault="000F0BD7" w:rsidP="00192F6E">
      <w:pPr>
        <w:spacing w:before="120"/>
        <w:jc w:val="both"/>
        <w:rPr>
          <w:color w:val="0070C0"/>
        </w:rPr>
      </w:pPr>
      <w:r w:rsidRPr="001B0581">
        <w:rPr>
          <w:i/>
        </w:rPr>
        <w:t>По трудови правоотношения</w:t>
      </w:r>
      <w:r w:rsidRPr="001B0581">
        <w:t xml:space="preserve"> приходите от данъка </w:t>
      </w:r>
      <w:r w:rsidRPr="001B0581">
        <w:rPr>
          <w:bCs/>
        </w:rPr>
        <w:t>към септември 2023</w:t>
      </w:r>
      <w:r w:rsidRPr="001B0581">
        <w:t xml:space="preserve"> г. са 3 673,6 млн. лв., 71,9 % от годишните разчети. Тези приходи нарастват с 530,3 млн. лв. (16,9 %) в сравнение със </w:t>
      </w:r>
      <w:r w:rsidRPr="00192F6E">
        <w:t>същия период на предходната година.</w:t>
      </w:r>
    </w:p>
    <w:p w:rsidR="000F0BD7" w:rsidRPr="00192F6E" w:rsidRDefault="000F0BD7" w:rsidP="00192F6E">
      <w:pPr>
        <w:pStyle w:val="ListParagraph"/>
        <w:spacing w:before="120" w:line="240" w:lineRule="auto"/>
        <w:ind w:left="0" w:firstLine="0"/>
        <w:rPr>
          <w:rFonts w:ascii="Times New Roman" w:hAnsi="Times New Roman"/>
        </w:rPr>
      </w:pPr>
      <w:r w:rsidRPr="00192F6E">
        <w:rPr>
          <w:rFonts w:ascii="Times New Roman" w:hAnsi="Times New Roman"/>
        </w:rPr>
        <w:t xml:space="preserve">Нивото на заетостта и на безработицата в страната, както и високият номинален ръст на средната работна заплата през второто тримесечие на 2023 г. са едни от основните фактори за нарастването на данъчните приходи от трудови правоотношения. </w:t>
      </w:r>
    </w:p>
    <w:p w:rsidR="000F0BD7" w:rsidRPr="00192F6E" w:rsidRDefault="000F0BD7" w:rsidP="00192F6E">
      <w:pPr>
        <w:pStyle w:val="ListParagraph"/>
        <w:spacing w:before="240" w:line="240" w:lineRule="auto"/>
        <w:ind w:left="0" w:firstLine="0"/>
        <w:contextualSpacing w:val="0"/>
        <w:rPr>
          <w:rFonts w:ascii="Times New Roman" w:hAnsi="Times New Roman"/>
        </w:rPr>
      </w:pPr>
      <w:r w:rsidRPr="00192F6E">
        <w:rPr>
          <w:rFonts w:ascii="Times New Roman" w:hAnsi="Times New Roman"/>
        </w:rPr>
        <w:t xml:space="preserve">Допълнително влияние за нарастване на данъчните постъпления оказва и приетото от правителството увеличение от 1 януари 2023 г. на минималната работна заплата за страната от 710 лв. на 780 лв. (9,9 %), както и увеличението на разходите за персонал в някои от бюджетните системи.    </w:t>
      </w:r>
    </w:p>
    <w:p w:rsidR="000F0BD7" w:rsidRPr="003A606E" w:rsidRDefault="000F0BD7" w:rsidP="000F0BD7">
      <w:pPr>
        <w:spacing w:before="120" w:after="120"/>
        <w:jc w:val="both"/>
      </w:pPr>
      <w:r w:rsidRPr="00426032">
        <w:t>Ползването на облекченията за деца по чл. 22в и чл. 22г от ЗДДФЛ чрез подаване на декларация по образец при работодателя през месец декември 2022 г. и чрез подаване на годишната данъчна декларация за доходите, придобити през 2022 г. оказва въздействие в посока намаление върху приходите от трудови правоотношения през първото полугодие на настоящата година. Очаква се ползването на облекченията да окаже влияние и през следващите отчетни периоди при авансовото ползване при работодател за придобитите доходи през 2023 година.</w:t>
      </w:r>
      <w:r w:rsidRPr="003A606E">
        <w:t xml:space="preserve">    </w:t>
      </w:r>
    </w:p>
    <w:p w:rsidR="000F0BD7" w:rsidRPr="005358AC" w:rsidRDefault="000F0BD7" w:rsidP="000F0BD7">
      <w:pPr>
        <w:spacing w:after="120"/>
        <w:jc w:val="both"/>
        <w:rPr>
          <w:color w:val="0070C0"/>
          <w:highlight w:val="cyan"/>
        </w:rPr>
      </w:pPr>
      <w:r w:rsidRPr="00506DCC">
        <w:rPr>
          <w:i/>
        </w:rPr>
        <w:t xml:space="preserve">По </w:t>
      </w:r>
      <w:proofErr w:type="spellStart"/>
      <w:r w:rsidRPr="00506DCC">
        <w:rPr>
          <w:i/>
        </w:rPr>
        <w:t>извънтрудови</w:t>
      </w:r>
      <w:proofErr w:type="spellEnd"/>
      <w:r w:rsidRPr="00506DCC">
        <w:rPr>
          <w:i/>
        </w:rPr>
        <w:t xml:space="preserve"> правоотношения (свободни професии, граждански договори, еднолични търговци и др.)</w:t>
      </w:r>
      <w:r w:rsidRPr="00506DCC">
        <w:t xml:space="preserve"> приходите от данъка </w:t>
      </w:r>
      <w:r w:rsidRPr="00506DCC">
        <w:rPr>
          <w:bCs/>
        </w:rPr>
        <w:t>към септември 2023</w:t>
      </w:r>
      <w:r w:rsidRPr="00506DCC">
        <w:t xml:space="preserve"> г. са в размер на 371,3 млн. лв., </w:t>
      </w:r>
      <w:r w:rsidRPr="006116DC">
        <w:t>което е 78,0 % от годишния разчет. За отчетния период са постъпили с 18,6 млн. лв. (5,3 %) повече приходи спрямо края на септември 2022 година.</w:t>
      </w:r>
      <w:r w:rsidRPr="006116DC">
        <w:rPr>
          <w:lang w:val="ru-RU"/>
        </w:rPr>
        <w:t xml:space="preserve"> </w:t>
      </w:r>
      <w:r w:rsidRPr="006116DC">
        <w:t>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r w:rsidRPr="006116DC">
        <w:rPr>
          <w:lang w:val="ru-RU"/>
        </w:rPr>
        <w:t xml:space="preserve"> Влияние върху ръста на тази група данъчни приходи за отчетния период оказва ползването на данъчните облекчения за деца по чл. 22в и чл. 22г от ЗДДФЛ в увеличен размер за доходите, придобити през 2022 година.</w:t>
      </w:r>
    </w:p>
    <w:p w:rsidR="000F0BD7" w:rsidRDefault="000F0BD7" w:rsidP="000F0BD7">
      <w:pPr>
        <w:spacing w:after="120"/>
        <w:jc w:val="both"/>
      </w:pPr>
      <w:r w:rsidRPr="00991BD5">
        <w:rPr>
          <w:i/>
        </w:rPr>
        <w:t xml:space="preserve">Окончателен данък на местните и чуждестранни физически лица по чл. 37 и 38 от ЗДДФЛ </w:t>
      </w:r>
      <w:r w:rsidRPr="00A84558">
        <w:t xml:space="preserve">и </w:t>
      </w:r>
      <w:r w:rsidRPr="00A84558">
        <w:rPr>
          <w:i/>
        </w:rPr>
        <w:t>данък върху дивидентите и ликвидационните дялове на физически лица</w:t>
      </w:r>
      <w:r w:rsidRPr="00A84558">
        <w:t xml:space="preserve"> - постъпленията от </w:t>
      </w:r>
      <w:r w:rsidRPr="00F011C3">
        <w:t>тези данъци са в размер на 440,1 млн. лв., 85,7 % от годишния разчет. За отчетния период са постъпили с 69,1 млн. лв. (18,6 %) повече приходи спрямо септември 2022 година. Ръстът на тази група данъци се дължи на по-високите приходи от данък върху дивидентите и ликвидационните дялове на физически лица (20,0 %), които са резултат от отчетените по-</w:t>
      </w:r>
      <w:r w:rsidRPr="00A34370">
        <w:t xml:space="preserve">добри финансови резултати от нефинансовите предприятия през 2022 година. Влияние върху изпълнението на приходите от данък върху дивидентите и ликвидационните дялове на местни и чуждестранни физически и юридически лица има предприетата комуникационна кампания и контролни действия от НАП за проверка на касови наличности. Контролните действия са насочени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или до наличието на скрито разпределение на печалбата по смисъла на § 1, т. 5 от Допълнителните разпоредби на ЗКПО. </w:t>
      </w:r>
      <w:r w:rsidRPr="003907D0">
        <w:t xml:space="preserve">Скритото разпределение на печалбата се третира като дивидент, за който се внася 5 % данък върху разпределените суми. От 1.09.2023  г. в Закона за ограничаване на плащанията </w:t>
      </w:r>
      <w:r>
        <w:t xml:space="preserve">в брой </w:t>
      </w:r>
      <w:r w:rsidRPr="003907D0">
        <w:t>е приета разпоредба плащанията на територията</w:t>
      </w:r>
      <w:r w:rsidRPr="0067573F">
        <w:t xml:space="preserve"> на страната на дивидент</w:t>
      </w:r>
      <w:r>
        <w:t xml:space="preserve">и, със </w:t>
      </w:r>
      <w:r w:rsidRPr="0067573F">
        <w:t>стойност равна на или надвишаваща 1000 лв.</w:t>
      </w:r>
      <w:r>
        <w:t xml:space="preserve">, да </w:t>
      </w:r>
      <w:r w:rsidRPr="0067573F">
        <w:t>се извършват само чрез превод или внасяне по платежна сметка</w:t>
      </w:r>
      <w:r>
        <w:t>, в резултат на което се очаква постъпленията от данъка върху дивидентите да нараснат допълнително.</w:t>
      </w:r>
    </w:p>
    <w:p w:rsidR="000F0BD7" w:rsidRPr="0029734A" w:rsidRDefault="000F0BD7" w:rsidP="000F0BD7">
      <w:pPr>
        <w:spacing w:after="120"/>
        <w:jc w:val="both"/>
        <w:rPr>
          <w:color w:val="0070C0"/>
        </w:rPr>
      </w:pPr>
      <w:r w:rsidRPr="0029734A">
        <w:t>Постъпленията</w:t>
      </w:r>
      <w:r w:rsidRPr="0029734A">
        <w:rPr>
          <w:i/>
        </w:rPr>
        <w:t xml:space="preserve"> </w:t>
      </w:r>
      <w:r w:rsidRPr="0029734A">
        <w:t xml:space="preserve">от </w:t>
      </w:r>
      <w:r w:rsidRPr="0029734A">
        <w:rPr>
          <w:i/>
        </w:rPr>
        <w:t xml:space="preserve">окончателния данък върху доходите </w:t>
      </w:r>
      <w:r w:rsidRPr="00234DDF">
        <w:rPr>
          <w:i/>
        </w:rPr>
        <w:t xml:space="preserve">от лихви по банкови сметки </w:t>
      </w:r>
      <w:r w:rsidRPr="0029734A">
        <w:rPr>
          <w:i/>
        </w:rPr>
        <w:t xml:space="preserve">на местните физически лица </w:t>
      </w:r>
      <w:r w:rsidRPr="0029734A">
        <w:t xml:space="preserve">към 30.09.2023 г. са в размер на 0,1 млн. лв. </w:t>
      </w:r>
      <w:r>
        <w:rPr>
          <w:lang w:val="en-US"/>
        </w:rPr>
        <w:t>(</w:t>
      </w:r>
      <w:r>
        <w:t>с</w:t>
      </w:r>
      <w:r w:rsidRPr="003135D9">
        <w:t xml:space="preserve">ъгласно изменения в </w:t>
      </w:r>
      <w:r>
        <w:t>ЗДДФЛ</w:t>
      </w:r>
      <w:r w:rsidRPr="003135D9">
        <w:t xml:space="preserve"> данък</w:t>
      </w:r>
      <w:r>
        <w:t>ът</w:t>
      </w:r>
      <w:r w:rsidRPr="003135D9">
        <w:t xml:space="preserve"> </w:t>
      </w:r>
      <w:r>
        <w:t>върху доходите от</w:t>
      </w:r>
      <w:r w:rsidRPr="003135D9">
        <w:t xml:space="preserve"> лихви по банкови сметки е отмен</w:t>
      </w:r>
      <w:r>
        <w:t>ен, считано от 01.04.2022 година</w:t>
      </w:r>
      <w:r>
        <w:rPr>
          <w:lang w:val="en-US"/>
        </w:rPr>
        <w:t>)</w:t>
      </w:r>
      <w:r>
        <w:t>.</w:t>
      </w:r>
    </w:p>
    <w:p w:rsidR="000F0BD7" w:rsidRPr="006839FE" w:rsidRDefault="000F0BD7" w:rsidP="000F0BD7">
      <w:pPr>
        <w:numPr>
          <w:ilvl w:val="0"/>
          <w:numId w:val="4"/>
        </w:numPr>
        <w:tabs>
          <w:tab w:val="clear" w:pos="1440"/>
          <w:tab w:val="num" w:pos="540"/>
        </w:tabs>
        <w:ind w:left="0" w:firstLine="180"/>
        <w:jc w:val="both"/>
        <w:rPr>
          <w:b/>
          <w:bCs/>
        </w:rPr>
      </w:pPr>
      <w:r w:rsidRPr="006839FE">
        <w:rPr>
          <w:b/>
          <w:bCs/>
        </w:rPr>
        <w:t>Косвени данъци</w:t>
      </w:r>
    </w:p>
    <w:p w:rsidR="000F0BD7" w:rsidRPr="005358AC" w:rsidRDefault="000F0BD7" w:rsidP="000F0BD7">
      <w:pPr>
        <w:jc w:val="both"/>
        <w:rPr>
          <w:b/>
          <w:bCs/>
          <w:color w:val="0070C0"/>
          <w:sz w:val="4"/>
          <w:szCs w:val="4"/>
        </w:rPr>
      </w:pPr>
    </w:p>
    <w:p w:rsidR="000F0BD7" w:rsidRPr="005358AC" w:rsidRDefault="000F0BD7" w:rsidP="000F0BD7">
      <w:pPr>
        <w:spacing w:after="120"/>
        <w:jc w:val="both"/>
        <w:rPr>
          <w:color w:val="0070C0"/>
        </w:rPr>
      </w:pPr>
      <w:r w:rsidRPr="006839FE">
        <w:t xml:space="preserve">Приходите от </w:t>
      </w:r>
      <w:r w:rsidRPr="006839FE">
        <w:rPr>
          <w:b/>
        </w:rPr>
        <w:t>косвени данъци</w:t>
      </w:r>
      <w:r w:rsidRPr="006839FE">
        <w:t xml:space="preserve"> </w:t>
      </w:r>
      <w:r w:rsidRPr="006839FE">
        <w:rPr>
          <w:bCs/>
        </w:rPr>
        <w:t>към септември 2023</w:t>
      </w:r>
      <w:r w:rsidRPr="006839FE">
        <w:t xml:space="preserve"> г. са в размер на</w:t>
      </w:r>
      <w:r w:rsidRPr="006839FE">
        <w:rPr>
          <w:b/>
        </w:rPr>
        <w:t xml:space="preserve"> 16 452,3 млн. лв</w:t>
      </w:r>
      <w:r w:rsidRPr="006839FE">
        <w:t xml:space="preserve">. или </w:t>
      </w:r>
      <w:r w:rsidRPr="00902A38">
        <w:t>70,3</w:t>
      </w:r>
      <w:r w:rsidR="00114D25">
        <w:t> </w:t>
      </w:r>
      <w:r w:rsidRPr="00902A38">
        <w:t xml:space="preserve">% от годишния разчет. Постъпленията са номинално близки до отчетените за </w:t>
      </w:r>
      <w:r w:rsidRPr="00902A38">
        <w:rPr>
          <w:rFonts w:eastAsia="Batang"/>
          <w:bCs/>
        </w:rPr>
        <w:t xml:space="preserve">същия период на предходната година. </w:t>
      </w:r>
    </w:p>
    <w:p w:rsidR="000F0BD7" w:rsidRPr="005358AC" w:rsidRDefault="000F0BD7" w:rsidP="000F0BD7">
      <w:pPr>
        <w:spacing w:after="120"/>
        <w:jc w:val="both"/>
        <w:rPr>
          <w:color w:val="0070C0"/>
        </w:rPr>
      </w:pPr>
      <w:r w:rsidRPr="00D260E6">
        <w:rPr>
          <w:b/>
        </w:rPr>
        <w:t>Приходите от ДДС</w:t>
      </w:r>
      <w:r w:rsidRPr="00D260E6">
        <w:t xml:space="preserve"> са в размер на </w:t>
      </w:r>
      <w:r w:rsidRPr="00D260E6">
        <w:rPr>
          <w:b/>
        </w:rPr>
        <w:t>11 607,8</w:t>
      </w:r>
      <w:r w:rsidRPr="00D260E6">
        <w:t xml:space="preserve"> </w:t>
      </w:r>
      <w:r w:rsidRPr="00D260E6">
        <w:rPr>
          <w:b/>
        </w:rPr>
        <w:t>млн. лв.</w:t>
      </w:r>
      <w:r w:rsidRPr="00D260E6">
        <w:t xml:space="preserve">, което представлява 68,3 % от планираните със ЗДБРБ за 2023 година. Съпоставени с края на септември 2022 г., приходите от ДДС намаляват със 145,3 млн. лв. </w:t>
      </w:r>
      <w:r w:rsidRPr="00D260E6">
        <w:rPr>
          <w:lang w:val="ru-RU"/>
        </w:rPr>
        <w:t>(</w:t>
      </w:r>
      <w:r w:rsidRPr="00D260E6">
        <w:t>1,2 %</w:t>
      </w:r>
      <w:r w:rsidRPr="00D260E6">
        <w:rPr>
          <w:lang w:val="ru-RU"/>
        </w:rPr>
        <w:t>)</w:t>
      </w:r>
      <w:r w:rsidRPr="00D260E6">
        <w:t xml:space="preserve">, в резултат на по-ниските постъпления от ДДС при внос.  </w:t>
      </w:r>
    </w:p>
    <w:p w:rsidR="000F0BD7" w:rsidRPr="005358AC" w:rsidRDefault="000F0BD7" w:rsidP="000F0BD7">
      <w:pPr>
        <w:spacing w:before="120"/>
        <w:ind w:right="-29"/>
        <w:jc w:val="both"/>
        <w:rPr>
          <w:color w:val="0070C0"/>
        </w:rPr>
      </w:pPr>
      <w:r w:rsidRPr="006F27E6">
        <w:t xml:space="preserve">Нетният размер на приходите от </w:t>
      </w:r>
      <w:r w:rsidRPr="006F27E6">
        <w:rPr>
          <w:i/>
        </w:rPr>
        <w:t>ДДС от внос</w:t>
      </w:r>
      <w:r w:rsidRPr="006F27E6">
        <w:t xml:space="preserve"> </w:t>
      </w:r>
      <w:r w:rsidRPr="006F27E6">
        <w:rPr>
          <w:bCs/>
        </w:rPr>
        <w:t>към септември 2023</w:t>
      </w:r>
      <w:r w:rsidRPr="006F27E6">
        <w:t xml:space="preserve"> г. е 4 466,6 млн. лв., като намаляват с 16,1 % (858,9 млн. лв.) спрямо същия период на предходната година. </w:t>
      </w:r>
      <w:r w:rsidRPr="00E1269E">
        <w:t xml:space="preserve">Влияние върху динамиката на приходите от ДДС при внос през периода оказват и средните борсови </w:t>
      </w:r>
      <w:r w:rsidRPr="0034758B">
        <w:t>цени (в долари) на суровините, които формират основна част от вноса от трети страни. Разглеждайки декларирания ДДС при внос по групи стоки, съобразно Класификатора на широките икономически категории (</w:t>
      </w:r>
      <w:r w:rsidRPr="0034758B">
        <w:rPr>
          <w:lang w:val="en-US"/>
        </w:rPr>
        <w:t>BEC</w:t>
      </w:r>
      <w:r w:rsidRPr="0034758B">
        <w:t xml:space="preserve">), през изминалите месеци на 2023 г. се наблюдава понижение при всички групи стоки. </w:t>
      </w:r>
      <w:r w:rsidRPr="00452B89">
        <w:t>Освен това, върху постъпленията от ДДС от внос влияние оказ</w:t>
      </w:r>
      <w:r>
        <w:t>в</w:t>
      </w:r>
      <w:r w:rsidRPr="00452B89">
        <w:t xml:space="preserve">а и възможността </w:t>
      </w:r>
      <w:r w:rsidRPr="00452B89">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452B89">
        <w:rPr>
          <w:bCs/>
        </w:rPr>
        <w:t xml:space="preserve"> </w:t>
      </w:r>
      <w:r w:rsidRPr="00452B89">
        <w:t>Ефектът от прилагането на този режим към края на месец септември 2023 </w:t>
      </w:r>
      <w:r w:rsidRPr="00127EC0">
        <w:t xml:space="preserve">г. </w:t>
      </w:r>
      <w:r w:rsidRPr="00127EC0">
        <w:rPr>
          <w:bCs/>
        </w:rPr>
        <w:t xml:space="preserve">е </w:t>
      </w:r>
      <w:proofErr w:type="spellStart"/>
      <w:r w:rsidRPr="00127EC0">
        <w:rPr>
          <w:bCs/>
        </w:rPr>
        <w:t>неначислен</w:t>
      </w:r>
      <w:proofErr w:type="spellEnd"/>
      <w:r w:rsidRPr="00127EC0">
        <w:rPr>
          <w:bCs/>
        </w:rPr>
        <w:t xml:space="preserve"> ДДС при внос в размер на 962,3 млн. лв., което е с 305,3 млн. лв. по-малко спрямо 2022 г., като се регистрира спад от 24,1 %. Стоките с най-значителен дял са: руди, шлаки и </w:t>
      </w:r>
      <w:proofErr w:type="spellStart"/>
      <w:r w:rsidRPr="00127EC0">
        <w:rPr>
          <w:bCs/>
        </w:rPr>
        <w:t>пепели</w:t>
      </w:r>
      <w:proofErr w:type="spellEnd"/>
      <w:r w:rsidRPr="00127EC0">
        <w:rPr>
          <w:bCs/>
        </w:rPr>
        <w:t xml:space="preserve"> – 536,0 млн. лв. (намаление със 150,5 млн. лв., 21,9 %), мед и изделия от мед – 185,7 млн. лв. (намаление с 16,7</w:t>
      </w:r>
      <w:r w:rsidR="00114D25">
        <w:rPr>
          <w:bCs/>
        </w:rPr>
        <w:t> </w:t>
      </w:r>
      <w:r w:rsidRPr="00127EC0">
        <w:rPr>
          <w:bCs/>
        </w:rPr>
        <w:t>млн. лв., 8,3 %) и чугун, желязо и стомана – 103,7</w:t>
      </w:r>
      <w:r>
        <w:rPr>
          <w:bCs/>
        </w:rPr>
        <w:t> </w:t>
      </w:r>
      <w:r w:rsidRPr="00127EC0">
        <w:rPr>
          <w:bCs/>
        </w:rPr>
        <w:t>млн. лв. (намаление с 61,2 млн. лв., 37,1</w:t>
      </w:r>
      <w:r w:rsidR="00114D25">
        <w:rPr>
          <w:bCs/>
        </w:rPr>
        <w:t> </w:t>
      </w:r>
      <w:r w:rsidRPr="00127EC0">
        <w:rPr>
          <w:bCs/>
        </w:rPr>
        <w:t>%).</w:t>
      </w:r>
      <w:r w:rsidRPr="00127EC0">
        <w:t xml:space="preserve"> </w:t>
      </w:r>
    </w:p>
    <w:p w:rsidR="000F0BD7" w:rsidRPr="00452B89" w:rsidRDefault="000F0BD7" w:rsidP="000F0BD7">
      <w:pPr>
        <w:spacing w:before="120"/>
        <w:jc w:val="both"/>
        <w:rPr>
          <w:bCs/>
        </w:rPr>
      </w:pPr>
      <w:r w:rsidRPr="00452B89">
        <w:t>Постъпленията от</w:t>
      </w:r>
      <w:r w:rsidRPr="00452B89">
        <w:rPr>
          <w:i/>
        </w:rPr>
        <w:t xml:space="preserve"> ДДС при сделки в страната (нето)</w:t>
      </w:r>
      <w:r w:rsidRPr="00452B89">
        <w:t xml:space="preserve"> </w:t>
      </w:r>
      <w:r w:rsidRPr="00452B89">
        <w:rPr>
          <w:bCs/>
        </w:rPr>
        <w:t>към септември 2023</w:t>
      </w:r>
      <w:r w:rsidRPr="00452B89">
        <w:t xml:space="preserve"> г. възлизат на 7 141,2 млн. лв. Сравнени с данните за същия период на предходната година постъпленията </w:t>
      </w:r>
      <w:r w:rsidRPr="00452B89">
        <w:rPr>
          <w:bCs/>
        </w:rPr>
        <w:t xml:space="preserve">нарастват с 11,1 % </w:t>
      </w:r>
      <w:r w:rsidRPr="00452B89">
        <w:rPr>
          <w:bCs/>
          <w:lang w:val="ru-RU"/>
        </w:rPr>
        <w:t>(713,6 млн. лв.)</w:t>
      </w:r>
      <w:r w:rsidRPr="00452B89">
        <w:rPr>
          <w:bCs/>
        </w:rPr>
        <w:t xml:space="preserve">. </w:t>
      </w:r>
    </w:p>
    <w:p w:rsidR="000F0BD7" w:rsidRPr="005358AC" w:rsidRDefault="000F0BD7" w:rsidP="000F0BD7">
      <w:pPr>
        <w:spacing w:before="120"/>
        <w:jc w:val="both"/>
        <w:rPr>
          <w:bCs/>
          <w:color w:val="0070C0"/>
        </w:rPr>
      </w:pPr>
      <w:r w:rsidRPr="001D5B49">
        <w:t>Ефективно внесеният ДДС по сметките на НАП</w:t>
      </w:r>
      <w:r w:rsidRPr="001D5B49">
        <w:rPr>
          <w:i/>
        </w:rPr>
        <w:t xml:space="preserve"> </w:t>
      </w:r>
      <w:r w:rsidRPr="001D5B49">
        <w:t>се</w:t>
      </w:r>
      <w:r w:rsidRPr="001D5B49">
        <w:rPr>
          <w:i/>
        </w:rPr>
        <w:t xml:space="preserve"> </w:t>
      </w:r>
      <w:r w:rsidRPr="001D5B49">
        <w:t>формира от данък по справки-декларации от сделки в страната и ВОП и допълнително внесени суми, разкрити с данъчно-ревизионни актове при ревизии. Тези постъпления са в размер на 15 221,3 млн. лв., което представлява ръст от 4,6</w:t>
      </w:r>
      <w:r w:rsidR="00114D25">
        <w:t> </w:t>
      </w:r>
      <w:r w:rsidRPr="001D5B49">
        <w:t xml:space="preserve">% спрямо септември 2022 година. От тях от ревизионни актове са постъпили 189,3 млн. лв. или с 28,0 млн. лв. по-малко от миналата </w:t>
      </w:r>
      <w:r w:rsidRPr="000066D1">
        <w:t>година (12,9 %). Декларираният ДДС за възстановяване зависи от размера на износа и извършените инвестиции. Регистрираните лица по ДДС упражняват право на данъчен кредит чрез приспадане по реда на чл. 92, ал. 1 от ЗДДС или чрез ефективно възстановяване от данъчната администрация след определения срок</w:t>
      </w:r>
      <w:r w:rsidRPr="00723584">
        <w:t xml:space="preserve">. Приспаднатият данък за деветте месеца на 2023 г. е 724,2 млн. лв. и е с 30,9 млн. лв. по-малко от 2022 г. (4,1 %). Възстановеният данък е в размер на 8 080,2 млн. лв., </w:t>
      </w:r>
      <w:r w:rsidRPr="00302339">
        <w:t>което е с 42,5 млн. лв. (0,5</w:t>
      </w:r>
      <w:r w:rsidR="002B0238">
        <w:t> </w:t>
      </w:r>
      <w:r w:rsidRPr="00302339">
        <w:t>%) под възстановените суми към края на септември миналата година.</w:t>
      </w:r>
      <w:r w:rsidRPr="00302339">
        <w:rPr>
          <w:bCs/>
        </w:rPr>
        <w:t xml:space="preserve"> </w:t>
      </w:r>
      <w:r w:rsidR="00CE2551">
        <w:t>Д</w:t>
      </w:r>
      <w:r w:rsidR="00CE2551" w:rsidRPr="002B42DE">
        <w:t>ължимите суми, подлежащи на възстановяване</w:t>
      </w:r>
      <w:r w:rsidR="00CE2551" w:rsidRPr="0052072D" w:rsidDel="0052072D">
        <w:rPr>
          <w:bCs/>
        </w:rPr>
        <w:t xml:space="preserve"> </w:t>
      </w:r>
      <w:r w:rsidR="00CE2551" w:rsidRPr="00302339">
        <w:rPr>
          <w:bCs/>
        </w:rPr>
        <w:t xml:space="preserve">към 30.09.2023 г. </w:t>
      </w:r>
      <w:r w:rsidR="00CE2551">
        <w:rPr>
          <w:bCs/>
        </w:rPr>
        <w:t>са</w:t>
      </w:r>
      <w:r w:rsidR="00CE2551" w:rsidRPr="00302339">
        <w:rPr>
          <w:bCs/>
        </w:rPr>
        <w:t xml:space="preserve"> в размер на 82,5 млн. лева</w:t>
      </w:r>
      <w:r w:rsidRPr="00302339">
        <w:rPr>
          <w:bCs/>
        </w:rPr>
        <w:t>.</w:t>
      </w:r>
    </w:p>
    <w:p w:rsidR="000F0BD7" w:rsidRPr="005358AC" w:rsidRDefault="000F0BD7" w:rsidP="000F0BD7">
      <w:pPr>
        <w:spacing w:before="120" w:after="120"/>
        <w:jc w:val="both"/>
        <w:rPr>
          <w:color w:val="0070C0"/>
        </w:rPr>
      </w:pPr>
      <w:r w:rsidRPr="0047699A">
        <w:rPr>
          <w:b/>
        </w:rPr>
        <w:t xml:space="preserve">Приходите от акцизи (нето) </w:t>
      </w:r>
      <w:r w:rsidRPr="0047699A">
        <w:t xml:space="preserve">от внос, вътрешно производство и въведени в страната от други държави-членки на ЕС акцизни стоки са в размер на </w:t>
      </w:r>
      <w:r w:rsidRPr="0047699A">
        <w:rPr>
          <w:b/>
        </w:rPr>
        <w:t>4 552,6 млн. лв</w:t>
      </w:r>
      <w:r w:rsidRPr="0047699A">
        <w:t>., което е 76,7 % от планираните със ЗДБРБ за 2023 г. Съпоставени със същия период на предходната година приходите от акцизи нарастват номинално с 244,9 млн. лв. (5,7 %).</w:t>
      </w:r>
    </w:p>
    <w:p w:rsidR="000F0BD7" w:rsidRPr="005358AC" w:rsidRDefault="000F0BD7" w:rsidP="000F0BD7">
      <w:pPr>
        <w:spacing w:before="120" w:after="120"/>
        <w:jc w:val="both"/>
        <w:rPr>
          <w:color w:val="0070C0"/>
        </w:rPr>
      </w:pPr>
      <w:r w:rsidRPr="00AE30F5">
        <w:t xml:space="preserve">Относителният дял на нетните постъпления от акциз по стокови групи е от: тютюн и </w:t>
      </w:r>
      <w:r w:rsidRPr="00B13622">
        <w:t>тютюневи изделия (53,4 %); горива (40,5 %); алкохол и алкохолни напитки, вкл. бира (5,5 %) и други акцизни стоки (0,6 %). Постъпленията от акциз към септември 2023 г. по основни стокови групи, са както следва:</w:t>
      </w:r>
    </w:p>
    <w:p w:rsidR="000F0BD7" w:rsidRPr="005554F5" w:rsidRDefault="000F0BD7" w:rsidP="000F0BD7">
      <w:pPr>
        <w:numPr>
          <w:ilvl w:val="0"/>
          <w:numId w:val="16"/>
        </w:numPr>
        <w:ind w:firstLine="66"/>
        <w:jc w:val="both"/>
        <w:rPr>
          <w:i/>
        </w:rPr>
      </w:pPr>
      <w:r w:rsidRPr="005554F5">
        <w:rPr>
          <w:i/>
        </w:rPr>
        <w:t xml:space="preserve">акцизите от тютюн и тютюневи изделия </w:t>
      </w:r>
      <w:r w:rsidRPr="005554F5">
        <w:t>възлизат на</w:t>
      </w:r>
      <w:r w:rsidRPr="005554F5">
        <w:rPr>
          <w:i/>
        </w:rPr>
        <w:t xml:space="preserve"> </w:t>
      </w:r>
      <w:r w:rsidRPr="005554F5">
        <w:t>2 430,7 млн. лева</w:t>
      </w:r>
      <w:r w:rsidRPr="005554F5">
        <w:rPr>
          <w:i/>
        </w:rPr>
        <w:t xml:space="preserve">; </w:t>
      </w:r>
    </w:p>
    <w:p w:rsidR="000F0BD7" w:rsidRPr="009D3BC5" w:rsidRDefault="000F0BD7" w:rsidP="000F0BD7">
      <w:pPr>
        <w:numPr>
          <w:ilvl w:val="0"/>
          <w:numId w:val="16"/>
        </w:numPr>
        <w:ind w:firstLine="66"/>
        <w:jc w:val="both"/>
      </w:pPr>
      <w:r w:rsidRPr="009D3BC5">
        <w:rPr>
          <w:i/>
        </w:rPr>
        <w:t>акцизите от горива</w:t>
      </w:r>
      <w:r w:rsidRPr="009D3BC5">
        <w:t xml:space="preserve"> са в размер на 1 844,3 млн. лева; </w:t>
      </w:r>
    </w:p>
    <w:p w:rsidR="000F0BD7" w:rsidRPr="009D3BC5" w:rsidRDefault="000F0BD7" w:rsidP="000F0BD7">
      <w:pPr>
        <w:numPr>
          <w:ilvl w:val="0"/>
          <w:numId w:val="16"/>
        </w:numPr>
        <w:ind w:firstLine="66"/>
        <w:jc w:val="both"/>
      </w:pPr>
      <w:r w:rsidRPr="009D3BC5">
        <w:rPr>
          <w:i/>
        </w:rPr>
        <w:t xml:space="preserve">акцизите от алкохол и алкохолни напитки (вкл. бира) </w:t>
      </w:r>
      <w:r w:rsidRPr="009D3BC5">
        <w:t xml:space="preserve">възлизат на 248,7 млн. лева; </w:t>
      </w:r>
    </w:p>
    <w:p w:rsidR="000F0BD7" w:rsidRPr="009D3BC5" w:rsidRDefault="000F0BD7" w:rsidP="000F0BD7">
      <w:pPr>
        <w:numPr>
          <w:ilvl w:val="0"/>
          <w:numId w:val="16"/>
        </w:numPr>
        <w:ind w:firstLine="66"/>
        <w:jc w:val="both"/>
      </w:pPr>
      <w:r w:rsidRPr="009D3BC5">
        <w:rPr>
          <w:i/>
        </w:rPr>
        <w:t xml:space="preserve">приходите от ел. енергия и др. акцизни стоки </w:t>
      </w:r>
      <w:r w:rsidRPr="009D3BC5">
        <w:t>възлизат на 29,0 млн. лева.</w:t>
      </w:r>
    </w:p>
    <w:p w:rsidR="000F0BD7" w:rsidRPr="005358AC" w:rsidRDefault="000F0BD7" w:rsidP="000F0BD7">
      <w:pPr>
        <w:ind w:left="360"/>
        <w:jc w:val="both"/>
        <w:rPr>
          <w:color w:val="0070C0"/>
          <w:sz w:val="8"/>
          <w:szCs w:val="8"/>
        </w:rPr>
      </w:pPr>
    </w:p>
    <w:p w:rsidR="000F0BD7" w:rsidRPr="005358AC" w:rsidRDefault="000F0BD7" w:rsidP="000F0BD7">
      <w:pPr>
        <w:ind w:left="360"/>
        <w:jc w:val="both"/>
        <w:rPr>
          <w:color w:val="0070C0"/>
          <w:sz w:val="8"/>
          <w:szCs w:val="8"/>
        </w:rPr>
      </w:pPr>
    </w:p>
    <w:p w:rsidR="000F0BD7" w:rsidRPr="005358AC" w:rsidRDefault="000F0BD7" w:rsidP="000F0BD7">
      <w:pPr>
        <w:ind w:left="360"/>
        <w:jc w:val="both"/>
        <w:rPr>
          <w:color w:val="0070C0"/>
          <w:sz w:val="8"/>
          <w:szCs w:val="8"/>
        </w:rPr>
      </w:pPr>
    </w:p>
    <w:p w:rsidR="000F0BD7" w:rsidRPr="00B94679" w:rsidRDefault="000F0BD7" w:rsidP="000F0BD7">
      <w:pPr>
        <w:spacing w:after="120"/>
        <w:jc w:val="both"/>
      </w:pPr>
      <w:r w:rsidRPr="00B94679">
        <w:rPr>
          <w:b/>
        </w:rPr>
        <w:t>Приходите от данък върху застрахователните премии</w:t>
      </w:r>
      <w:r w:rsidRPr="00B94679">
        <w:t xml:space="preserve"> са в размер на </w:t>
      </w:r>
      <w:r w:rsidRPr="00B94679">
        <w:rPr>
          <w:b/>
        </w:rPr>
        <w:t>43,6 млн. лв</w:t>
      </w:r>
      <w:r w:rsidRPr="00B94679">
        <w:t>., при планирани за годината 57,5 млн. лева.</w:t>
      </w:r>
    </w:p>
    <w:p w:rsidR="000F0BD7" w:rsidRPr="005358AC" w:rsidRDefault="000F0BD7" w:rsidP="000F0BD7">
      <w:pPr>
        <w:autoSpaceDE w:val="0"/>
        <w:autoSpaceDN w:val="0"/>
        <w:adjustRightInd w:val="0"/>
        <w:spacing w:after="120"/>
        <w:jc w:val="both"/>
        <w:rPr>
          <w:rFonts w:eastAsia="Batang"/>
          <w:bCs/>
          <w:color w:val="0070C0"/>
        </w:rPr>
      </w:pPr>
      <w:r w:rsidRPr="00B94679">
        <w:rPr>
          <w:b/>
        </w:rPr>
        <w:t>Постъпленията от</w:t>
      </w:r>
      <w:r w:rsidRPr="00B94679">
        <w:t xml:space="preserve"> </w:t>
      </w:r>
      <w:r w:rsidRPr="00B94679">
        <w:rPr>
          <w:b/>
          <w:bCs/>
        </w:rPr>
        <w:t xml:space="preserve">мита </w:t>
      </w:r>
      <w:r w:rsidRPr="00B94679">
        <w:t xml:space="preserve">възлизат на </w:t>
      </w:r>
      <w:r w:rsidRPr="00B94679">
        <w:rPr>
          <w:b/>
        </w:rPr>
        <w:t>248,3 млн. лв</w:t>
      </w:r>
      <w:r w:rsidRPr="00B94679">
        <w:t>. или 61,3 % от планираните със ЗДБРБ за 2023</w:t>
      </w:r>
      <w:r w:rsidR="00F558E6">
        <w:t> </w:t>
      </w:r>
      <w:r w:rsidRPr="00B94679">
        <w:t xml:space="preserve">г., като заемат 1,0 % относителен дял в общия размер на данъчните приходи по държавния </w:t>
      </w:r>
      <w:r w:rsidRPr="00443C51">
        <w:t xml:space="preserve">бюджет. В сравнение със същия период на предходната година събраните мита са с 96,4 млн. лв. (28,0 %) по-малко. </w:t>
      </w:r>
      <w:r w:rsidRPr="00BD7DFD">
        <w:rPr>
          <w:rFonts w:eastAsia="Batang"/>
          <w:bCs/>
        </w:rPr>
        <w:t xml:space="preserve">Влияние върху спада в приходите от мита имат въведените от ЕС ограничителни мерки спрямо Русия в съответствие с Регламент (ЕС) № 833/2014 и неговите последващи изменения и </w:t>
      </w:r>
      <w:r w:rsidRPr="007C5B81">
        <w:rPr>
          <w:rFonts w:eastAsia="Batang"/>
          <w:bCs/>
        </w:rPr>
        <w:t>допълнения. Друг фактор върху намалените постъпления от мита има въведения с Регламент (ЕС) 2022/870 на ЕП и Съвета от 30 май 2022 г. преференциален режим спрямо Украйна под формата на пълно премахване на вносните мита върху вноса на промишлени продукти от страната, спиране на прилагането на механизма на „входните цени“ по отношение на плодовете и зеленчуците, спиране на прилагането на тарифните квоти и пълно премахване на вносните мита, и други.</w:t>
      </w:r>
      <w:r w:rsidRPr="00443C51">
        <w:rPr>
          <w:rFonts w:eastAsia="Batang"/>
          <w:bCs/>
        </w:rPr>
        <w:t xml:space="preserve"> </w:t>
      </w:r>
    </w:p>
    <w:p w:rsidR="000F0BD7" w:rsidRPr="005358AC" w:rsidRDefault="000F0BD7" w:rsidP="000F0BD7">
      <w:pPr>
        <w:tabs>
          <w:tab w:val="right" w:pos="9072"/>
        </w:tabs>
        <w:spacing w:before="120"/>
        <w:jc w:val="both"/>
        <w:rPr>
          <w:color w:val="0070C0"/>
        </w:rPr>
      </w:pPr>
      <w:r w:rsidRPr="007A6F06">
        <w:t>Най-значителен спад на приходите от мита за деветте месеца на 2023 г. спрямо същия период на 2022 г. се регистрира при вноса на следните групи стоки: „Чугун, желязо и стомана“ – 33,0 млн. лева (80,9 % спад</w:t>
      </w:r>
      <w:r w:rsidRPr="00643C56">
        <w:t xml:space="preserve">) спрямо постъпленията към края на септември 2022 г.; „Торове“ – </w:t>
      </w:r>
      <w:r w:rsidRPr="00D30E6C">
        <w:t xml:space="preserve">21,0 млн. лева (спад от 69,3 %) спрямо същия период на 2022 г.; „Пластмаси и пластмасови </w:t>
      </w:r>
      <w:r w:rsidRPr="006F1F60">
        <w:t>изделия“ – 8,1</w:t>
      </w:r>
      <w:r w:rsidR="0086660F">
        <w:t> </w:t>
      </w:r>
      <w:r w:rsidRPr="006F1F60">
        <w:t>млн. лева (26,5 % спад)</w:t>
      </w:r>
      <w:r w:rsidRPr="006F1F60">
        <w:rPr>
          <w:lang w:val="ru-RU"/>
        </w:rPr>
        <w:t xml:space="preserve"> </w:t>
      </w:r>
      <w:r w:rsidRPr="006F1F60">
        <w:t>спрямо постъпленията за деветте месеца на 2022 г.</w:t>
      </w:r>
      <w:r w:rsidRPr="006F1F60">
        <w:rPr>
          <w:lang w:val="ru-RU"/>
        </w:rPr>
        <w:t>;</w:t>
      </w:r>
      <w:r w:rsidRPr="006F1F60">
        <w:t xml:space="preserve"> „Неорганични химични продукти“ – 5,4 млн. лева (52,9 % спад) спрямо тези към края на септември 2022 г.; „Алуминий и изделия от алуминий“</w:t>
      </w:r>
      <w:r w:rsidRPr="006F1F60">
        <w:rPr>
          <w:lang w:val="ru-RU"/>
        </w:rPr>
        <w:t xml:space="preserve"> </w:t>
      </w:r>
      <w:r w:rsidRPr="006F1F60">
        <w:t xml:space="preserve">– 5,3 млн. лева (26,1 % спад) спрямо постъпленията към септември 2022 г. </w:t>
      </w:r>
    </w:p>
    <w:p w:rsidR="000F0BD7" w:rsidRPr="005358AC" w:rsidRDefault="000F0BD7" w:rsidP="000F0BD7">
      <w:pPr>
        <w:tabs>
          <w:tab w:val="right" w:pos="9072"/>
        </w:tabs>
        <w:spacing w:before="120"/>
        <w:jc w:val="both"/>
        <w:rPr>
          <w:color w:val="0070C0"/>
        </w:rPr>
      </w:pPr>
      <w:r w:rsidRPr="00A344AE">
        <w:t>В зависимост от произхода на внасяните</w:t>
      </w:r>
      <w:r w:rsidRPr="00D03611">
        <w:t xml:space="preserve"> стоки, през периода януари - </w:t>
      </w:r>
      <w:r>
        <w:t>септември</w:t>
      </w:r>
      <w:r w:rsidRPr="00D03611">
        <w:t xml:space="preserve"> 2023 г. най-голям е делът на начислените приходи от мита при внос на стоки от Китай. </w:t>
      </w:r>
      <w:r w:rsidRPr="00EF0FAC">
        <w:rPr>
          <w:color w:val="000000"/>
        </w:rPr>
        <w:t>Декларираната сума е 137</w:t>
      </w:r>
      <w:r>
        <w:rPr>
          <w:color w:val="000000"/>
        </w:rPr>
        <w:t>,</w:t>
      </w:r>
      <w:r w:rsidRPr="00EF0FAC">
        <w:rPr>
          <w:color w:val="000000"/>
        </w:rPr>
        <w:t>0</w:t>
      </w:r>
      <w:r w:rsidR="000D0EA5">
        <w:rPr>
          <w:color w:val="000000"/>
        </w:rPr>
        <w:t> </w:t>
      </w:r>
      <w:r w:rsidRPr="00EF0FAC">
        <w:rPr>
          <w:color w:val="000000"/>
        </w:rPr>
        <w:t>млн. лева, което представлява 56</w:t>
      </w:r>
      <w:r>
        <w:rPr>
          <w:color w:val="000000"/>
        </w:rPr>
        <w:t>,</w:t>
      </w:r>
      <w:r w:rsidRPr="00EF0FAC">
        <w:rPr>
          <w:color w:val="000000"/>
        </w:rPr>
        <w:t>0</w:t>
      </w:r>
      <w:r>
        <w:rPr>
          <w:color w:val="000000"/>
        </w:rPr>
        <w:t xml:space="preserve"> </w:t>
      </w:r>
      <w:r w:rsidRPr="00EF0FAC">
        <w:rPr>
          <w:color w:val="000000"/>
        </w:rPr>
        <w:t>% от всички начислени мита, а спрямо януари - септември на 2022 г. е отчетен спад от</w:t>
      </w:r>
      <w:r w:rsidRPr="00EF0FAC" w:rsidDel="00925E69">
        <w:rPr>
          <w:color w:val="000000"/>
        </w:rPr>
        <w:t xml:space="preserve"> </w:t>
      </w:r>
      <w:r w:rsidRPr="00EF0FAC">
        <w:rPr>
          <w:color w:val="000000"/>
        </w:rPr>
        <w:t>17</w:t>
      </w:r>
      <w:r>
        <w:rPr>
          <w:color w:val="000000"/>
        </w:rPr>
        <w:t>,</w:t>
      </w:r>
      <w:r w:rsidRPr="00EF0FAC">
        <w:rPr>
          <w:color w:val="000000"/>
        </w:rPr>
        <w:t>9</w:t>
      </w:r>
      <w:r>
        <w:rPr>
          <w:color w:val="000000"/>
        </w:rPr>
        <w:t xml:space="preserve"> </w:t>
      </w:r>
      <w:r w:rsidRPr="00EF0FAC">
        <w:rPr>
          <w:color w:val="000000"/>
        </w:rPr>
        <w:t xml:space="preserve">%. На второ място са приходите от мита при внос на стоки с произход Русия – </w:t>
      </w:r>
      <w:r w:rsidRPr="000236F5">
        <w:rPr>
          <w:color w:val="000000"/>
        </w:rPr>
        <w:t>15</w:t>
      </w:r>
      <w:r>
        <w:rPr>
          <w:color w:val="000000"/>
        </w:rPr>
        <w:t>,</w:t>
      </w:r>
      <w:r w:rsidRPr="000236F5">
        <w:rPr>
          <w:color w:val="000000"/>
        </w:rPr>
        <w:t>4</w:t>
      </w:r>
      <w:r w:rsidRPr="00EF0FAC">
        <w:rPr>
          <w:color w:val="000000"/>
        </w:rPr>
        <w:t xml:space="preserve"> млн. лева, </w:t>
      </w:r>
      <w:r w:rsidRPr="000236F5">
        <w:rPr>
          <w:color w:val="000000"/>
        </w:rPr>
        <w:t>6</w:t>
      </w:r>
      <w:r>
        <w:rPr>
          <w:color w:val="000000"/>
        </w:rPr>
        <w:t>,</w:t>
      </w:r>
      <w:r w:rsidRPr="000236F5">
        <w:rPr>
          <w:color w:val="000000"/>
        </w:rPr>
        <w:t>3</w:t>
      </w:r>
      <w:r>
        <w:rPr>
          <w:color w:val="000000"/>
        </w:rPr>
        <w:t xml:space="preserve"> </w:t>
      </w:r>
      <w:r w:rsidRPr="00EF0FAC">
        <w:rPr>
          <w:color w:val="000000"/>
        </w:rPr>
        <w:t xml:space="preserve">% дял и спад от </w:t>
      </w:r>
      <w:r w:rsidRPr="000236F5">
        <w:rPr>
          <w:color w:val="000000"/>
        </w:rPr>
        <w:t>64</w:t>
      </w:r>
      <w:r>
        <w:rPr>
          <w:color w:val="000000"/>
        </w:rPr>
        <w:t>,</w:t>
      </w:r>
      <w:r w:rsidRPr="000236F5">
        <w:rPr>
          <w:color w:val="000000"/>
        </w:rPr>
        <w:t>6</w:t>
      </w:r>
      <w:r>
        <w:rPr>
          <w:color w:val="000000"/>
        </w:rPr>
        <w:t xml:space="preserve"> </w:t>
      </w:r>
      <w:r w:rsidRPr="00EF0FAC">
        <w:rPr>
          <w:color w:val="000000"/>
        </w:rPr>
        <w:t>%</w:t>
      </w:r>
      <w:r>
        <w:rPr>
          <w:color w:val="000000"/>
        </w:rPr>
        <w:t xml:space="preserve"> спрямо същия период на предходната година</w:t>
      </w:r>
      <w:r w:rsidRPr="00EF0FAC">
        <w:rPr>
          <w:color w:val="000000"/>
        </w:rPr>
        <w:t>. Следват приходите от мита при внос на стоки с произход САЩ (</w:t>
      </w:r>
      <w:r w:rsidRPr="000236F5">
        <w:rPr>
          <w:color w:val="000000"/>
        </w:rPr>
        <w:t>9</w:t>
      </w:r>
      <w:r>
        <w:rPr>
          <w:color w:val="000000"/>
        </w:rPr>
        <w:t>,</w:t>
      </w:r>
      <w:r w:rsidRPr="000236F5">
        <w:rPr>
          <w:color w:val="000000"/>
        </w:rPr>
        <w:t>3</w:t>
      </w:r>
      <w:r w:rsidRPr="00EF0FAC">
        <w:rPr>
          <w:color w:val="000000"/>
        </w:rPr>
        <w:t xml:space="preserve"> млн. лева, </w:t>
      </w:r>
      <w:r w:rsidRPr="000236F5">
        <w:rPr>
          <w:color w:val="000000"/>
        </w:rPr>
        <w:t>3</w:t>
      </w:r>
      <w:r>
        <w:rPr>
          <w:color w:val="000000"/>
        </w:rPr>
        <w:t>,</w:t>
      </w:r>
      <w:r w:rsidRPr="000236F5">
        <w:rPr>
          <w:color w:val="000000"/>
        </w:rPr>
        <w:t>8</w:t>
      </w:r>
      <w:r>
        <w:rPr>
          <w:color w:val="000000"/>
        </w:rPr>
        <w:t xml:space="preserve"> </w:t>
      </w:r>
      <w:r w:rsidRPr="00EF0FAC">
        <w:rPr>
          <w:color w:val="000000"/>
        </w:rPr>
        <w:t xml:space="preserve">% дял в общите приходи от мита и спад от </w:t>
      </w:r>
      <w:r w:rsidRPr="000236F5">
        <w:rPr>
          <w:color w:val="000000"/>
        </w:rPr>
        <w:t>0</w:t>
      </w:r>
      <w:r>
        <w:rPr>
          <w:color w:val="000000"/>
        </w:rPr>
        <w:t>,</w:t>
      </w:r>
      <w:r w:rsidRPr="000236F5">
        <w:rPr>
          <w:color w:val="000000"/>
        </w:rPr>
        <w:t>1</w:t>
      </w:r>
      <w:r>
        <w:rPr>
          <w:color w:val="000000"/>
        </w:rPr>
        <w:t xml:space="preserve"> </w:t>
      </w:r>
      <w:r w:rsidRPr="00EF0FAC">
        <w:rPr>
          <w:color w:val="000000"/>
        </w:rPr>
        <w:t>%)</w:t>
      </w:r>
      <w:r w:rsidRPr="00D03611">
        <w:t xml:space="preserve">, </w:t>
      </w:r>
      <w:r w:rsidRPr="00EF0FAC">
        <w:rPr>
          <w:color w:val="000000"/>
        </w:rPr>
        <w:t>Турция (9</w:t>
      </w:r>
      <w:r>
        <w:rPr>
          <w:color w:val="000000"/>
        </w:rPr>
        <w:t>,</w:t>
      </w:r>
      <w:r w:rsidRPr="00EF0FAC">
        <w:rPr>
          <w:color w:val="000000"/>
        </w:rPr>
        <w:t>3 млн. лева, 3</w:t>
      </w:r>
      <w:r>
        <w:rPr>
          <w:color w:val="000000"/>
        </w:rPr>
        <w:t>,</w:t>
      </w:r>
      <w:r w:rsidRPr="00EF0FAC">
        <w:rPr>
          <w:color w:val="000000"/>
        </w:rPr>
        <w:t>8</w:t>
      </w:r>
      <w:r>
        <w:rPr>
          <w:color w:val="000000"/>
        </w:rPr>
        <w:t xml:space="preserve"> </w:t>
      </w:r>
      <w:r w:rsidRPr="00EF0FAC">
        <w:rPr>
          <w:color w:val="000000"/>
        </w:rPr>
        <w:t>% относителен дял и спад от 63</w:t>
      </w:r>
      <w:r>
        <w:rPr>
          <w:color w:val="000000"/>
        </w:rPr>
        <w:t>,</w:t>
      </w:r>
      <w:r w:rsidRPr="00EF0FAC">
        <w:rPr>
          <w:color w:val="000000"/>
        </w:rPr>
        <w:t>9</w:t>
      </w:r>
      <w:r>
        <w:rPr>
          <w:color w:val="000000"/>
        </w:rPr>
        <w:t xml:space="preserve"> </w:t>
      </w:r>
      <w:r w:rsidRPr="00EF0FAC">
        <w:rPr>
          <w:color w:val="000000"/>
        </w:rPr>
        <w:t>%)</w:t>
      </w:r>
      <w:r w:rsidRPr="00D03611">
        <w:t xml:space="preserve"> и </w:t>
      </w:r>
      <w:r w:rsidRPr="00EF0FAC">
        <w:rPr>
          <w:color w:val="000000"/>
        </w:rPr>
        <w:t>Индия (</w:t>
      </w:r>
      <w:r w:rsidRPr="000236F5">
        <w:rPr>
          <w:color w:val="000000"/>
        </w:rPr>
        <w:t>8</w:t>
      </w:r>
      <w:r>
        <w:rPr>
          <w:color w:val="000000"/>
        </w:rPr>
        <w:t>,</w:t>
      </w:r>
      <w:r w:rsidRPr="000236F5">
        <w:rPr>
          <w:color w:val="000000"/>
        </w:rPr>
        <w:t>3</w:t>
      </w:r>
      <w:r w:rsidRPr="00EF0FAC">
        <w:rPr>
          <w:color w:val="000000"/>
        </w:rPr>
        <w:t xml:space="preserve"> млн. лева, </w:t>
      </w:r>
      <w:r w:rsidRPr="000236F5">
        <w:rPr>
          <w:color w:val="000000"/>
        </w:rPr>
        <w:t>3</w:t>
      </w:r>
      <w:r>
        <w:rPr>
          <w:color w:val="000000"/>
        </w:rPr>
        <w:t>,</w:t>
      </w:r>
      <w:r w:rsidRPr="000236F5">
        <w:rPr>
          <w:color w:val="000000"/>
        </w:rPr>
        <w:t>4</w:t>
      </w:r>
      <w:r>
        <w:rPr>
          <w:color w:val="000000"/>
        </w:rPr>
        <w:t xml:space="preserve"> </w:t>
      </w:r>
      <w:r w:rsidRPr="00EF0FAC">
        <w:rPr>
          <w:color w:val="000000"/>
        </w:rPr>
        <w:t xml:space="preserve">% относителен дял и спад от </w:t>
      </w:r>
      <w:r w:rsidRPr="000236F5">
        <w:rPr>
          <w:color w:val="000000"/>
        </w:rPr>
        <w:t>12</w:t>
      </w:r>
      <w:r>
        <w:rPr>
          <w:color w:val="000000"/>
        </w:rPr>
        <w:t>,</w:t>
      </w:r>
      <w:r w:rsidRPr="000236F5">
        <w:rPr>
          <w:color w:val="000000"/>
        </w:rPr>
        <w:t>4</w:t>
      </w:r>
      <w:r w:rsidR="00D90235">
        <w:rPr>
          <w:color w:val="000000"/>
        </w:rPr>
        <w:t> </w:t>
      </w:r>
      <w:r w:rsidRPr="00EF0FAC">
        <w:rPr>
          <w:color w:val="000000"/>
        </w:rPr>
        <w:t>%)</w:t>
      </w:r>
      <w:r w:rsidRPr="005358AC">
        <w:rPr>
          <w:color w:val="0070C0"/>
        </w:rPr>
        <w:t>.</w:t>
      </w:r>
    </w:p>
    <w:p w:rsidR="000F0BD7" w:rsidRPr="00DE3056" w:rsidRDefault="000F0BD7" w:rsidP="000F0BD7">
      <w:pPr>
        <w:numPr>
          <w:ilvl w:val="0"/>
          <w:numId w:val="4"/>
        </w:numPr>
        <w:tabs>
          <w:tab w:val="clear" w:pos="1440"/>
          <w:tab w:val="num" w:pos="540"/>
        </w:tabs>
        <w:spacing w:before="240"/>
        <w:ind w:left="0" w:firstLine="181"/>
        <w:jc w:val="both"/>
        <w:rPr>
          <w:b/>
          <w:bCs/>
        </w:rPr>
      </w:pPr>
      <w:r w:rsidRPr="00DE3056">
        <w:rPr>
          <w:b/>
          <w:bCs/>
        </w:rPr>
        <w:t>Други данъци</w:t>
      </w:r>
    </w:p>
    <w:p w:rsidR="000F0BD7" w:rsidRPr="00ED689C" w:rsidRDefault="00ED689C" w:rsidP="000F0BD7">
      <w:pPr>
        <w:spacing w:before="120"/>
        <w:jc w:val="both"/>
      </w:pPr>
      <w:r w:rsidRPr="00A81BB5">
        <w:t xml:space="preserve">Постъпленията от </w:t>
      </w:r>
      <w:r w:rsidRPr="00A81BB5">
        <w:rPr>
          <w:b/>
        </w:rPr>
        <w:t>други данъци</w:t>
      </w:r>
      <w:r w:rsidRPr="00A81BB5">
        <w:t xml:space="preserve"> по държавния бюджет </w:t>
      </w:r>
      <w:r w:rsidRPr="00A81BB5">
        <w:rPr>
          <w:bCs/>
        </w:rPr>
        <w:t>към края на септември 2023</w:t>
      </w:r>
      <w:r w:rsidRPr="00A81BB5">
        <w:t xml:space="preserve"> г. са в </w:t>
      </w:r>
      <w:r w:rsidRPr="00B17286">
        <w:t xml:space="preserve">размер на </w:t>
      </w:r>
      <w:r w:rsidRPr="00B17286">
        <w:rPr>
          <w:b/>
        </w:rPr>
        <w:t>245,0 млн. лв.</w:t>
      </w:r>
      <w:r w:rsidRPr="00B17286">
        <w:t xml:space="preserve"> или 45,1 % от планираните със ЗДБРБ за 2023 г.</w:t>
      </w:r>
      <w:r w:rsidRPr="00B17286">
        <w:rPr>
          <w:bCs/>
        </w:rPr>
        <w:t xml:space="preserve"> Съпоставени с данните към септември 2022 г. приходите от други данъци нарастват със 112,1 млн. лв. </w:t>
      </w:r>
      <w:r w:rsidRPr="00B17286">
        <w:rPr>
          <w:bCs/>
          <w:lang w:val="ru-RU"/>
        </w:rPr>
        <w:t>(84,3 </w:t>
      </w:r>
      <w:r w:rsidRPr="00B17286">
        <w:rPr>
          <w:bCs/>
        </w:rPr>
        <w:t>%</w:t>
      </w:r>
      <w:r w:rsidRPr="00B17286">
        <w:rPr>
          <w:bCs/>
          <w:lang w:val="ru-RU"/>
        </w:rPr>
        <w:t>).</w:t>
      </w:r>
      <w:r w:rsidRPr="00B17286">
        <w:rPr>
          <w:bCs/>
        </w:rPr>
        <w:t xml:space="preserve"> </w:t>
      </w:r>
      <w:r w:rsidRPr="00B17286">
        <w:t>Влияние върху по-високия размер на тази група данъци за отчетния период оказват постъпленията от приетата временна солидарна вноска по Регламент (ЕС) 2022/1854 на Съвета от 6 октомври 2022 г. относно спешна намеса за справяне с високите цени на енергията</w:t>
      </w:r>
      <w:r w:rsidRPr="00D14257">
        <w:t xml:space="preserve"> (</w:t>
      </w:r>
      <w:r>
        <w:t>Регламента</w:t>
      </w:r>
      <w:r w:rsidRPr="00D14257">
        <w:t>)</w:t>
      </w:r>
      <w:r w:rsidRPr="00B17286">
        <w:t xml:space="preserve">. Временната солидарна вноска се внася за данъчните печалби за 2022 г. и за 2023 г. от дружествата и местата на стопанска дейност от Съюза, извършващи дейност в отраслите на суровия нефт, природния газ, въглищата и нефтопреработването за генерираните свръхпечалби съгласно чл. 14 от </w:t>
      </w:r>
      <w:r>
        <w:t>Регламента</w:t>
      </w:r>
      <w:r w:rsidRPr="00B17286">
        <w:t>. Правилата за определяне на размера на дължимата временна солидарна вноска от предприятията от посочените сектори са регламентирани в Закона за корпоративното подоходно облагане (§ 9 от ПЗР на ЗКПО в сила от 8.10.2022 г. – ДВ, бр. 99 от 2022 г.), като е предоставена възможност, задължените лица да могат да правят авансови плащания по тази вноска.</w:t>
      </w:r>
      <w:r>
        <w:t xml:space="preserve"> </w:t>
      </w:r>
      <w:r w:rsidRPr="00C250B5">
        <w:t>Прието е ставката на временната солидарна вноска по Регламент (ЕС) 2022/1854 на Съвета от 6 октомври 2022 година да е 33 на сто за периода януари - септември 2023 г. и 50 на сто за периода октомври - декември 2023 година.</w:t>
      </w:r>
      <w:r>
        <w:t xml:space="preserve"> </w:t>
      </w:r>
      <w:r w:rsidRPr="00ED689C">
        <w:t>Прецизирани са условията за начисляване и внасяне на авансовата вноска по тази мярка (съгласно промените в § 9 от ПЗР на ЗИД на ЗКПО -ДВ, бр. 86 от 2023 г., в сила от 13.10.2023 г.).</w:t>
      </w:r>
    </w:p>
    <w:p w:rsidR="000F0BD7" w:rsidRPr="00B478E6" w:rsidRDefault="000F0BD7" w:rsidP="000F0BD7">
      <w:pPr>
        <w:numPr>
          <w:ilvl w:val="0"/>
          <w:numId w:val="3"/>
        </w:numPr>
        <w:tabs>
          <w:tab w:val="num" w:pos="720"/>
        </w:tabs>
        <w:spacing w:before="120"/>
        <w:ind w:left="0" w:firstLine="181"/>
        <w:jc w:val="both"/>
      </w:pPr>
      <w:r w:rsidRPr="00B478E6">
        <w:rPr>
          <w:b/>
          <w:bCs/>
        </w:rPr>
        <w:t>Неданъчни приходи</w:t>
      </w:r>
    </w:p>
    <w:p w:rsidR="000F0BD7" w:rsidRPr="00B478E6" w:rsidRDefault="000F0BD7" w:rsidP="000F0BD7">
      <w:pPr>
        <w:tabs>
          <w:tab w:val="left" w:pos="900"/>
        </w:tabs>
        <w:spacing w:before="120" w:after="120"/>
        <w:jc w:val="both"/>
      </w:pPr>
      <w:r w:rsidRPr="00B478E6">
        <w:t>Отчетените</w:t>
      </w:r>
      <w:r w:rsidRPr="00B478E6">
        <w:rPr>
          <w:b/>
          <w:bCs/>
        </w:rPr>
        <w:t xml:space="preserve"> неданъчни приходи</w:t>
      </w:r>
      <w:r w:rsidRPr="00B478E6">
        <w:t xml:space="preserve"> по държавния бюджет </w:t>
      </w:r>
      <w:r w:rsidRPr="00B478E6">
        <w:rPr>
          <w:bCs/>
        </w:rPr>
        <w:t>към септември 2023</w:t>
      </w:r>
      <w:r w:rsidRPr="00B478E6">
        <w:t xml:space="preserve"> г. са в размер на </w:t>
      </w:r>
      <w:r w:rsidRPr="00B478E6">
        <w:rPr>
          <w:b/>
        </w:rPr>
        <w:t>4 431,4 млн. лв</w:t>
      </w:r>
      <w:r w:rsidRPr="00B478E6">
        <w:t>. и се формират основно от приходи от държавни такси, приходи и доходи от собственост, вкл. приходи от дивидент за държавата от държавните предприятия, приходи от концесии и други неданъчни приходи.</w:t>
      </w:r>
    </w:p>
    <w:p w:rsidR="000F0BD7" w:rsidRPr="00B66316" w:rsidRDefault="000F0BD7" w:rsidP="000F0BD7">
      <w:pPr>
        <w:numPr>
          <w:ilvl w:val="0"/>
          <w:numId w:val="3"/>
        </w:numPr>
        <w:tabs>
          <w:tab w:val="num" w:pos="720"/>
        </w:tabs>
        <w:ind w:left="0" w:firstLine="181"/>
        <w:jc w:val="both"/>
        <w:rPr>
          <w:b/>
          <w:bCs/>
        </w:rPr>
      </w:pPr>
      <w:r w:rsidRPr="00B66316">
        <w:rPr>
          <w:b/>
          <w:bCs/>
        </w:rPr>
        <w:t>Помощи и дарения</w:t>
      </w:r>
    </w:p>
    <w:p w:rsidR="000F0BD7" w:rsidRPr="00B66316" w:rsidRDefault="000F0BD7" w:rsidP="000F0BD7">
      <w:pPr>
        <w:spacing w:before="120" w:after="120"/>
        <w:jc w:val="both"/>
        <w:rPr>
          <w:b/>
        </w:rPr>
      </w:pPr>
      <w:r w:rsidRPr="00B66316">
        <w:t xml:space="preserve">Постъпилите </w:t>
      </w:r>
      <w:r w:rsidRPr="00B66316">
        <w:rPr>
          <w:b/>
        </w:rPr>
        <w:t>помощи</w:t>
      </w:r>
      <w:r w:rsidRPr="00B66316">
        <w:t xml:space="preserve"> </w:t>
      </w:r>
      <w:r w:rsidRPr="00B66316">
        <w:rPr>
          <w:b/>
        </w:rPr>
        <w:t>и дарения</w:t>
      </w:r>
      <w:r w:rsidRPr="00B66316">
        <w:t xml:space="preserve"> по държавния бюджет към септември 2023 г. са в размер на </w:t>
      </w:r>
      <w:r w:rsidRPr="00B66316">
        <w:rPr>
          <w:b/>
        </w:rPr>
        <w:t>3,6 млн. лева.</w:t>
      </w:r>
    </w:p>
    <w:p w:rsidR="000F0BD7" w:rsidRPr="00B66316" w:rsidRDefault="000F0BD7" w:rsidP="000F0BD7">
      <w:pPr>
        <w:numPr>
          <w:ilvl w:val="0"/>
          <w:numId w:val="6"/>
        </w:numPr>
        <w:tabs>
          <w:tab w:val="clear" w:pos="7650"/>
          <w:tab w:val="num" w:pos="426"/>
        </w:tabs>
        <w:spacing w:before="240"/>
        <w:ind w:left="0" w:firstLine="0"/>
        <w:jc w:val="both"/>
        <w:rPr>
          <w:b/>
          <w:bCs/>
        </w:rPr>
      </w:pPr>
      <w:r w:rsidRPr="00B66316">
        <w:rPr>
          <w:b/>
          <w:bCs/>
        </w:rPr>
        <w:t>Разходи по държавния бюджет</w:t>
      </w:r>
    </w:p>
    <w:p w:rsidR="000F0BD7" w:rsidRPr="005358AC" w:rsidRDefault="000F0BD7" w:rsidP="000F0BD7">
      <w:pPr>
        <w:jc w:val="both"/>
        <w:rPr>
          <w:b/>
          <w:bCs/>
          <w:color w:val="0070C0"/>
          <w:sz w:val="4"/>
          <w:szCs w:val="4"/>
        </w:rPr>
      </w:pPr>
    </w:p>
    <w:p w:rsidR="000F0BD7" w:rsidRDefault="000F0BD7" w:rsidP="000F0BD7">
      <w:pPr>
        <w:pStyle w:val="BodyTextIndent"/>
        <w:spacing w:after="0"/>
        <w:ind w:left="0"/>
        <w:jc w:val="both"/>
      </w:pPr>
      <w:r w:rsidRPr="0055330B">
        <w:t xml:space="preserve">Общият размер на </w:t>
      </w:r>
      <w:r w:rsidRPr="0055330B">
        <w:rPr>
          <w:b/>
        </w:rPr>
        <w:t>разходите по държавния бюджет</w:t>
      </w:r>
      <w:r w:rsidRPr="0055330B">
        <w:t xml:space="preserve"> </w:t>
      </w:r>
      <w:r w:rsidRPr="0055330B">
        <w:rPr>
          <w:lang w:val="ru-RU"/>
        </w:rPr>
        <w:t xml:space="preserve">(вкл. трансферите за др. бюджети и вноската в бюджета на ЕС) </w:t>
      </w:r>
      <w:r w:rsidRPr="0055330B">
        <w:rPr>
          <w:bCs/>
        </w:rPr>
        <w:t>към септември 2023</w:t>
      </w:r>
      <w:r w:rsidRPr="0055330B">
        <w:t xml:space="preserve"> г. е </w:t>
      </w:r>
      <w:r w:rsidRPr="0055330B">
        <w:rPr>
          <w:b/>
        </w:rPr>
        <w:t>30 090,3 млн. лв</w:t>
      </w:r>
      <w:r w:rsidRPr="0055330B">
        <w:t xml:space="preserve">. или 64,3 % от предвидените със ЗДБРБ за 2023 г., като нарастват с 3 735,3 млн. лв. </w:t>
      </w:r>
      <w:r w:rsidRPr="0055330B">
        <w:rPr>
          <w:lang w:val="ru-RU"/>
        </w:rPr>
        <w:t>(</w:t>
      </w:r>
      <w:r w:rsidRPr="0055330B">
        <w:t>14,2 %</w:t>
      </w:r>
      <w:r w:rsidRPr="0055330B">
        <w:rPr>
          <w:lang w:val="ru-RU"/>
        </w:rPr>
        <w:t>)</w:t>
      </w:r>
      <w:r w:rsidRPr="0055330B">
        <w:t xml:space="preserve"> спрямо отчетените към септември 2022 година.</w:t>
      </w:r>
    </w:p>
    <w:p w:rsidR="000F0BD7" w:rsidRDefault="000F0BD7" w:rsidP="000F0BD7">
      <w:pPr>
        <w:pStyle w:val="BodyTextIndent"/>
        <w:spacing w:after="0"/>
        <w:ind w:left="0"/>
        <w:jc w:val="both"/>
      </w:pPr>
    </w:p>
    <w:p w:rsidR="000F0BD7" w:rsidRPr="0055330B" w:rsidRDefault="000F0BD7" w:rsidP="000F0BD7">
      <w:pPr>
        <w:pStyle w:val="BodyTextIndent"/>
        <w:spacing w:after="0"/>
        <w:ind w:left="0"/>
        <w:jc w:val="both"/>
      </w:pPr>
    </w:p>
    <w:p w:rsidR="000F0BD7" w:rsidRPr="005358AC" w:rsidRDefault="000F0BD7" w:rsidP="000F0BD7">
      <w:pPr>
        <w:pStyle w:val="BodyTextIndent"/>
        <w:spacing w:after="0"/>
        <w:ind w:left="0"/>
        <w:jc w:val="both"/>
        <w:rPr>
          <w:color w:val="0070C0"/>
          <w:sz w:val="8"/>
          <w:lang w:val="ru-RU"/>
        </w:rPr>
      </w:pPr>
    </w:p>
    <w:p w:rsidR="000F0BD7" w:rsidRPr="00A03484" w:rsidRDefault="000F0BD7" w:rsidP="000F0BD7">
      <w:pPr>
        <w:pStyle w:val="BodyTextIndent"/>
        <w:spacing w:after="0"/>
        <w:ind w:left="0"/>
        <w:jc w:val="center"/>
        <w:rPr>
          <w:b/>
          <w:sz w:val="4"/>
          <w:szCs w:val="4"/>
          <w:u w:val="single"/>
        </w:rPr>
      </w:pPr>
    </w:p>
    <w:p w:rsidR="000F0BD7" w:rsidRPr="00A03484" w:rsidRDefault="000F0BD7" w:rsidP="000F0BD7">
      <w:pPr>
        <w:pStyle w:val="BodyTextIndent"/>
        <w:spacing w:after="0"/>
        <w:ind w:left="0"/>
        <w:jc w:val="center"/>
        <w:rPr>
          <w:b/>
          <w:u w:val="single"/>
        </w:rPr>
      </w:pPr>
      <w:r w:rsidRPr="00A03484">
        <w:rPr>
          <w:b/>
          <w:u w:val="single"/>
        </w:rPr>
        <w:t xml:space="preserve">Разходи, трансфери за други бюджети и вноска в бюджета на ЕС </w:t>
      </w:r>
    </w:p>
    <w:p w:rsidR="000F0BD7" w:rsidRPr="00A03484" w:rsidRDefault="000F0BD7" w:rsidP="000F0BD7">
      <w:pPr>
        <w:pStyle w:val="BodyTextIndent"/>
        <w:spacing w:after="0"/>
        <w:ind w:left="0"/>
        <w:jc w:val="center"/>
        <w:rPr>
          <w:b/>
          <w:u w:val="single"/>
        </w:rPr>
      </w:pPr>
      <w:r w:rsidRPr="00A03484">
        <w:rPr>
          <w:b/>
          <w:u w:val="single"/>
        </w:rPr>
        <w:t>към септември 2022 г. и 2023 г.</w:t>
      </w:r>
    </w:p>
    <w:p w:rsidR="000F0BD7" w:rsidRPr="005358AC" w:rsidRDefault="000F0BD7" w:rsidP="000F0BD7">
      <w:pPr>
        <w:pStyle w:val="BodyTextIndent"/>
        <w:spacing w:after="0"/>
        <w:ind w:left="0"/>
        <w:jc w:val="center"/>
        <w:rPr>
          <w:b/>
          <w:color w:val="0070C0"/>
          <w:u w:val="single"/>
        </w:rPr>
      </w:pPr>
    </w:p>
    <w:p w:rsidR="000F0BD7" w:rsidRPr="005358AC" w:rsidRDefault="000F0BD7" w:rsidP="000F0BD7">
      <w:pPr>
        <w:pStyle w:val="BodyTextIndent"/>
        <w:spacing w:after="0"/>
        <w:ind w:left="0"/>
        <w:jc w:val="center"/>
        <w:rPr>
          <w:b/>
          <w:color w:val="0070C0"/>
          <w:u w:val="single"/>
        </w:rPr>
      </w:pPr>
      <w:r w:rsidRPr="005358AC">
        <w:rPr>
          <w:noProof/>
          <w:color w:val="0070C0"/>
          <w:lang w:eastAsia="bg-BG"/>
        </w:rPr>
        <w:drawing>
          <wp:inline distT="0" distB="0" distL="0" distR="0" wp14:anchorId="115DB04C" wp14:editId="38E5116D">
            <wp:extent cx="5314950" cy="2695492"/>
            <wp:effectExtent l="0" t="0" r="0" b="10160"/>
            <wp:docPr id="3"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F0BD7" w:rsidRPr="005358AC" w:rsidRDefault="000F0BD7" w:rsidP="000F0BD7">
      <w:pPr>
        <w:pStyle w:val="BodyTextIndent"/>
        <w:spacing w:after="0"/>
        <w:ind w:left="0"/>
        <w:jc w:val="center"/>
        <w:rPr>
          <w:b/>
          <w:color w:val="0070C0"/>
          <w:sz w:val="8"/>
          <w:szCs w:val="8"/>
          <w:u w:val="single"/>
        </w:rPr>
      </w:pPr>
    </w:p>
    <w:p w:rsidR="000F0BD7" w:rsidRPr="003C3039" w:rsidRDefault="000F0BD7" w:rsidP="000F0BD7">
      <w:pPr>
        <w:ind w:firstLine="360"/>
        <w:rPr>
          <w:sz w:val="18"/>
          <w:szCs w:val="18"/>
        </w:rPr>
      </w:pPr>
      <w:bookmarkStart w:id="4" w:name="_MON_1562146415"/>
      <w:bookmarkStart w:id="5" w:name="_MON_1562146493"/>
      <w:bookmarkStart w:id="6" w:name="_MON_1562146700"/>
      <w:bookmarkStart w:id="7" w:name="_MON_1562146782"/>
      <w:bookmarkStart w:id="8" w:name="_MON_1562146967"/>
      <w:bookmarkStart w:id="9" w:name="_MON_1562147372"/>
      <w:bookmarkStart w:id="10" w:name="_MON_1562147473"/>
      <w:bookmarkStart w:id="11" w:name="_MON_1562147677"/>
      <w:bookmarkStart w:id="12" w:name="_MON_1562147743"/>
      <w:bookmarkStart w:id="13" w:name="_MON_1562147867"/>
      <w:bookmarkStart w:id="14" w:name="_MON_1562147934"/>
      <w:bookmarkStart w:id="15" w:name="_MON_1562148056"/>
      <w:bookmarkStart w:id="16" w:name="_MON_1562148171"/>
      <w:bookmarkStart w:id="17" w:name="_MON_1562148229"/>
      <w:bookmarkStart w:id="18" w:name="_MON_1562148307"/>
      <w:bookmarkStart w:id="19" w:name="_MON_1562148447"/>
      <w:bookmarkStart w:id="20" w:name="_MON_1562148558"/>
      <w:bookmarkStart w:id="21" w:name="_MON_1562152805"/>
      <w:bookmarkStart w:id="22" w:name="_MON_1562152984"/>
      <w:bookmarkStart w:id="23" w:name="_MON_1562153459"/>
      <w:bookmarkStart w:id="24" w:name="_MON_1562153503"/>
      <w:bookmarkStart w:id="25" w:name="_MON_1562153559"/>
      <w:bookmarkStart w:id="26" w:name="_MON_1562153646"/>
      <w:bookmarkStart w:id="27" w:name="_MON_1562153939"/>
      <w:bookmarkStart w:id="28" w:name="_MON_1562154053"/>
      <w:bookmarkStart w:id="29" w:name="_MON_1562154282"/>
      <w:bookmarkStart w:id="30" w:name="_MON_1562146286"/>
      <w:bookmarkStart w:id="31" w:name="_MON_1562154881"/>
      <w:bookmarkStart w:id="32" w:name="_MON_1562154973"/>
      <w:bookmarkStart w:id="33" w:name="_MON_1562155194"/>
      <w:bookmarkStart w:id="34" w:name="_MON_1562155231"/>
      <w:bookmarkStart w:id="35" w:name="_MON_1562155321"/>
      <w:bookmarkStart w:id="36" w:name="_MON_156215539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C3039">
        <w:rPr>
          <w:sz w:val="18"/>
          <w:szCs w:val="18"/>
        </w:rPr>
        <w:t>*</w:t>
      </w:r>
      <w:r w:rsidRPr="003C3039">
        <w:t xml:space="preserve"> </w:t>
      </w:r>
      <w:r w:rsidRPr="003C3039">
        <w:rPr>
          <w:sz w:val="18"/>
          <w:szCs w:val="18"/>
        </w:rPr>
        <w:t>Вкл. нетния прираст на държавния резерв</w:t>
      </w:r>
    </w:p>
    <w:p w:rsidR="000F0BD7" w:rsidRPr="005358AC" w:rsidRDefault="000F0BD7" w:rsidP="000F0BD7">
      <w:pPr>
        <w:ind w:firstLine="360"/>
        <w:rPr>
          <w:color w:val="0070C0"/>
          <w:sz w:val="18"/>
          <w:szCs w:val="18"/>
        </w:rPr>
      </w:pPr>
    </w:p>
    <w:p w:rsidR="000F0BD7" w:rsidRPr="005358AC" w:rsidRDefault="000F0BD7" w:rsidP="000F0BD7">
      <w:pPr>
        <w:ind w:firstLine="360"/>
        <w:rPr>
          <w:color w:val="0070C0"/>
          <w:sz w:val="18"/>
          <w:szCs w:val="18"/>
        </w:rPr>
      </w:pPr>
    </w:p>
    <w:p w:rsidR="000F0BD7" w:rsidRPr="003C3039" w:rsidRDefault="000F0BD7" w:rsidP="000F0BD7">
      <w:pPr>
        <w:pStyle w:val="BodyTextIndent"/>
        <w:numPr>
          <w:ilvl w:val="0"/>
          <w:numId w:val="17"/>
        </w:numPr>
        <w:spacing w:before="120" w:after="0"/>
        <w:jc w:val="both"/>
        <w:rPr>
          <w:b/>
          <w:bCs/>
        </w:rPr>
      </w:pPr>
      <w:r w:rsidRPr="003C3039">
        <w:rPr>
          <w:b/>
          <w:bCs/>
        </w:rPr>
        <w:t>Нелихвени разходи</w:t>
      </w:r>
    </w:p>
    <w:p w:rsidR="000F0BD7" w:rsidRPr="005358AC" w:rsidRDefault="000F0BD7" w:rsidP="000F0BD7">
      <w:pPr>
        <w:spacing w:before="120"/>
        <w:jc w:val="both"/>
        <w:rPr>
          <w:bCs/>
          <w:color w:val="0070C0"/>
        </w:rPr>
      </w:pPr>
      <w:r w:rsidRPr="00D67590">
        <w:rPr>
          <w:b/>
          <w:bCs/>
        </w:rPr>
        <w:t>Нелихвените разходи</w:t>
      </w:r>
      <w:r w:rsidRPr="00D67590">
        <w:rPr>
          <w:bCs/>
        </w:rPr>
        <w:t xml:space="preserve"> по държавния бюджет към септември 2023</w:t>
      </w:r>
      <w:r w:rsidRPr="00D67590">
        <w:rPr>
          <w:lang w:val="en-US"/>
        </w:rPr>
        <w:t> </w:t>
      </w:r>
      <w:r w:rsidRPr="00D67590">
        <w:t xml:space="preserve">г. </w:t>
      </w:r>
      <w:r w:rsidRPr="00D67590">
        <w:rPr>
          <w:bCs/>
        </w:rPr>
        <w:t xml:space="preserve">са в размер на </w:t>
      </w:r>
      <w:r w:rsidRPr="00D67590">
        <w:rPr>
          <w:b/>
          <w:bCs/>
        </w:rPr>
        <w:t>11 385,2</w:t>
      </w:r>
      <w:r>
        <w:rPr>
          <w:b/>
          <w:bCs/>
        </w:rPr>
        <w:t> </w:t>
      </w:r>
      <w:r w:rsidRPr="00D67590">
        <w:rPr>
          <w:b/>
          <w:bCs/>
        </w:rPr>
        <w:t>млн. лв</w:t>
      </w:r>
      <w:r w:rsidRPr="00D67590">
        <w:rPr>
          <w:bCs/>
        </w:rPr>
        <w:t>., което представлява 53,4 % от годишния разчет. Съпоставени с данните към септември 2022 г. нелихвените разходи нарастват с 573,3</w:t>
      </w:r>
      <w:r w:rsidRPr="00D67590">
        <w:rPr>
          <w:bCs/>
          <w:lang w:val="en-US"/>
        </w:rPr>
        <w:t xml:space="preserve"> </w:t>
      </w:r>
      <w:r w:rsidRPr="00D67590">
        <w:rPr>
          <w:bCs/>
        </w:rPr>
        <w:t xml:space="preserve">млн. лв. </w:t>
      </w:r>
      <w:r w:rsidRPr="00D67590">
        <w:rPr>
          <w:bCs/>
          <w:lang w:val="ru-RU"/>
        </w:rPr>
        <w:t>(5,3</w:t>
      </w:r>
      <w:r w:rsidRPr="00D67590">
        <w:rPr>
          <w:bCs/>
        </w:rPr>
        <w:t xml:space="preserve"> %</w:t>
      </w:r>
      <w:r w:rsidRPr="00D67590">
        <w:rPr>
          <w:bCs/>
          <w:lang w:val="ru-RU"/>
        </w:rPr>
        <w:t>).</w:t>
      </w:r>
      <w:r w:rsidRPr="00D67590">
        <w:rPr>
          <w:bCs/>
        </w:rPr>
        <w:t xml:space="preserve"> </w:t>
      </w:r>
    </w:p>
    <w:p w:rsidR="000F0BD7" w:rsidRPr="005424BD" w:rsidRDefault="000F0BD7" w:rsidP="000F0BD7">
      <w:pPr>
        <w:jc w:val="both"/>
        <w:rPr>
          <w:bCs/>
        </w:rPr>
      </w:pPr>
      <w:r w:rsidRPr="0028270A">
        <w:rPr>
          <w:bCs/>
        </w:rPr>
        <w:t xml:space="preserve">Разходите за персонал (заплати и възнаграждения, други възнаграждения и плащания за персонала и осигурителни вноски) са в общ размер на 6 011,4 млн. лв. или 69,7 % от планираните за 2023 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2 515,6 млн. лв. или 47,4 % от планираните за годината. </w:t>
      </w:r>
      <w:r w:rsidR="00377580" w:rsidRPr="00377580">
        <w:rPr>
          <w:bCs/>
        </w:rPr>
        <w:t>Социалните разходи (вкл. разходите за стипендии) са в размер на 920,4 млн. лв. или 40,9 % от предвидените за годината. Следва да се има предвид, че част от предвидените социални разходи се предоставят като трансфери главно за общините и се отчитат по бюджетите на общините</w:t>
      </w:r>
      <w:r w:rsidRPr="00B0165E">
        <w:t>.</w:t>
      </w:r>
      <w:r w:rsidRPr="00B0165E">
        <w:rPr>
          <w:bCs/>
        </w:rPr>
        <w:t xml:space="preserve"> Предоставените текущи и капиталови трансфери за чужбина са в размер на 8,8 млн. лв. Разходите </w:t>
      </w:r>
      <w:r w:rsidRPr="004042AD">
        <w:rPr>
          <w:bCs/>
        </w:rPr>
        <w:t>за субсидии са в размер на 917,6 млн. лв. или 57,8</w:t>
      </w:r>
      <w:r>
        <w:rPr>
          <w:bCs/>
        </w:rPr>
        <w:t xml:space="preserve"> % от планираните за годината</w:t>
      </w:r>
      <w:r w:rsidRPr="008D5F2D">
        <w:rPr>
          <w:bCs/>
        </w:rPr>
        <w:t>.</w:t>
      </w:r>
      <w:r w:rsidRPr="008D5F2D">
        <w:rPr>
          <w:bCs/>
          <w:lang w:val="en-US"/>
        </w:rPr>
        <w:t xml:space="preserve"> </w:t>
      </w:r>
      <w:r w:rsidRPr="008D5F2D">
        <w:rPr>
          <w:bCs/>
        </w:rPr>
        <w:t>За</w:t>
      </w:r>
      <w:r w:rsidRPr="00EC5BFC">
        <w:rPr>
          <w:bCs/>
        </w:rPr>
        <w:t xml:space="preserve"> деветте месеца на 2023 г. субсидиите за „БДЖ – Пътнически превози” ЕООД са в размер на </w:t>
      </w:r>
      <w:r w:rsidRPr="00EC5BFC">
        <w:rPr>
          <w:bCs/>
          <w:lang w:val="ru-RU"/>
        </w:rPr>
        <w:t>145,8</w:t>
      </w:r>
      <w:r w:rsidRPr="00EC5BFC">
        <w:rPr>
          <w:bCs/>
        </w:rPr>
        <w:t xml:space="preserve"> млн. лв., субсидиите за Национална компания </w:t>
      </w:r>
      <w:r w:rsidRPr="00F314B1">
        <w:rPr>
          <w:bCs/>
        </w:rPr>
        <w:t>„Железопътна инфраструктура” са 199,9</w:t>
      </w:r>
      <w:r w:rsidR="00CF21A8">
        <w:rPr>
          <w:bCs/>
        </w:rPr>
        <w:t> </w:t>
      </w:r>
      <w:r w:rsidRPr="00F314B1">
        <w:rPr>
          <w:bCs/>
        </w:rPr>
        <w:t>млн. лв. и 49,0 млн. лв. са за „Български пощи” ЕАД, в т.ч. 23,7</w:t>
      </w:r>
      <w:r>
        <w:rPr>
          <w:bCs/>
        </w:rPr>
        <w:t> </w:t>
      </w:r>
      <w:r w:rsidRPr="00F314B1">
        <w:rPr>
          <w:bCs/>
        </w:rPr>
        <w:t xml:space="preserve">млн. лв. за извършване на универсална пощенска услуга и 25,3 млн. лв. за разпространение на периодични печатни издания - вестници и списания. Към края на месец септември 2023 г. ДФ „Земеделие“ e изплатил субсидии в общ размер на 534,7 млн. лв., </w:t>
      </w:r>
      <w:r w:rsidRPr="00C206A9">
        <w:rPr>
          <w:bCs/>
        </w:rPr>
        <w:t>от които 458,5 млн. лв. държавна помощ, в т.ч. 170 млн. лв., изплатени през м. септември 2023 г., за осигуряване на подкрепа на земеделските стопани по национални мерки и компенсации на увеличените цени на енергоносители, фуражи и др., в съответствие с ПМС №125/2023 г.; 69,8</w:t>
      </w:r>
      <w:r w:rsidR="0016560A">
        <w:rPr>
          <w:bCs/>
        </w:rPr>
        <w:t> </w:t>
      </w:r>
      <w:r w:rsidRPr="00C206A9">
        <w:rPr>
          <w:bCs/>
        </w:rPr>
        <w:t>млн. лв. преходна национална помощ за тютюн; 0,3 млн. лв. преходна национална помощ за сектор „Животновъдство“ и 6,1 млн. лв. средства за ДДС по схеми „Училищен плод“ и „Училищно мляко“. През м. септември, в изпълнение на ПМС №165/2023 г., по бюджета на Министерството на енергетиката бяха възстановени средства в размер на 401 млн. лева.</w:t>
      </w:r>
      <w:r w:rsidRPr="005424BD">
        <w:rPr>
          <w:bCs/>
        </w:rPr>
        <w:t xml:space="preserve">  </w:t>
      </w:r>
    </w:p>
    <w:p w:rsidR="000F0BD7" w:rsidRPr="0038451B" w:rsidRDefault="000F0BD7" w:rsidP="000F0BD7">
      <w:pPr>
        <w:spacing w:before="120" w:after="120"/>
        <w:jc w:val="both"/>
        <w:rPr>
          <w:bCs/>
          <w:lang w:val="ru-RU"/>
        </w:rPr>
      </w:pPr>
      <w:r w:rsidRPr="00FD69D8">
        <w:rPr>
          <w:bCs/>
          <w:i/>
        </w:rPr>
        <w:t>Капиталовите разходи</w:t>
      </w:r>
      <w:r w:rsidRPr="00FD69D8">
        <w:rPr>
          <w:bCs/>
        </w:rPr>
        <w:t xml:space="preserve"> (вкл. нетния прираст на държавния резерв) по държавния бюджет </w:t>
      </w:r>
      <w:r w:rsidRPr="0038451B">
        <w:rPr>
          <w:bCs/>
        </w:rPr>
        <w:t xml:space="preserve">възлизат на 1 011,4 млн. лв., от които 375,1 млн. лв. капиталови разходи по бюджета на Министерството на регионалното развитие и благоустройство и </w:t>
      </w:r>
      <w:r w:rsidRPr="0038451B">
        <w:rPr>
          <w:bCs/>
          <w:lang w:val="en-US"/>
        </w:rPr>
        <w:t>314</w:t>
      </w:r>
      <w:r w:rsidRPr="0038451B">
        <w:rPr>
          <w:bCs/>
        </w:rPr>
        <w:t>,</w:t>
      </w:r>
      <w:r w:rsidRPr="0038451B">
        <w:rPr>
          <w:bCs/>
          <w:lang w:val="en-US"/>
        </w:rPr>
        <w:t>8</w:t>
      </w:r>
      <w:r w:rsidRPr="0038451B">
        <w:rPr>
          <w:bCs/>
        </w:rPr>
        <w:t xml:space="preserve"> млн. лв. по бюджета на Министерство на отбраната. През януари 2023 г. има възстановени средства (в размер на 8,3 млн. лв.) от предоставен капиталов трансфер през 2022 г. на „БДЖ-Пътнически превози“ ЕООД в съответствие с чл. 9 от ПМС № 31/2022 година</w:t>
      </w:r>
      <w:r w:rsidRPr="0038451B">
        <w:rPr>
          <w:bCs/>
          <w:lang w:val="ru-RU"/>
        </w:rPr>
        <w:t>.</w:t>
      </w:r>
    </w:p>
    <w:p w:rsidR="00686EF0" w:rsidRPr="0053269F" w:rsidRDefault="00686EF0" w:rsidP="00ED2B9A">
      <w:pPr>
        <w:numPr>
          <w:ilvl w:val="1"/>
          <w:numId w:val="12"/>
        </w:numPr>
        <w:tabs>
          <w:tab w:val="num" w:pos="720"/>
          <w:tab w:val="num" w:pos="900"/>
        </w:tabs>
        <w:spacing w:before="240" w:after="120"/>
        <w:ind w:left="714" w:hanging="357"/>
        <w:jc w:val="both"/>
        <w:rPr>
          <w:b/>
          <w:bCs/>
        </w:rPr>
      </w:pPr>
      <w:r w:rsidRPr="0053269F">
        <w:rPr>
          <w:b/>
        </w:rPr>
        <w:t>Просрочени задължения</w:t>
      </w:r>
    </w:p>
    <w:p w:rsidR="00EB3EAF" w:rsidRPr="0053269F" w:rsidRDefault="00EB3EAF" w:rsidP="00EB3EAF">
      <w:pPr>
        <w:spacing w:after="120"/>
        <w:jc w:val="both"/>
      </w:pPr>
      <w:r w:rsidRPr="0053269F">
        <w:t xml:space="preserve">Към </w:t>
      </w:r>
      <w:r w:rsidR="004D0E36" w:rsidRPr="0053269F">
        <w:t>30</w:t>
      </w:r>
      <w:r w:rsidRPr="0053269F">
        <w:t>.</w:t>
      </w:r>
      <w:r w:rsidR="004D0E36" w:rsidRPr="0053269F">
        <w:t>0</w:t>
      </w:r>
      <w:r w:rsidR="0053269F" w:rsidRPr="0053269F">
        <w:t>9</w:t>
      </w:r>
      <w:r w:rsidRPr="0053269F">
        <w:t>.202</w:t>
      </w:r>
      <w:r w:rsidR="00633965" w:rsidRPr="0053269F">
        <w:rPr>
          <w:lang w:val="ru-RU"/>
        </w:rPr>
        <w:t>3</w:t>
      </w:r>
      <w:r w:rsidRPr="0053269F">
        <w:t xml:space="preserve"> г. просрочените задължения на централно и местно правителство са в размер на </w:t>
      </w:r>
      <w:r w:rsidR="0053269F" w:rsidRPr="0053269F">
        <w:rPr>
          <w:b/>
        </w:rPr>
        <w:t>337,7</w:t>
      </w:r>
      <w:r w:rsidRPr="0053269F">
        <w:rPr>
          <w:b/>
        </w:rPr>
        <w:t xml:space="preserve"> млн. лева.</w:t>
      </w:r>
      <w:r w:rsidRPr="0053269F">
        <w:t xml:space="preserve"> </w:t>
      </w:r>
    </w:p>
    <w:p w:rsidR="00EB3EAF" w:rsidRPr="0059164A" w:rsidRDefault="00EB3EAF" w:rsidP="00D822E5">
      <w:pPr>
        <w:spacing w:before="120"/>
        <w:jc w:val="both"/>
        <w:rPr>
          <w:noProof/>
          <w:color w:val="0070C0"/>
        </w:rPr>
      </w:pPr>
      <w:r w:rsidRPr="00104331">
        <w:t xml:space="preserve">Размерът на просрочените задължения на </w:t>
      </w:r>
      <w:r w:rsidRPr="00104331">
        <w:rPr>
          <w:b/>
        </w:rPr>
        <w:t>централно</w:t>
      </w:r>
      <w:r w:rsidR="008362B6" w:rsidRPr="00104331">
        <w:rPr>
          <w:b/>
        </w:rPr>
        <w:t>то</w:t>
      </w:r>
      <w:r w:rsidRPr="00104331">
        <w:rPr>
          <w:b/>
        </w:rPr>
        <w:t xml:space="preserve"> правителство</w:t>
      </w:r>
      <w:r w:rsidRPr="00104331">
        <w:t xml:space="preserve"> (министерства, ведомства и разпоредителите с бюджет по чл. 13, ал. 3 и ал. 4 на ЗПФ) е</w:t>
      </w:r>
      <w:r w:rsidR="00BD0457" w:rsidRPr="00104331">
        <w:rPr>
          <w:b/>
        </w:rPr>
        <w:t xml:space="preserve"> </w:t>
      </w:r>
      <w:r w:rsidR="00104331" w:rsidRPr="00104331">
        <w:rPr>
          <w:b/>
        </w:rPr>
        <w:t>24</w:t>
      </w:r>
      <w:r w:rsidR="00806119">
        <w:rPr>
          <w:b/>
        </w:rPr>
        <w:t>2</w:t>
      </w:r>
      <w:r w:rsidR="00104331" w:rsidRPr="00104331">
        <w:rPr>
          <w:b/>
        </w:rPr>
        <w:t>,8</w:t>
      </w:r>
      <w:r w:rsidRPr="00104331">
        <w:rPr>
          <w:b/>
        </w:rPr>
        <w:t xml:space="preserve"> млн. лева. </w:t>
      </w:r>
      <w:r w:rsidRPr="00B139AE">
        <w:t>Спрямо отчетените в края на 202</w:t>
      </w:r>
      <w:r w:rsidR="00370192" w:rsidRPr="00B139AE">
        <w:t>2</w:t>
      </w:r>
      <w:r w:rsidRPr="00B139AE">
        <w:t xml:space="preserve"> г. те намаляват с </w:t>
      </w:r>
      <w:r w:rsidR="00B139AE" w:rsidRPr="00B139AE">
        <w:t>312,5</w:t>
      </w:r>
      <w:r w:rsidRPr="00B139AE">
        <w:t xml:space="preserve"> млн. </w:t>
      </w:r>
      <w:r w:rsidRPr="00D14E96">
        <w:t xml:space="preserve">лева (основно от намаление на просрочията на МРРБ във връзка с обезпечени със средства </w:t>
      </w:r>
      <w:r w:rsidRPr="00D14E96">
        <w:rPr>
          <w:noProof/>
        </w:rPr>
        <w:t>договори за текущ ремонт и поддържане на републиканските пътища, вкл. и зимно поддържане</w:t>
      </w:r>
      <w:r w:rsidRPr="00D14E96">
        <w:t>). В</w:t>
      </w:r>
      <w:r w:rsidRPr="00CA75AB">
        <w:t xml:space="preserve"> обхвата на държавния бюджет по-значими проблеми с наличие на просрочени задължения има </w:t>
      </w:r>
      <w:r w:rsidRPr="00CA75AB">
        <w:rPr>
          <w:bCs/>
        </w:rPr>
        <w:t xml:space="preserve">при </w:t>
      </w:r>
      <w:r w:rsidR="007F052C" w:rsidRPr="00CA75AB">
        <w:rPr>
          <w:bCs/>
        </w:rPr>
        <w:t>следните</w:t>
      </w:r>
      <w:r w:rsidRPr="00CA75AB">
        <w:rPr>
          <w:bCs/>
        </w:rPr>
        <w:t xml:space="preserve"> министерства</w:t>
      </w:r>
      <w:r w:rsidR="007F052C" w:rsidRPr="00CA75AB">
        <w:t xml:space="preserve">: </w:t>
      </w:r>
      <w:r w:rsidR="00370192" w:rsidRPr="00CA75AB">
        <w:rPr>
          <w:bCs/>
        </w:rPr>
        <w:t>Министерство</w:t>
      </w:r>
      <w:r w:rsidR="008362B6" w:rsidRPr="00CA75AB">
        <w:rPr>
          <w:bCs/>
        </w:rPr>
        <w:t>то</w:t>
      </w:r>
      <w:r w:rsidR="00370192" w:rsidRPr="00CA75AB">
        <w:rPr>
          <w:bCs/>
        </w:rPr>
        <w:t xml:space="preserve"> на регионалното развитие и благоустройството – </w:t>
      </w:r>
      <w:r w:rsidR="00CA75AB" w:rsidRPr="00CA75AB">
        <w:rPr>
          <w:bCs/>
        </w:rPr>
        <w:t>180,6</w:t>
      </w:r>
      <w:r w:rsidR="00370192" w:rsidRPr="00CA75AB">
        <w:rPr>
          <w:bCs/>
        </w:rPr>
        <w:t xml:space="preserve"> млн. лв. </w:t>
      </w:r>
      <w:r w:rsidR="00380210" w:rsidRPr="006932EF">
        <w:rPr>
          <w:noProof/>
        </w:rPr>
        <w:t xml:space="preserve">(намаление с </w:t>
      </w:r>
      <w:r w:rsidR="00CA75AB" w:rsidRPr="006932EF">
        <w:rPr>
          <w:noProof/>
        </w:rPr>
        <w:t>325,8</w:t>
      </w:r>
      <w:r w:rsidR="00380210" w:rsidRPr="006932EF">
        <w:rPr>
          <w:noProof/>
        </w:rPr>
        <w:t xml:space="preserve"> млн. лв.</w:t>
      </w:r>
      <w:r w:rsidR="00380210" w:rsidRPr="006932EF">
        <w:t xml:space="preserve"> спрямо просрочията в края на 2022 г.</w:t>
      </w:r>
      <w:r w:rsidR="008362B6" w:rsidRPr="006932EF">
        <w:t>)</w:t>
      </w:r>
      <w:r w:rsidR="003E73AA" w:rsidRPr="006932EF">
        <w:rPr>
          <w:lang w:val="ru-RU"/>
        </w:rPr>
        <w:t xml:space="preserve">; </w:t>
      </w:r>
      <w:r w:rsidR="00F722BE" w:rsidRPr="006932EF">
        <w:rPr>
          <w:noProof/>
        </w:rPr>
        <w:t>Министерство</w:t>
      </w:r>
      <w:r w:rsidR="008362B6" w:rsidRPr="006932EF">
        <w:rPr>
          <w:noProof/>
        </w:rPr>
        <w:t>то</w:t>
      </w:r>
      <w:r w:rsidR="00F722BE" w:rsidRPr="006932EF">
        <w:rPr>
          <w:noProof/>
        </w:rPr>
        <w:t xml:space="preserve"> на земеделието</w:t>
      </w:r>
      <w:r w:rsidR="00E83A5E" w:rsidRPr="006932EF">
        <w:rPr>
          <w:noProof/>
        </w:rPr>
        <w:t xml:space="preserve"> и храните</w:t>
      </w:r>
      <w:r w:rsidR="00F722BE" w:rsidRPr="006932EF">
        <w:rPr>
          <w:noProof/>
        </w:rPr>
        <w:t xml:space="preserve"> – </w:t>
      </w:r>
      <w:r w:rsidR="00AC4342" w:rsidRPr="006932EF">
        <w:rPr>
          <w:noProof/>
        </w:rPr>
        <w:t>23,</w:t>
      </w:r>
      <w:r w:rsidR="006932EF" w:rsidRPr="006932EF">
        <w:rPr>
          <w:noProof/>
        </w:rPr>
        <w:t>5</w:t>
      </w:r>
      <w:r w:rsidR="00F722BE" w:rsidRPr="006932EF">
        <w:rPr>
          <w:noProof/>
        </w:rPr>
        <w:t xml:space="preserve"> млн. лв. (увеличение с </w:t>
      </w:r>
      <w:r w:rsidR="00AC4342" w:rsidRPr="006932EF">
        <w:rPr>
          <w:noProof/>
        </w:rPr>
        <w:t>3,</w:t>
      </w:r>
      <w:r w:rsidR="006932EF" w:rsidRPr="006932EF">
        <w:rPr>
          <w:noProof/>
        </w:rPr>
        <w:t>1</w:t>
      </w:r>
      <w:r w:rsidR="00F722BE" w:rsidRPr="006932EF">
        <w:rPr>
          <w:noProof/>
        </w:rPr>
        <w:t xml:space="preserve"> млн. лв. </w:t>
      </w:r>
      <w:r w:rsidR="00F722BE" w:rsidRPr="006932EF">
        <w:t>спрямо просрочията в края на 202</w:t>
      </w:r>
      <w:r w:rsidR="00517CD0" w:rsidRPr="006932EF">
        <w:t>2</w:t>
      </w:r>
      <w:r w:rsidR="00F722BE" w:rsidRPr="006932EF">
        <w:t> г.</w:t>
      </w:r>
      <w:r w:rsidR="00F722BE" w:rsidRPr="006932EF">
        <w:rPr>
          <w:noProof/>
        </w:rPr>
        <w:t xml:space="preserve">); </w:t>
      </w:r>
      <w:r w:rsidR="008262D2" w:rsidRPr="008262D2">
        <w:rPr>
          <w:noProof/>
        </w:rPr>
        <w:t xml:space="preserve">Министерството на </w:t>
      </w:r>
      <w:r w:rsidR="008262D2" w:rsidRPr="00594D73">
        <w:rPr>
          <w:noProof/>
        </w:rPr>
        <w:t xml:space="preserve">правосъдието – 3,7 млн. лв. (увеличение с 2,8 млн. лв. </w:t>
      </w:r>
      <w:r w:rsidR="008262D2" w:rsidRPr="00594D73">
        <w:t>спрямо просрочията в края на 2022 г.</w:t>
      </w:r>
      <w:r w:rsidR="008262D2" w:rsidRPr="00594D73">
        <w:rPr>
          <w:noProof/>
        </w:rPr>
        <w:t xml:space="preserve">); </w:t>
      </w:r>
      <w:r w:rsidR="00594D73" w:rsidRPr="00594D73">
        <w:rPr>
          <w:noProof/>
        </w:rPr>
        <w:t>Министерството на отбраната – 2,6 млн. лв. (</w:t>
      </w:r>
      <w:r w:rsidR="00641E21" w:rsidRPr="00641E21">
        <w:rPr>
          <w:noProof/>
        </w:rPr>
        <w:t>с минимално увеличение спрямо отчетените в края на 2022 г.</w:t>
      </w:r>
      <w:r w:rsidR="00594D73" w:rsidRPr="00594D73">
        <w:rPr>
          <w:noProof/>
        </w:rPr>
        <w:t>), в т.ч. 2,5 млн. лв. на ВМА</w:t>
      </w:r>
      <w:r w:rsidR="00594D73" w:rsidRPr="00594D73">
        <w:t>;</w:t>
      </w:r>
      <w:r w:rsidR="00594D73" w:rsidRPr="00594D73">
        <w:rPr>
          <w:noProof/>
        </w:rPr>
        <w:t xml:space="preserve"> </w:t>
      </w:r>
      <w:r w:rsidR="00D4432C" w:rsidRPr="00D4432C">
        <w:rPr>
          <w:noProof/>
        </w:rPr>
        <w:t>Министерството на младежта и спорта – 2,4 млн. лв. (увеличение с 1,7 млн. лв. спрямо отчетените в края на 2022</w:t>
      </w:r>
      <w:r w:rsidR="00D4432C" w:rsidRPr="00D4432C">
        <w:rPr>
          <w:noProof/>
          <w:lang w:val="en-US"/>
        </w:rPr>
        <w:t> </w:t>
      </w:r>
      <w:r w:rsidR="00D4432C" w:rsidRPr="00D4432C">
        <w:rPr>
          <w:noProof/>
        </w:rPr>
        <w:t>г.</w:t>
      </w:r>
      <w:r w:rsidR="00D4432C" w:rsidRPr="00D4432C">
        <w:rPr>
          <w:noProof/>
          <w:lang w:val="ru-RU"/>
        </w:rPr>
        <w:t>)</w:t>
      </w:r>
      <w:r w:rsidR="00D4432C" w:rsidRPr="00D4432C">
        <w:rPr>
          <w:noProof/>
        </w:rPr>
        <w:t xml:space="preserve">; </w:t>
      </w:r>
      <w:r w:rsidR="00AC4342" w:rsidRPr="00D4432C">
        <w:rPr>
          <w:noProof/>
        </w:rPr>
        <w:t>Министерство</w:t>
      </w:r>
      <w:r w:rsidR="008362B6" w:rsidRPr="00D4432C">
        <w:rPr>
          <w:noProof/>
        </w:rPr>
        <w:t>то</w:t>
      </w:r>
      <w:r w:rsidR="00AC4342" w:rsidRPr="00D4432C">
        <w:rPr>
          <w:noProof/>
        </w:rPr>
        <w:t xml:space="preserve"> на околната среда и водите – </w:t>
      </w:r>
      <w:r w:rsidR="00D4432C" w:rsidRPr="00D4432C">
        <w:rPr>
          <w:noProof/>
        </w:rPr>
        <w:t>1,3</w:t>
      </w:r>
      <w:r w:rsidR="00BE2024" w:rsidRPr="00D4432C">
        <w:rPr>
          <w:noProof/>
        </w:rPr>
        <w:t xml:space="preserve"> млн. лв. (</w:t>
      </w:r>
      <w:r w:rsidR="00D4432C" w:rsidRPr="00D4432C">
        <w:rPr>
          <w:noProof/>
        </w:rPr>
        <w:t>намаление</w:t>
      </w:r>
      <w:r w:rsidR="00BE2024" w:rsidRPr="00D4432C">
        <w:rPr>
          <w:noProof/>
        </w:rPr>
        <w:t xml:space="preserve"> с </w:t>
      </w:r>
      <w:r w:rsidR="00D4432C" w:rsidRPr="00D4432C">
        <w:rPr>
          <w:noProof/>
        </w:rPr>
        <w:t>1,6</w:t>
      </w:r>
      <w:r w:rsidR="00BE2024" w:rsidRPr="00D4432C">
        <w:rPr>
          <w:noProof/>
        </w:rPr>
        <w:t xml:space="preserve"> млн. лв. </w:t>
      </w:r>
      <w:r w:rsidR="00BE2024" w:rsidRPr="00CA6765">
        <w:t>спрямо просрочията в края на 2022 г.</w:t>
      </w:r>
      <w:r w:rsidR="00BE2024" w:rsidRPr="00CA6765">
        <w:rPr>
          <w:noProof/>
        </w:rPr>
        <w:t>)</w:t>
      </w:r>
      <w:r w:rsidR="00AC4342" w:rsidRPr="00CA6765">
        <w:rPr>
          <w:noProof/>
        </w:rPr>
        <w:t xml:space="preserve"> </w:t>
      </w:r>
      <w:r w:rsidR="00772D55" w:rsidRPr="00CA6765">
        <w:rPr>
          <w:noProof/>
        </w:rPr>
        <w:t xml:space="preserve">и други. </w:t>
      </w:r>
      <w:r w:rsidRPr="00CA6765">
        <w:rPr>
          <w:noProof/>
        </w:rPr>
        <w:t xml:space="preserve">От разпоредителите с бюджет по чл. 13, ал. 3 на Закона за публичните финанси проблеми с наличието на просрочени задължения има основно при </w:t>
      </w:r>
      <w:r w:rsidR="00380210" w:rsidRPr="00CA6765">
        <w:rPr>
          <w:noProof/>
        </w:rPr>
        <w:t xml:space="preserve">държавните висши училища – </w:t>
      </w:r>
      <w:r w:rsidR="00CA6765" w:rsidRPr="00CA6765">
        <w:rPr>
          <w:noProof/>
        </w:rPr>
        <w:t>12,3</w:t>
      </w:r>
      <w:r w:rsidR="00D9744D" w:rsidRPr="00CA6765">
        <w:rPr>
          <w:noProof/>
        </w:rPr>
        <w:t xml:space="preserve"> млн. лв. (</w:t>
      </w:r>
      <w:r w:rsidR="00CA6765" w:rsidRPr="00CA6765">
        <w:rPr>
          <w:noProof/>
        </w:rPr>
        <w:t xml:space="preserve">увеличение </w:t>
      </w:r>
      <w:r w:rsidR="00D9744D" w:rsidRPr="00CA6765">
        <w:rPr>
          <w:noProof/>
        </w:rPr>
        <w:t xml:space="preserve">с </w:t>
      </w:r>
      <w:r w:rsidR="00CA6765" w:rsidRPr="00CA6765">
        <w:rPr>
          <w:noProof/>
        </w:rPr>
        <w:t>5,1</w:t>
      </w:r>
      <w:r w:rsidR="00D9744D" w:rsidRPr="00CA6765">
        <w:rPr>
          <w:noProof/>
        </w:rPr>
        <w:t xml:space="preserve"> млн. лв. </w:t>
      </w:r>
      <w:r w:rsidR="00D9744D" w:rsidRPr="00CA6765">
        <w:t>спрямо отчетените в края на 202</w:t>
      </w:r>
      <w:r w:rsidR="00AE11ED" w:rsidRPr="00CA6765">
        <w:t>2</w:t>
      </w:r>
      <w:r w:rsidR="00D9744D" w:rsidRPr="00CA6765">
        <w:t> г.</w:t>
      </w:r>
      <w:r w:rsidR="00D9744D" w:rsidRPr="005B4C2D">
        <w:rPr>
          <w:color w:val="0070C0"/>
        </w:rPr>
        <w:t xml:space="preserve"> </w:t>
      </w:r>
      <w:r w:rsidR="00D9744D" w:rsidRPr="00605251">
        <w:t xml:space="preserve">и </w:t>
      </w:r>
      <w:r w:rsidR="00605251" w:rsidRPr="00605251">
        <w:t>представляват неплатени данък сгради и такса смет на общините от Софийския университет „Св. Климент Охридски“ и надвнесени такси от студенти и специализанти на Медицинския университет - София</w:t>
      </w:r>
      <w:r w:rsidR="00D9744D" w:rsidRPr="00605251">
        <w:rPr>
          <w:noProof/>
        </w:rPr>
        <w:t>),</w:t>
      </w:r>
      <w:r w:rsidR="00D9744D" w:rsidRPr="005B4C2D">
        <w:rPr>
          <w:noProof/>
        </w:rPr>
        <w:t xml:space="preserve"> </w:t>
      </w:r>
      <w:r w:rsidRPr="005B4C2D">
        <w:rPr>
          <w:noProof/>
        </w:rPr>
        <w:t xml:space="preserve">Българската национална телевизия – </w:t>
      </w:r>
      <w:r w:rsidR="00582103" w:rsidRPr="005B4C2D">
        <w:rPr>
          <w:noProof/>
        </w:rPr>
        <w:t>6,</w:t>
      </w:r>
      <w:r w:rsidR="005B4C2D" w:rsidRPr="005B4C2D">
        <w:rPr>
          <w:noProof/>
        </w:rPr>
        <w:t>4</w:t>
      </w:r>
      <w:r w:rsidRPr="005B4C2D">
        <w:rPr>
          <w:noProof/>
        </w:rPr>
        <w:t xml:space="preserve"> млн. лв. (</w:t>
      </w:r>
      <w:r w:rsidR="00582103" w:rsidRPr="005B4C2D">
        <w:rPr>
          <w:noProof/>
        </w:rPr>
        <w:t xml:space="preserve">намаление </w:t>
      </w:r>
      <w:r w:rsidR="002A2161" w:rsidRPr="005B4C2D">
        <w:rPr>
          <w:noProof/>
        </w:rPr>
        <w:t>с 0</w:t>
      </w:r>
      <w:r w:rsidR="00AA5D97" w:rsidRPr="005B4C2D">
        <w:rPr>
          <w:noProof/>
        </w:rPr>
        <w:t>,</w:t>
      </w:r>
      <w:r w:rsidR="005B4C2D" w:rsidRPr="005B4C2D">
        <w:rPr>
          <w:noProof/>
        </w:rPr>
        <w:t>9</w:t>
      </w:r>
      <w:r w:rsidRPr="005B4C2D">
        <w:rPr>
          <w:noProof/>
        </w:rPr>
        <w:t xml:space="preserve"> млн. лв. </w:t>
      </w:r>
      <w:r w:rsidRPr="005B4C2D">
        <w:t>спрямо отчетените в края на 202</w:t>
      </w:r>
      <w:r w:rsidR="00AE11ED" w:rsidRPr="005B4C2D">
        <w:t>2</w:t>
      </w:r>
      <w:r w:rsidRPr="005B4C2D">
        <w:t xml:space="preserve"> г.</w:t>
      </w:r>
      <w:r w:rsidRPr="005B4C2D">
        <w:rPr>
          <w:noProof/>
        </w:rPr>
        <w:t xml:space="preserve">, </w:t>
      </w:r>
      <w:r w:rsidRPr="0075766C">
        <w:rPr>
          <w:noProof/>
        </w:rPr>
        <w:t xml:space="preserve">като това са основно </w:t>
      </w:r>
      <w:r w:rsidRPr="0075766C">
        <w:t>просрочени задължения към доставчици в страната)</w:t>
      </w:r>
      <w:r w:rsidR="00A80BD2" w:rsidRPr="0075766C">
        <w:t xml:space="preserve"> и </w:t>
      </w:r>
      <w:r w:rsidRPr="0075766C">
        <w:rPr>
          <w:noProof/>
        </w:rPr>
        <w:t>Българск</w:t>
      </w:r>
      <w:r w:rsidRPr="005B4C2D">
        <w:rPr>
          <w:noProof/>
        </w:rPr>
        <w:t>ото национало радио – 2,</w:t>
      </w:r>
      <w:r w:rsidR="00AE24A2" w:rsidRPr="005B4C2D">
        <w:rPr>
          <w:noProof/>
        </w:rPr>
        <w:t>6</w:t>
      </w:r>
      <w:r w:rsidRPr="005B4C2D">
        <w:rPr>
          <w:noProof/>
        </w:rPr>
        <w:t xml:space="preserve"> млн. лв.</w:t>
      </w:r>
      <w:r w:rsidRPr="0059164A">
        <w:rPr>
          <w:noProof/>
          <w:color w:val="0070C0"/>
        </w:rPr>
        <w:t xml:space="preserve"> </w:t>
      </w:r>
      <w:r w:rsidRPr="003637A5">
        <w:rPr>
          <w:noProof/>
        </w:rPr>
        <w:t>(</w:t>
      </w:r>
      <w:r w:rsidR="003637A5" w:rsidRPr="003637A5">
        <w:rPr>
          <w:noProof/>
        </w:rPr>
        <w:t xml:space="preserve">увеличение с </w:t>
      </w:r>
      <w:r w:rsidR="003637A5" w:rsidRPr="003637A5">
        <w:rPr>
          <w:noProof/>
          <w:lang w:val="en-US"/>
        </w:rPr>
        <w:t>0</w:t>
      </w:r>
      <w:r w:rsidR="003637A5" w:rsidRPr="003637A5">
        <w:rPr>
          <w:noProof/>
        </w:rPr>
        <w:t>,1 млн. лв. спрямо просрочията в края на 2022 г</w:t>
      </w:r>
      <w:r w:rsidR="003637A5" w:rsidRPr="008D3836">
        <w:rPr>
          <w:noProof/>
        </w:rPr>
        <w:t>.</w:t>
      </w:r>
      <w:r w:rsidR="00505568" w:rsidRPr="008D3836">
        <w:t>, като това са</w:t>
      </w:r>
      <w:r w:rsidR="008F29DC" w:rsidRPr="008D3836">
        <w:t xml:space="preserve"> основно</w:t>
      </w:r>
      <w:r w:rsidR="00505568" w:rsidRPr="008D3836">
        <w:t xml:space="preserve"> </w:t>
      </w:r>
      <w:r w:rsidR="00505568" w:rsidRPr="008D3836">
        <w:rPr>
          <w:szCs w:val="20"/>
        </w:rPr>
        <w:t xml:space="preserve">просрочени задължения за данъци, вноски, такси и административни санкции към Столична община за такса битови отпадъци за минали периоди, в т.ч. </w:t>
      </w:r>
      <w:r w:rsidR="00505568" w:rsidRPr="008D3836">
        <w:rPr>
          <w:szCs w:val="20"/>
          <w:lang w:val="ru-RU"/>
        </w:rPr>
        <w:t>1</w:t>
      </w:r>
      <w:r w:rsidR="00505568" w:rsidRPr="008D3836">
        <w:rPr>
          <w:szCs w:val="20"/>
        </w:rPr>
        <w:t>,</w:t>
      </w:r>
      <w:r w:rsidR="008D3836" w:rsidRPr="008D3836">
        <w:rPr>
          <w:szCs w:val="20"/>
        </w:rPr>
        <w:t>2</w:t>
      </w:r>
      <w:r w:rsidR="00505568" w:rsidRPr="008D3836">
        <w:rPr>
          <w:szCs w:val="20"/>
        </w:rPr>
        <w:t xml:space="preserve"> млн. лв. за лихви</w:t>
      </w:r>
      <w:r w:rsidR="00D9744D" w:rsidRPr="008D3836">
        <w:t>)</w:t>
      </w:r>
      <w:r w:rsidRPr="008D3836">
        <w:rPr>
          <w:noProof/>
        </w:rPr>
        <w:t>.</w:t>
      </w:r>
      <w:r w:rsidR="00D822E5" w:rsidRPr="00DF0365">
        <w:rPr>
          <w:noProof/>
        </w:rPr>
        <w:t xml:space="preserve"> От разпоредителите с бюджет по чл. 13, ал. 4 на Закона за публичните финанси проблеми с наличието на просрочени задължения има при Държавно предприятие „На</w:t>
      </w:r>
      <w:r w:rsidR="002A2161" w:rsidRPr="00DF0365">
        <w:rPr>
          <w:noProof/>
        </w:rPr>
        <w:t>учно-производствен център“ – 1,8</w:t>
      </w:r>
      <w:r w:rsidR="00D822E5" w:rsidRPr="00DF0365">
        <w:rPr>
          <w:noProof/>
        </w:rPr>
        <w:t xml:space="preserve"> млн. лв. (увеличение с 0,</w:t>
      </w:r>
      <w:r w:rsidR="0068510C" w:rsidRPr="00DF0365">
        <w:rPr>
          <w:noProof/>
        </w:rPr>
        <w:t>2</w:t>
      </w:r>
      <w:r w:rsidR="00D822E5" w:rsidRPr="00DF0365">
        <w:rPr>
          <w:noProof/>
        </w:rPr>
        <w:t xml:space="preserve"> млн. лв. </w:t>
      </w:r>
      <w:r w:rsidR="00D822E5" w:rsidRPr="00DF0365">
        <w:t>спрямо отчетените в края на 202</w:t>
      </w:r>
      <w:r w:rsidR="00AE11ED" w:rsidRPr="00DF0365">
        <w:t>2</w:t>
      </w:r>
      <w:r w:rsidR="00D822E5" w:rsidRPr="00DF0365">
        <w:t xml:space="preserve"> г.</w:t>
      </w:r>
      <w:r w:rsidR="006412EB" w:rsidRPr="00DF0365">
        <w:rPr>
          <w:lang w:val="ru-RU"/>
        </w:rPr>
        <w:t>)</w:t>
      </w:r>
      <w:r w:rsidR="006412EB" w:rsidRPr="00DF0365">
        <w:t>.</w:t>
      </w:r>
    </w:p>
    <w:p w:rsidR="00EB3EAF" w:rsidRPr="0059164A" w:rsidRDefault="00EB3EAF" w:rsidP="00FB5967">
      <w:pPr>
        <w:spacing w:before="120" w:after="120"/>
        <w:jc w:val="both"/>
        <w:rPr>
          <w:noProof/>
          <w:color w:val="0070C0"/>
        </w:rPr>
      </w:pPr>
      <w:r w:rsidRPr="00A56EB0">
        <w:rPr>
          <w:noProof/>
        </w:rPr>
        <w:t xml:space="preserve">Просрочените задължения по </w:t>
      </w:r>
      <w:r w:rsidRPr="00A56EB0">
        <w:rPr>
          <w:b/>
          <w:noProof/>
        </w:rPr>
        <w:t>бюджетите на общините</w:t>
      </w:r>
      <w:r w:rsidRPr="00A56EB0">
        <w:rPr>
          <w:noProof/>
        </w:rPr>
        <w:t xml:space="preserve"> към </w:t>
      </w:r>
      <w:r w:rsidR="00D571A7" w:rsidRPr="00A56EB0">
        <w:rPr>
          <w:noProof/>
        </w:rPr>
        <w:t>30</w:t>
      </w:r>
      <w:r w:rsidRPr="00A56EB0">
        <w:rPr>
          <w:noProof/>
        </w:rPr>
        <w:t>.</w:t>
      </w:r>
      <w:r w:rsidR="00D571A7" w:rsidRPr="00A56EB0">
        <w:rPr>
          <w:noProof/>
        </w:rPr>
        <w:t>0</w:t>
      </w:r>
      <w:r w:rsidR="00A56EB0" w:rsidRPr="00A56EB0">
        <w:rPr>
          <w:noProof/>
        </w:rPr>
        <w:t>9</w:t>
      </w:r>
      <w:r w:rsidRPr="00A56EB0">
        <w:rPr>
          <w:noProof/>
        </w:rPr>
        <w:t>.202</w:t>
      </w:r>
      <w:r w:rsidR="002A2161" w:rsidRPr="00A56EB0">
        <w:rPr>
          <w:noProof/>
        </w:rPr>
        <w:t>3</w:t>
      </w:r>
      <w:r w:rsidRPr="00A56EB0">
        <w:rPr>
          <w:noProof/>
        </w:rPr>
        <w:t xml:space="preserve"> г. са в размер на </w:t>
      </w:r>
      <w:r w:rsidR="00A56EB0" w:rsidRPr="004E3436">
        <w:rPr>
          <w:b/>
          <w:noProof/>
        </w:rPr>
        <w:t>94,8</w:t>
      </w:r>
      <w:r w:rsidRPr="004E3436">
        <w:rPr>
          <w:b/>
          <w:noProof/>
        </w:rPr>
        <w:t> млн. лв.,</w:t>
      </w:r>
      <w:r w:rsidRPr="004E3436">
        <w:rPr>
          <w:noProof/>
        </w:rPr>
        <w:t xml:space="preserve"> като спрямо </w:t>
      </w:r>
      <w:r w:rsidRPr="004E3436">
        <w:t>края на 202</w:t>
      </w:r>
      <w:r w:rsidR="00620751" w:rsidRPr="004E3436">
        <w:t>2</w:t>
      </w:r>
      <w:r w:rsidRPr="004E3436">
        <w:t xml:space="preserve"> г. </w:t>
      </w:r>
      <w:r w:rsidRPr="004E3436">
        <w:rPr>
          <w:noProof/>
        </w:rPr>
        <w:t xml:space="preserve">се отчита </w:t>
      </w:r>
      <w:r w:rsidR="0098069D" w:rsidRPr="0098069D">
        <w:rPr>
          <w:noProof/>
        </w:rPr>
        <w:t xml:space="preserve">увеличение </w:t>
      </w:r>
      <w:r w:rsidRPr="004E3436">
        <w:rPr>
          <w:noProof/>
        </w:rPr>
        <w:t xml:space="preserve">с </w:t>
      </w:r>
      <w:r w:rsidR="00A56EB0" w:rsidRPr="004E3436">
        <w:rPr>
          <w:noProof/>
        </w:rPr>
        <w:t>3</w:t>
      </w:r>
      <w:r w:rsidR="00D571A7" w:rsidRPr="004E3436">
        <w:rPr>
          <w:noProof/>
        </w:rPr>
        <w:t>,8</w:t>
      </w:r>
      <w:r w:rsidRPr="004E3436">
        <w:rPr>
          <w:noProof/>
        </w:rPr>
        <w:t xml:space="preserve"> млн. лева. С най-голям относителен дял в просрочените задължения по бюджетите на общините към края на месец </w:t>
      </w:r>
      <w:r w:rsidR="00E01CF0" w:rsidRPr="00E24FFE">
        <w:rPr>
          <w:noProof/>
        </w:rPr>
        <w:t xml:space="preserve">септември </w:t>
      </w:r>
      <w:r w:rsidRPr="00E24FFE">
        <w:rPr>
          <w:noProof/>
        </w:rPr>
        <w:t>202</w:t>
      </w:r>
      <w:r w:rsidR="002A2161" w:rsidRPr="00E24FFE">
        <w:rPr>
          <w:noProof/>
        </w:rPr>
        <w:t>3</w:t>
      </w:r>
      <w:r w:rsidRPr="00E24FFE">
        <w:rPr>
          <w:noProof/>
        </w:rPr>
        <w:t xml:space="preserve"> г. са просрочените задължения към доставчици, които са в размер на </w:t>
      </w:r>
      <w:r w:rsidR="00E24FFE" w:rsidRPr="00E24FFE">
        <w:rPr>
          <w:noProof/>
        </w:rPr>
        <w:t>77,6</w:t>
      </w:r>
      <w:r w:rsidRPr="00E24FFE">
        <w:rPr>
          <w:noProof/>
        </w:rPr>
        <w:t xml:space="preserve"> млн. лева. В делегираните от държавата дейности просрочените задължения са в размер на </w:t>
      </w:r>
      <w:r w:rsidR="00152672" w:rsidRPr="00E24FFE">
        <w:rPr>
          <w:noProof/>
        </w:rPr>
        <w:t>0,</w:t>
      </w:r>
      <w:r w:rsidR="00E24FFE" w:rsidRPr="00E24FFE">
        <w:rPr>
          <w:noProof/>
        </w:rPr>
        <w:t>8</w:t>
      </w:r>
      <w:r w:rsidRPr="00E24FFE">
        <w:rPr>
          <w:noProof/>
        </w:rPr>
        <w:t xml:space="preserve"> млн. лева.</w:t>
      </w:r>
    </w:p>
    <w:p w:rsidR="00C45F7B" w:rsidRPr="0004481C" w:rsidRDefault="00C45F7B" w:rsidP="00C45F7B">
      <w:pPr>
        <w:spacing w:after="120"/>
        <w:jc w:val="both"/>
        <w:rPr>
          <w:color w:val="0070C0"/>
          <w:highlight w:val="yellow"/>
          <w:lang w:val="en-US"/>
        </w:rPr>
      </w:pPr>
      <w:r w:rsidRPr="002034CC">
        <w:rPr>
          <w:noProof/>
        </w:rPr>
        <w:t>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търговски дружества</w:t>
      </w:r>
      <w:r w:rsidR="00496D6D">
        <w:rPr>
          <w:noProof/>
          <w:lang w:val="en-US"/>
        </w:rPr>
        <w:t>)</w:t>
      </w:r>
      <w:r w:rsidR="00496D6D">
        <w:rPr>
          <w:noProof/>
        </w:rPr>
        <w:t>.</w:t>
      </w:r>
      <w:r w:rsidR="00C65FAA" w:rsidRPr="00C65FAA">
        <w:rPr>
          <w:noProof/>
        </w:rPr>
        <w:t xml:space="preserve"> </w:t>
      </w:r>
      <w:r w:rsidR="00C65FAA" w:rsidRPr="004035DD">
        <w:rPr>
          <w:noProof/>
        </w:rPr>
        <w:t xml:space="preserve">Към 30.09.2023 г. размерът на просрочените задължения е </w:t>
      </w:r>
      <w:r w:rsidR="00C65FAA" w:rsidRPr="00223B03">
        <w:rPr>
          <w:noProof/>
        </w:rPr>
        <w:t xml:space="preserve">71,3 млн. лв., </w:t>
      </w:r>
      <w:r w:rsidR="00C65FAA" w:rsidRPr="004035DD">
        <w:rPr>
          <w:noProof/>
        </w:rPr>
        <w:t xml:space="preserve">от които </w:t>
      </w:r>
      <w:r w:rsidR="00C65FAA" w:rsidRPr="00223B03">
        <w:rPr>
          <w:noProof/>
        </w:rPr>
        <w:t>54,8</w:t>
      </w:r>
      <w:r w:rsidR="00C65FAA" w:rsidRPr="00223B03">
        <w:rPr>
          <w:noProof/>
          <w:lang w:val="en-US"/>
        </w:rPr>
        <w:t xml:space="preserve"> </w:t>
      </w:r>
      <w:r w:rsidR="00C65FAA" w:rsidRPr="00223B03">
        <w:rPr>
          <w:noProof/>
        </w:rPr>
        <w:t xml:space="preserve">млн. лв. </w:t>
      </w:r>
      <w:r w:rsidR="00C65FAA" w:rsidRPr="004035DD">
        <w:rPr>
          <w:noProof/>
        </w:rPr>
        <w:t xml:space="preserve">са на държавните болници и </w:t>
      </w:r>
      <w:r w:rsidR="00C65FAA" w:rsidRPr="00223B03">
        <w:rPr>
          <w:noProof/>
        </w:rPr>
        <w:t>16,5</w:t>
      </w:r>
      <w:r w:rsidR="00C65FAA" w:rsidRPr="00223B03">
        <w:rPr>
          <w:noProof/>
          <w:lang w:val="en-US"/>
        </w:rPr>
        <w:t xml:space="preserve"> </w:t>
      </w:r>
      <w:r w:rsidR="00C65FAA" w:rsidRPr="00223B03">
        <w:rPr>
          <w:noProof/>
        </w:rPr>
        <w:t xml:space="preserve">млн. лв. </w:t>
      </w:r>
      <w:r w:rsidR="00C65FAA" w:rsidRPr="004035DD">
        <w:rPr>
          <w:noProof/>
        </w:rPr>
        <w:t xml:space="preserve">са на общинските болници. Спрямо отчетените просрочени задължения към 31.12.2022 г. се отчита </w:t>
      </w:r>
      <w:r w:rsidR="00C65FAA" w:rsidRPr="00223B03">
        <w:rPr>
          <w:noProof/>
        </w:rPr>
        <w:t xml:space="preserve">намаление с 23,5 млн. лв. (с 25 на </w:t>
      </w:r>
      <w:r w:rsidR="00C65FAA" w:rsidRPr="00C65FAA">
        <w:rPr>
          <w:noProof/>
        </w:rPr>
        <w:t>сто)</w:t>
      </w:r>
      <w:r w:rsidRPr="00C65FAA">
        <w:t>.</w:t>
      </w:r>
    </w:p>
    <w:p w:rsidR="00BB059C" w:rsidRPr="0059164A" w:rsidRDefault="00BB059C" w:rsidP="00BB059C">
      <w:pPr>
        <w:ind w:firstLine="567"/>
        <w:jc w:val="both"/>
        <w:rPr>
          <w:noProof/>
          <w:color w:val="0070C0"/>
          <w:sz w:val="2"/>
          <w:szCs w:val="12"/>
          <w:lang w:val="en-US"/>
        </w:rPr>
      </w:pPr>
    </w:p>
    <w:p w:rsidR="009C2594" w:rsidRPr="00B00CC1" w:rsidRDefault="009C2594" w:rsidP="00ED2B9A">
      <w:pPr>
        <w:pStyle w:val="BodyTextIndent"/>
        <w:numPr>
          <w:ilvl w:val="1"/>
          <w:numId w:val="12"/>
        </w:numPr>
        <w:tabs>
          <w:tab w:val="clear" w:pos="2160"/>
          <w:tab w:val="num" w:pos="720"/>
          <w:tab w:val="num" w:pos="900"/>
        </w:tabs>
        <w:spacing w:before="120" w:after="0"/>
        <w:ind w:left="720"/>
        <w:jc w:val="both"/>
        <w:rPr>
          <w:b/>
          <w:bCs/>
        </w:rPr>
      </w:pPr>
      <w:r w:rsidRPr="001E2FB8">
        <w:rPr>
          <w:b/>
          <w:bCs/>
        </w:rPr>
        <w:t xml:space="preserve">Разходи по </w:t>
      </w:r>
      <w:r w:rsidR="00850FB1" w:rsidRPr="001E2FB8">
        <w:rPr>
          <w:b/>
          <w:bCs/>
        </w:rPr>
        <w:t>централн</w:t>
      </w:r>
      <w:r w:rsidRPr="001E2FB8">
        <w:rPr>
          <w:b/>
          <w:bCs/>
          <w:szCs w:val="26"/>
        </w:rPr>
        <w:t xml:space="preserve">ия бюджет </w:t>
      </w:r>
      <w:r w:rsidRPr="001E2FB8">
        <w:rPr>
          <w:b/>
          <w:bCs/>
        </w:rPr>
        <w:t>за субсидии</w:t>
      </w:r>
      <w:r w:rsidR="00F202DD" w:rsidRPr="001E2FB8">
        <w:rPr>
          <w:b/>
          <w:bCs/>
        </w:rPr>
        <w:t>,</w:t>
      </w:r>
      <w:r w:rsidR="0091667E" w:rsidRPr="001E2FB8">
        <w:rPr>
          <w:b/>
          <w:bCs/>
        </w:rPr>
        <w:t xml:space="preserve"> </w:t>
      </w:r>
      <w:r w:rsidR="00F202DD" w:rsidRPr="001E2FB8">
        <w:rPr>
          <w:b/>
          <w:bCs/>
        </w:rPr>
        <w:t xml:space="preserve">капиталови </w:t>
      </w:r>
      <w:r w:rsidR="00AF1CA0" w:rsidRPr="001E2FB8">
        <w:rPr>
          <w:b/>
          <w:bCs/>
        </w:rPr>
        <w:t>трансфери</w:t>
      </w:r>
      <w:r w:rsidR="00AF1CA0" w:rsidRPr="001E2FB8">
        <w:rPr>
          <w:bCs/>
        </w:rPr>
        <w:t xml:space="preserve"> </w:t>
      </w:r>
      <w:r w:rsidRPr="001E2FB8">
        <w:rPr>
          <w:b/>
          <w:bCs/>
        </w:rPr>
        <w:t xml:space="preserve">и други разходи, </w:t>
      </w:r>
      <w:r w:rsidRPr="00B00CC1">
        <w:rPr>
          <w:b/>
          <w:bCs/>
        </w:rPr>
        <w:t xml:space="preserve">свързани с дейността на реалния сектор </w:t>
      </w:r>
    </w:p>
    <w:p w:rsidR="009C2594" w:rsidRPr="00B00CC1" w:rsidRDefault="009C2594" w:rsidP="009C2594">
      <w:pPr>
        <w:pStyle w:val="Header"/>
        <w:jc w:val="both"/>
        <w:rPr>
          <w:color w:val="0070C0"/>
          <w:sz w:val="8"/>
          <w:szCs w:val="8"/>
        </w:rPr>
      </w:pPr>
    </w:p>
    <w:p w:rsidR="00411FD7" w:rsidRPr="00B00CC1" w:rsidRDefault="00411FD7" w:rsidP="00411FD7">
      <w:pPr>
        <w:pStyle w:val="Header"/>
        <w:ind w:firstLine="567"/>
        <w:jc w:val="both"/>
        <w:rPr>
          <w:color w:val="0070C0"/>
          <w:sz w:val="4"/>
          <w:szCs w:val="4"/>
        </w:rPr>
      </w:pPr>
    </w:p>
    <w:p w:rsidR="006F434D" w:rsidRPr="00B00CC1" w:rsidRDefault="006F434D" w:rsidP="006F434D">
      <w:pPr>
        <w:pStyle w:val="BodyText2"/>
        <w:spacing w:after="0" w:line="240" w:lineRule="auto"/>
        <w:ind w:firstLine="567"/>
        <w:jc w:val="both"/>
      </w:pPr>
      <w:r w:rsidRPr="00B00CC1">
        <w:t xml:space="preserve">Средствата за </w:t>
      </w:r>
      <w:r w:rsidRPr="00B00CC1">
        <w:rPr>
          <w:bCs/>
        </w:rPr>
        <w:t>субсидии</w:t>
      </w:r>
      <w:r w:rsidRPr="00B00CC1">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p>
    <w:p w:rsidR="006F434D" w:rsidRPr="00B00CC1" w:rsidRDefault="006F434D" w:rsidP="006F434D">
      <w:pPr>
        <w:pStyle w:val="BodyTextIndent2"/>
        <w:spacing w:after="0" w:line="240" w:lineRule="auto"/>
        <w:ind w:left="0" w:firstLine="567"/>
        <w:jc w:val="both"/>
      </w:pPr>
      <w:r w:rsidRPr="00B00CC1">
        <w:t xml:space="preserve">За деветмесечието на 2023 г. предоставените за тази цел средства са в размер на 118,5 млн. лв., в т.ч. за Столична община - в размер на 66,8 млн. лв. Средствата се разпределят по общини от Министерството на транспорта и съобщенията, с изключение на тези за Столична община. </w:t>
      </w:r>
    </w:p>
    <w:p w:rsidR="006F434D" w:rsidRPr="00B00CC1" w:rsidRDefault="006F434D" w:rsidP="006F434D">
      <w:pPr>
        <w:pStyle w:val="BodyTextIndent2"/>
        <w:spacing w:line="240" w:lineRule="auto"/>
        <w:ind w:left="0" w:firstLine="567"/>
        <w:jc w:val="both"/>
        <w:rPr>
          <w:noProof/>
        </w:rPr>
      </w:pPr>
      <w:r w:rsidRPr="00B00CC1">
        <w:t>С ПМС № 11/2023 г. са одобрени 27 млн. лв. за извършване на плащания за прилагане на политиката по чл. 1, ал. 5, т. 13.4 от Закона за държавния бюджет на Република България за 2022</w:t>
      </w:r>
      <w:r w:rsidRPr="00B00CC1">
        <w:rPr>
          <w:lang w:val="en-US"/>
        </w:rPr>
        <w:t> </w:t>
      </w:r>
      <w:r w:rsidRPr="00B00CC1">
        <w:t>г. чрез трансфери за други целеви разходи на общините за субсидиране на превоз на пътниците по междуселищни автобусни линии извън тези по § 4, ал. 1 и 2 от Заключителните разпоредби на Закона за автомобилните превози. Средствата са усвоени изцяло</w:t>
      </w:r>
      <w:r w:rsidRPr="00B00CC1">
        <w:rPr>
          <w:noProof/>
        </w:rPr>
        <w:t>.</w:t>
      </w:r>
    </w:p>
    <w:p w:rsidR="006F434D" w:rsidRPr="0059324C" w:rsidRDefault="006F434D" w:rsidP="007F5506">
      <w:pPr>
        <w:ind w:firstLine="567"/>
        <w:jc w:val="both"/>
      </w:pPr>
      <w:r w:rsidRPr="00B00CC1">
        <w:rPr>
          <w:b/>
          <w:i/>
        </w:rPr>
        <w:t>Капиталовите трансфери</w:t>
      </w:r>
      <w:r w:rsidRPr="00B00CC1">
        <w:t xml:space="preserve"> по централния бюджет към 30.</w:t>
      </w:r>
      <w:r w:rsidR="0059324C" w:rsidRPr="00B00CC1">
        <w:t>09</w:t>
      </w:r>
      <w:r w:rsidRPr="00B00CC1">
        <w:t>.2023 г. са в размер на</w:t>
      </w:r>
      <w:r w:rsidRPr="0059324C">
        <w:t xml:space="preserve"> </w:t>
      </w:r>
      <w:r w:rsidR="0059324C" w:rsidRPr="0059324C">
        <w:t xml:space="preserve">0,682 млн. лв. </w:t>
      </w:r>
      <w:r w:rsidRPr="0059324C">
        <w:t xml:space="preserve">и са изразходени в изпълнение на Програмите за отстраняване на нанесени щети </w:t>
      </w:r>
      <w:r w:rsidRPr="0059324C">
        <w:rPr>
          <w:noProof/>
        </w:rPr>
        <w:t>върху околната среда</w:t>
      </w:r>
      <w:r w:rsidRPr="0059324C">
        <w:t>, настъпили от минали действия или бездействия, при приватизация.</w:t>
      </w:r>
    </w:p>
    <w:p w:rsidR="006F434D" w:rsidRPr="009A43D4" w:rsidRDefault="006F434D" w:rsidP="007F5506">
      <w:pPr>
        <w:tabs>
          <w:tab w:val="left" w:pos="0"/>
          <w:tab w:val="left" w:pos="142"/>
          <w:tab w:val="left" w:pos="284"/>
          <w:tab w:val="left" w:pos="720"/>
        </w:tabs>
        <w:ind w:firstLine="567"/>
        <w:jc w:val="both"/>
        <w:rPr>
          <w:lang w:eastAsia="bg-BG"/>
        </w:rPr>
      </w:pPr>
      <w:r w:rsidRPr="009A43D4">
        <w:rPr>
          <w:lang w:eastAsia="bg-BG"/>
        </w:rPr>
        <w:t>Следва да се има предвид, че през месец май е представено в Министерство на финансите искане за плащане на стойност 0,307 млн. лева, които не са изплатени към настоящия момент, поради изчакване на становище относно приложимостта на приетите през 2023 г. ограничителни мерки с оглед на действията на Русия, дестабилизиращи положението в Украйна и по отношение на действия, подкопаващи или застрашаващи териториалната цялост, суверенитета и независимостта на Украйна към програмата за отстраняване на минали екологични щети на „Лукойл Нефтохим – Бургас“ АД.</w:t>
      </w:r>
      <w:r w:rsidRPr="009A43D4">
        <w:rPr>
          <w:lang w:val="en-US" w:eastAsia="bg-BG"/>
        </w:rPr>
        <w:t xml:space="preserve"> </w:t>
      </w:r>
      <w:r w:rsidRPr="009A43D4">
        <w:rPr>
          <w:lang w:eastAsia="bg-BG"/>
        </w:rPr>
        <w:t xml:space="preserve">По същата програма предстои да постъпят в централния бюджет средства от реализиран полезен продукт, получен в резултат от почистването на Обект </w:t>
      </w:r>
      <w:r w:rsidRPr="009A43D4">
        <w:rPr>
          <w:lang w:val="en-US" w:eastAsia="bg-BG"/>
        </w:rPr>
        <w:t>I</w:t>
      </w:r>
      <w:r w:rsidRPr="009A43D4">
        <w:rPr>
          <w:lang w:eastAsia="bg-BG"/>
        </w:rPr>
        <w:t>.2 в размер на</w:t>
      </w:r>
      <w:r>
        <w:rPr>
          <w:lang w:eastAsia="bg-BG"/>
        </w:rPr>
        <w:t xml:space="preserve"> </w:t>
      </w:r>
      <w:r w:rsidRPr="009A43D4">
        <w:rPr>
          <w:lang w:eastAsia="bg-BG"/>
        </w:rPr>
        <w:t>0,216 млн.</w:t>
      </w:r>
      <w:r>
        <w:rPr>
          <w:lang w:eastAsia="bg-BG"/>
        </w:rPr>
        <w:t xml:space="preserve"> </w:t>
      </w:r>
      <w:r w:rsidRPr="009A43D4">
        <w:rPr>
          <w:lang w:eastAsia="bg-BG"/>
        </w:rPr>
        <w:t>лв.</w:t>
      </w:r>
    </w:p>
    <w:p w:rsidR="006F434D" w:rsidRPr="0053266E" w:rsidRDefault="006F434D" w:rsidP="007F5506">
      <w:pPr>
        <w:ind w:firstLine="567"/>
        <w:jc w:val="both"/>
        <w:rPr>
          <w:color w:val="0070C0"/>
        </w:rPr>
      </w:pPr>
      <w:r w:rsidRPr="009A43D4">
        <w:rPr>
          <w:lang w:eastAsia="bg-BG"/>
        </w:rPr>
        <w:t>Предвидените разходи в централния бюджет за 2023 г. няма да бъдат оползотворени, поради забавяне изпълнението на програмите на „</w:t>
      </w:r>
      <w:proofErr w:type="spellStart"/>
      <w:r w:rsidRPr="009A43D4">
        <w:rPr>
          <w:lang w:eastAsia="bg-BG"/>
        </w:rPr>
        <w:t>Хармони</w:t>
      </w:r>
      <w:proofErr w:type="spellEnd"/>
      <w:r w:rsidRPr="009A43D4">
        <w:rPr>
          <w:lang w:eastAsia="bg-BG"/>
        </w:rPr>
        <w:t xml:space="preserve"> 2012“ ЕООД и на „Агрополихим“ АД – гр. Девня“, както и забавяне изпълнението на програма за Обект </w:t>
      </w:r>
      <w:r w:rsidRPr="009A43D4">
        <w:rPr>
          <w:lang w:val="en-US" w:eastAsia="bg-BG"/>
        </w:rPr>
        <w:t>I</w:t>
      </w:r>
      <w:r w:rsidRPr="009A43D4">
        <w:rPr>
          <w:lang w:eastAsia="bg-BG"/>
        </w:rPr>
        <w:t xml:space="preserve">.3 на „Лукойл Нефтохим </w:t>
      </w:r>
      <w:r w:rsidRPr="0053266E">
        <w:rPr>
          <w:lang w:eastAsia="bg-BG"/>
        </w:rPr>
        <w:t>– Бургас“ АД</w:t>
      </w:r>
      <w:r w:rsidR="00CA56AC" w:rsidRPr="0053266E">
        <w:rPr>
          <w:lang w:eastAsia="bg-BG"/>
        </w:rPr>
        <w:t>.</w:t>
      </w:r>
    </w:p>
    <w:p w:rsidR="006F434D" w:rsidRPr="0053266E" w:rsidRDefault="006F434D" w:rsidP="00867040">
      <w:pPr>
        <w:spacing w:before="120" w:after="120"/>
        <w:ind w:firstLine="567"/>
        <w:jc w:val="both"/>
      </w:pPr>
      <w:r w:rsidRPr="0053266E">
        <w:rPr>
          <w:bCs/>
        </w:rPr>
        <w:t xml:space="preserve">По централния бюджет са предвидени и </w:t>
      </w:r>
      <w:r w:rsidRPr="0053266E">
        <w:rPr>
          <w:b/>
          <w:bCs/>
        </w:rPr>
        <w:t>други разходи</w:t>
      </w:r>
      <w:r w:rsidRPr="0053266E">
        <w:rPr>
          <w:bCs/>
        </w:rPr>
        <w:t>, свързани с к</w:t>
      </w:r>
      <w:r w:rsidRPr="0053266E">
        <w:t xml:space="preserve">омпенсиране със средства от държавния бюджет на </w:t>
      </w:r>
      <w:r w:rsidRPr="0053266E">
        <w:rPr>
          <w:bCs/>
        </w:rPr>
        <w:t>намалените приходи от прилагането на цени за пътуване, предвидени в нормативни актове за определени категории пътници</w:t>
      </w:r>
      <w:r w:rsidRPr="0053266E">
        <w:t xml:space="preserve"> по железопътния и автомобилния транспорт. Средствата </w:t>
      </w:r>
      <w:r w:rsidRPr="0053266E">
        <w:rPr>
          <w:bCs/>
        </w:rPr>
        <w:t xml:space="preserve">се предоставят на „БДЖ-Пътнически превози“ ЕООД за компенсации за пътувания с железопътния транспорт и под формата на целеви трансфер на общините - </w:t>
      </w:r>
      <w:r w:rsidRPr="0053266E">
        <w:t xml:space="preserve">за автомобилния транспорт. </w:t>
      </w:r>
    </w:p>
    <w:p w:rsidR="006F434D" w:rsidRPr="0053266E" w:rsidRDefault="006F434D" w:rsidP="006F434D">
      <w:pPr>
        <w:tabs>
          <w:tab w:val="left" w:pos="851"/>
        </w:tabs>
        <w:ind w:firstLine="567"/>
        <w:jc w:val="both"/>
        <w:rPr>
          <w:sz w:val="8"/>
          <w:szCs w:val="8"/>
        </w:rPr>
      </w:pPr>
      <w:r w:rsidRPr="0053266E">
        <w:t xml:space="preserve"> Предоставените средства за деветмесечието на 2023 г. са общо в размер на </w:t>
      </w:r>
      <w:r w:rsidRPr="0053266E">
        <w:rPr>
          <w:lang w:val="ru-RU"/>
        </w:rPr>
        <w:t>94,9</w:t>
      </w:r>
      <w:r w:rsidRPr="0053266E">
        <w:t xml:space="preserve"> млн. лв., в т.ч. за вътрешноградския транспорт, междуселищния автомобилен транспорт и железопътния транспорт. </w:t>
      </w:r>
    </w:p>
    <w:p w:rsidR="006F434D" w:rsidRPr="0053266E" w:rsidRDefault="006F434D" w:rsidP="006F434D">
      <w:pPr>
        <w:tabs>
          <w:tab w:val="left" w:pos="851"/>
        </w:tabs>
        <w:ind w:firstLine="567"/>
        <w:jc w:val="both"/>
        <w:rPr>
          <w:color w:val="0070C0"/>
        </w:rPr>
      </w:pPr>
      <w:r w:rsidRPr="0053266E">
        <w:t xml:space="preserve">Допълнително, с ПМС № 10/2023 г. са одобрени средства в размер 73 млн. лв. за изпълнението на § 2 и 3 от същото постановление, представляващи средства за пътувания с вътрешноградския транспорт и междуселищния автомобилен транспорт. Усвоените средства за деветмесечието на 2023 г. са в размер на </w:t>
      </w:r>
      <w:r w:rsidRPr="0053266E">
        <w:rPr>
          <w:lang w:val="ru-RU"/>
        </w:rPr>
        <w:t>48,4</w:t>
      </w:r>
      <w:r w:rsidRPr="0053266E">
        <w:t xml:space="preserve"> млн. лв. С това общият размер на усвоените средства за компенсиране на намалените приходи от прилагането на цени за пътуване, предвидени в нормативни актове за определени категории пътници, е увеличен на </w:t>
      </w:r>
      <w:r w:rsidRPr="0053266E">
        <w:rPr>
          <w:lang w:val="ru-RU"/>
        </w:rPr>
        <w:t>143,3</w:t>
      </w:r>
      <w:r w:rsidRPr="0053266E">
        <w:t xml:space="preserve"> млн. лв. за деветмесечието на 2023 година.</w:t>
      </w:r>
    </w:p>
    <w:p w:rsidR="006F434D" w:rsidRPr="0053266E" w:rsidRDefault="006F434D" w:rsidP="006F434D">
      <w:pPr>
        <w:tabs>
          <w:tab w:val="left" w:pos="851"/>
        </w:tabs>
        <w:ind w:firstLine="567"/>
        <w:jc w:val="both"/>
      </w:pPr>
      <w:r w:rsidRPr="0053266E">
        <w:t xml:space="preserve">Предоставените средства към 30.09.2023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53266E">
        <w:rPr>
          <w:noProof/>
        </w:rPr>
        <w:t xml:space="preserve">вътрешноградски транспорт и междуселищен </w:t>
      </w:r>
      <w:r w:rsidRPr="0053266E">
        <w:t>автомобилен транспорт или железопътен транспорт са както следва:</w:t>
      </w:r>
    </w:p>
    <w:p w:rsidR="006F434D" w:rsidRPr="0053266E" w:rsidRDefault="006F434D" w:rsidP="006F434D">
      <w:pPr>
        <w:ind w:firstLine="567"/>
        <w:jc w:val="both"/>
      </w:pPr>
      <w:r w:rsidRPr="0053266E">
        <w:t xml:space="preserve">- компенсации за пътувания с железопътния транспорт в размер на 5,1 млн. лв.; </w:t>
      </w:r>
    </w:p>
    <w:p w:rsidR="006F434D" w:rsidRPr="0053266E" w:rsidRDefault="006F434D" w:rsidP="006F434D">
      <w:pPr>
        <w:tabs>
          <w:tab w:val="left" w:pos="540"/>
          <w:tab w:val="left" w:pos="709"/>
        </w:tabs>
        <w:ind w:firstLine="567"/>
        <w:jc w:val="both"/>
        <w:rPr>
          <w:noProof/>
        </w:rPr>
      </w:pPr>
      <w:r w:rsidRPr="0053266E">
        <w:rPr>
          <w:noProof/>
        </w:rPr>
        <w:t>- 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138,2</w:t>
      </w:r>
      <w:r w:rsidR="00861072">
        <w:rPr>
          <w:noProof/>
        </w:rPr>
        <w:t> </w:t>
      </w:r>
      <w:r w:rsidRPr="0053266E">
        <w:rPr>
          <w:noProof/>
        </w:rPr>
        <w:t xml:space="preserve">млн. лв. </w:t>
      </w:r>
    </w:p>
    <w:p w:rsidR="006F434D" w:rsidRPr="0053266E" w:rsidRDefault="006F434D" w:rsidP="006F434D">
      <w:pPr>
        <w:ind w:firstLine="567"/>
        <w:jc w:val="both"/>
        <w:rPr>
          <w:noProof/>
        </w:rPr>
      </w:pPr>
      <w:r w:rsidRPr="0053266E">
        <w:rPr>
          <w:noProof/>
        </w:rPr>
        <w:t xml:space="preserve">Предоставените средства за </w:t>
      </w:r>
      <w:r w:rsidRPr="0053266E">
        <w:t>компенсиране на намалените приходи от прилагането на цени за пътуване, предвидени в нормативни актове за определени категории пътници,</w:t>
      </w:r>
      <w:r w:rsidRPr="0053266E">
        <w:rPr>
          <w:noProof/>
        </w:rPr>
        <w:t xml:space="preserve"> по вътрешноградския транспорт и междуселищния автомобилен транспорт за </w:t>
      </w:r>
      <w:r w:rsidRPr="0053266E">
        <w:t xml:space="preserve">деветмесечието </w:t>
      </w:r>
      <w:r w:rsidRPr="0053266E">
        <w:rPr>
          <w:noProof/>
        </w:rPr>
        <w:t>на 2023 г., диференцирани по групи правоимащи лица и размер на намалението спрямо редовната цена, са както следва:</w:t>
      </w:r>
    </w:p>
    <w:p w:rsidR="006F434D" w:rsidRPr="0053266E" w:rsidRDefault="006F434D" w:rsidP="006F434D">
      <w:pPr>
        <w:pStyle w:val="BodyTextIndent"/>
        <w:spacing w:after="0"/>
        <w:ind w:left="0" w:firstLine="567"/>
        <w:jc w:val="both"/>
      </w:pPr>
      <w:r w:rsidRPr="0053266E">
        <w:t xml:space="preserve">- 34,7 млн. лв. за транспорт на деца и ученици; </w:t>
      </w:r>
    </w:p>
    <w:p w:rsidR="006F434D" w:rsidRPr="0053266E" w:rsidRDefault="006F434D" w:rsidP="006F434D">
      <w:pPr>
        <w:pStyle w:val="BodyTextIndent"/>
        <w:tabs>
          <w:tab w:val="left" w:pos="1026"/>
        </w:tabs>
        <w:spacing w:after="0"/>
        <w:ind w:left="0" w:firstLine="567"/>
        <w:jc w:val="both"/>
      </w:pPr>
      <w:r w:rsidRPr="0053266E">
        <w:t>- 103,5 млн. лв. за безплатни и по намалени цени пътувания по общини, в това число:</w:t>
      </w:r>
    </w:p>
    <w:p w:rsidR="006F434D" w:rsidRPr="0053266E" w:rsidRDefault="006F434D" w:rsidP="006F434D">
      <w:pPr>
        <w:numPr>
          <w:ilvl w:val="0"/>
          <w:numId w:val="30"/>
        </w:numPr>
        <w:tabs>
          <w:tab w:val="left" w:pos="993"/>
        </w:tabs>
        <w:jc w:val="both"/>
      </w:pPr>
      <w:r w:rsidRPr="0053266E">
        <w:t xml:space="preserve">42,4 млн. лв. за безплатни пътувания на деца до седемгодишна възраст, ветерани от войните, военноинвалиди и </w:t>
      </w:r>
      <w:proofErr w:type="spellStart"/>
      <w:r w:rsidRPr="0053266E">
        <w:t>военнопострадали</w:t>
      </w:r>
      <w:proofErr w:type="spellEnd"/>
      <w:r w:rsidRPr="0053266E">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w:t>
      </w:r>
    </w:p>
    <w:p w:rsidR="006F434D" w:rsidRPr="0053266E" w:rsidRDefault="006F434D" w:rsidP="006F434D">
      <w:pPr>
        <w:numPr>
          <w:ilvl w:val="0"/>
          <w:numId w:val="30"/>
        </w:numPr>
        <w:tabs>
          <w:tab w:val="left" w:pos="993"/>
        </w:tabs>
        <w:jc w:val="both"/>
      </w:pPr>
      <w:r w:rsidRPr="0053266E">
        <w:t>12,7 млн. лв. за превоз на служители, ползващи право на безплатно пътуване при изпълнение на служебните си задължения;</w:t>
      </w:r>
    </w:p>
    <w:p w:rsidR="006F434D" w:rsidRPr="0053266E" w:rsidRDefault="006F434D" w:rsidP="006F434D">
      <w:pPr>
        <w:numPr>
          <w:ilvl w:val="0"/>
          <w:numId w:val="30"/>
        </w:numPr>
        <w:tabs>
          <w:tab w:val="left" w:pos="993"/>
        </w:tabs>
        <w:jc w:val="both"/>
      </w:pPr>
      <w:r w:rsidRPr="0053266E">
        <w:t>48,4 млн. лв. за пътувания с вътрешноградския транспорт и междуселищния автомобилен транспорт в съответствие с ПМС № 10/2023 г.</w:t>
      </w:r>
    </w:p>
    <w:p w:rsidR="00333B5E" w:rsidRPr="00184091" w:rsidRDefault="00333B5E" w:rsidP="00333B5E">
      <w:pPr>
        <w:jc w:val="both"/>
        <w:rPr>
          <w:color w:val="0070C0"/>
          <w:sz w:val="12"/>
          <w:szCs w:val="12"/>
          <w:lang w:val="en-US"/>
        </w:rPr>
      </w:pPr>
    </w:p>
    <w:p w:rsidR="00772EF8" w:rsidRPr="006E2A14" w:rsidRDefault="00772EF8" w:rsidP="00772EF8">
      <w:pPr>
        <w:numPr>
          <w:ilvl w:val="0"/>
          <w:numId w:val="7"/>
        </w:numPr>
        <w:spacing w:after="120"/>
        <w:ind w:left="0" w:firstLine="360"/>
        <w:jc w:val="both"/>
        <w:rPr>
          <w:b/>
        </w:rPr>
      </w:pPr>
      <w:r w:rsidRPr="006E2A14">
        <w:rPr>
          <w:b/>
        </w:rPr>
        <w:t xml:space="preserve">Разходи за лихви </w:t>
      </w:r>
    </w:p>
    <w:p w:rsidR="006E2A14" w:rsidRPr="005B5640" w:rsidRDefault="006E2A14" w:rsidP="006E2A14">
      <w:pPr>
        <w:spacing w:after="60"/>
        <w:jc w:val="both"/>
      </w:pPr>
      <w:r w:rsidRPr="005B5640">
        <w:rPr>
          <w:b/>
        </w:rPr>
        <w:t xml:space="preserve">Лихвените плащания </w:t>
      </w:r>
      <w:r w:rsidRPr="005B5640">
        <w:t xml:space="preserve">по държавния бюджет към </w:t>
      </w:r>
      <w:r w:rsidRPr="005B5640">
        <w:rPr>
          <w:lang w:val="ru-RU"/>
        </w:rPr>
        <w:t>30.09.2023</w:t>
      </w:r>
      <w:r w:rsidRPr="005B5640">
        <w:t xml:space="preserve"> г. са в общ размер на </w:t>
      </w:r>
      <w:r w:rsidRPr="005B5640">
        <w:rPr>
          <w:b/>
          <w:lang w:val="en-US"/>
        </w:rPr>
        <w:t>699</w:t>
      </w:r>
      <w:r w:rsidRPr="005B5640">
        <w:rPr>
          <w:b/>
        </w:rPr>
        <w:t>,2 млн. лв</w:t>
      </w:r>
      <w:r w:rsidRPr="005B5640">
        <w:t>. или 89,2 % от предвидените в годишните разчети.</w:t>
      </w:r>
    </w:p>
    <w:p w:rsidR="006E2A14" w:rsidRPr="005358AC" w:rsidRDefault="006E2A14" w:rsidP="006E2A14">
      <w:pPr>
        <w:spacing w:after="120"/>
        <w:jc w:val="both"/>
        <w:rPr>
          <w:color w:val="0070C0"/>
        </w:rPr>
      </w:pPr>
      <w:r w:rsidRPr="0053795D">
        <w:t xml:space="preserve">Разходите за </w:t>
      </w:r>
      <w:r w:rsidRPr="0053795D">
        <w:rPr>
          <w:b/>
        </w:rPr>
        <w:t>лихви по външни заеми</w:t>
      </w:r>
      <w:r w:rsidRPr="0053795D">
        <w:t xml:space="preserve"> са в размер на </w:t>
      </w:r>
      <w:r w:rsidRPr="0053795D">
        <w:rPr>
          <w:lang w:val="ru-RU"/>
        </w:rPr>
        <w:t>592,9</w:t>
      </w:r>
      <w:r w:rsidRPr="0053795D">
        <w:t xml:space="preserve"> млн. лв., в т.ч. 576,8 млн. лв. по централния </w:t>
      </w:r>
      <w:r w:rsidRPr="00B22911">
        <w:t xml:space="preserve">бюджет. Разходите за лихви по ДИЗ, управлявани от министерства и ведомства, са в </w:t>
      </w:r>
      <w:r w:rsidRPr="00F078DD">
        <w:t xml:space="preserve">размер на 16,0 млн. лева </w:t>
      </w:r>
      <w:r w:rsidRPr="00F078DD">
        <w:rPr>
          <w:lang w:val="ru-RU"/>
        </w:rPr>
        <w:t>(</w:t>
      </w:r>
      <w:r w:rsidRPr="00F078DD">
        <w:t>о</w:t>
      </w:r>
      <w:r w:rsidRPr="00F078DD">
        <w:rPr>
          <w:lang w:val="ru-RU"/>
        </w:rPr>
        <w:t xml:space="preserve">т тях </w:t>
      </w:r>
      <w:r w:rsidRPr="00F078DD">
        <w:t>0</w:t>
      </w:r>
      <w:r w:rsidRPr="00F078DD">
        <w:rPr>
          <w:lang w:val="ru-RU"/>
        </w:rPr>
        <w:t xml:space="preserve">,7 млн. лв. са лихвите </w:t>
      </w:r>
      <w:r w:rsidRPr="00F078DD">
        <w:t xml:space="preserve">по </w:t>
      </w:r>
      <w:r w:rsidRPr="00F078DD">
        <w:rPr>
          <w:lang w:val="ru-RU"/>
        </w:rPr>
        <w:t>заемите с краен бенефициент - търговско дружество)</w:t>
      </w:r>
      <w:r w:rsidRPr="00F078DD">
        <w:t xml:space="preserve">. </w:t>
      </w:r>
    </w:p>
    <w:p w:rsidR="006E2A14" w:rsidRPr="006D671F" w:rsidRDefault="006E2A14" w:rsidP="006E2A14">
      <w:pPr>
        <w:spacing w:after="120"/>
        <w:jc w:val="both"/>
        <w:rPr>
          <w:b/>
        </w:rPr>
      </w:pPr>
      <w:r w:rsidRPr="006D671F">
        <w:t>През отчетния период не са използвани средства за покриване на риска от активиране на държавни гаранции.</w:t>
      </w:r>
      <w:r w:rsidRPr="006D671F">
        <w:rPr>
          <w:b/>
        </w:rPr>
        <w:t xml:space="preserve"> </w:t>
      </w:r>
    </w:p>
    <w:p w:rsidR="006E2A14" w:rsidRPr="006D671F" w:rsidRDefault="006E2A14" w:rsidP="006E2A14">
      <w:pPr>
        <w:spacing w:after="60"/>
        <w:jc w:val="both"/>
      </w:pPr>
      <w:r w:rsidRPr="006D671F">
        <w:rPr>
          <w:b/>
        </w:rPr>
        <w:t>Лихвите по вътрешни заеми</w:t>
      </w:r>
      <w:r w:rsidRPr="006D671F">
        <w:t xml:space="preserve"> по държавния бюджет </w:t>
      </w:r>
      <w:r w:rsidRPr="006D671F">
        <w:rPr>
          <w:bCs/>
        </w:rPr>
        <w:t>към септември 2023</w:t>
      </w:r>
      <w:r w:rsidRPr="006D671F">
        <w:t xml:space="preserve"> г. са в размер на </w:t>
      </w:r>
      <w:r w:rsidRPr="004F1A71">
        <w:rPr>
          <w:b/>
          <w:lang w:val="ru-RU"/>
        </w:rPr>
        <w:t>106,3</w:t>
      </w:r>
      <w:r w:rsidRPr="004F1A71">
        <w:rPr>
          <w:b/>
        </w:rPr>
        <w:t> млн. лв</w:t>
      </w:r>
      <w:r w:rsidRPr="006D671F">
        <w:rPr>
          <w:b/>
        </w:rPr>
        <w:t>.</w:t>
      </w:r>
      <w:r w:rsidRPr="006D671F">
        <w:t xml:space="preserve"> и представляват основно лихви по емисии на ДЦК на вътрешния пазар. </w:t>
      </w:r>
    </w:p>
    <w:p w:rsidR="006E2A14" w:rsidRPr="006E2A14" w:rsidRDefault="006E2A14" w:rsidP="006E2A14">
      <w:pPr>
        <w:pStyle w:val="ListParagraph"/>
        <w:numPr>
          <w:ilvl w:val="0"/>
          <w:numId w:val="22"/>
        </w:numPr>
        <w:tabs>
          <w:tab w:val="left" w:pos="426"/>
        </w:tabs>
        <w:spacing w:before="120" w:after="60" w:line="240" w:lineRule="auto"/>
        <w:ind w:left="0" w:firstLine="0"/>
        <w:contextualSpacing w:val="0"/>
        <w:rPr>
          <w:rFonts w:ascii="Times New Roman" w:hAnsi="Times New Roman"/>
          <w:b/>
          <w:bCs/>
        </w:rPr>
      </w:pPr>
      <w:r w:rsidRPr="006E2A14">
        <w:rPr>
          <w:rFonts w:ascii="Times New Roman" w:hAnsi="Times New Roman"/>
          <w:b/>
          <w:bCs/>
        </w:rPr>
        <w:t>Нетният размер на трансферите по държавния бюджет</w:t>
      </w:r>
      <w:r w:rsidRPr="006E2A14">
        <w:rPr>
          <w:rFonts w:ascii="Times New Roman" w:hAnsi="Times New Roman"/>
          <w:bCs/>
        </w:rPr>
        <w:t xml:space="preserve">  към септември 2023</w:t>
      </w:r>
      <w:r w:rsidRPr="006E2A14">
        <w:rPr>
          <w:rFonts w:ascii="Times New Roman" w:hAnsi="Times New Roman"/>
        </w:rPr>
        <w:t xml:space="preserve"> г.</w:t>
      </w:r>
      <w:r w:rsidRPr="006E2A14">
        <w:rPr>
          <w:rFonts w:ascii="Times New Roman" w:hAnsi="Times New Roman"/>
          <w:bCs/>
        </w:rPr>
        <w:t xml:space="preserve"> е</w:t>
      </w:r>
      <w:r w:rsidRPr="006E2A14">
        <w:rPr>
          <w:rFonts w:ascii="Times New Roman" w:hAnsi="Times New Roman"/>
          <w:b/>
          <w:bCs/>
        </w:rPr>
        <w:t xml:space="preserve"> 16 753,9</w:t>
      </w:r>
      <w:r w:rsidRPr="006E2A14">
        <w:rPr>
          <w:rFonts w:ascii="Times New Roman" w:eastAsia="Calibri" w:hAnsi="Times New Roman"/>
          <w:b/>
        </w:rPr>
        <w:t> </w:t>
      </w:r>
      <w:r w:rsidRPr="006E2A14">
        <w:rPr>
          <w:rFonts w:ascii="Times New Roman" w:hAnsi="Times New Roman"/>
          <w:b/>
          <w:bCs/>
        </w:rPr>
        <w:t xml:space="preserve">млн. лв.,  </w:t>
      </w:r>
      <w:r w:rsidRPr="006E2A14">
        <w:rPr>
          <w:rFonts w:ascii="Times New Roman" w:hAnsi="Times New Roman"/>
          <w:bCs/>
        </w:rPr>
        <w:t>в т.ч.:</w:t>
      </w:r>
      <w:r w:rsidRPr="006E2A14">
        <w:rPr>
          <w:rFonts w:ascii="Times New Roman" w:hAnsi="Times New Roman"/>
          <w:b/>
          <w:bCs/>
        </w:rPr>
        <w:t xml:space="preserve"> </w:t>
      </w:r>
    </w:p>
    <w:p w:rsidR="001F4FD4" w:rsidRPr="00BE4566" w:rsidRDefault="001F4FD4" w:rsidP="001F4FD4">
      <w:pPr>
        <w:numPr>
          <w:ilvl w:val="0"/>
          <w:numId w:val="18"/>
        </w:numPr>
        <w:tabs>
          <w:tab w:val="clear" w:pos="700"/>
          <w:tab w:val="left" w:pos="180"/>
          <w:tab w:val="num" w:pos="540"/>
          <w:tab w:val="num" w:pos="1495"/>
          <w:tab w:val="num" w:pos="9858"/>
        </w:tabs>
        <w:ind w:left="538" w:hanging="357"/>
        <w:jc w:val="both"/>
      </w:pPr>
      <w:r w:rsidRPr="00BE4566">
        <w:t>бюджетните  взаимоотношения  с  общините  включват  нето трансфери  и временни безлихвени заеми в  размер  на 6 004,3 млн. лв.,</w:t>
      </w:r>
      <w:r w:rsidRPr="00BE4566">
        <w:rPr>
          <w:lang w:val="ru-RU"/>
        </w:rPr>
        <w:t xml:space="preserve"> </w:t>
      </w:r>
      <w:r w:rsidRPr="00BE4566">
        <w:t>от които субсидии от централния бюджет в размер на 5</w:t>
      </w:r>
      <w:r>
        <w:t> 050,3</w:t>
      </w:r>
      <w:r w:rsidRPr="00BE4566">
        <w:t xml:space="preserve"> млн. лв., други целеви трансфери от централния бюджет в размер на 409,7 млн. лв., нетни трансфери от/за други бюджети в размер на 555,7 млн. лв. и възстановени трансфери от предходни години в централния бюджет – 11,</w:t>
      </w:r>
      <w:r>
        <w:t>5</w:t>
      </w:r>
      <w:r w:rsidRPr="00BE4566">
        <w:t xml:space="preserve"> млн. лева;</w:t>
      </w:r>
    </w:p>
    <w:p w:rsidR="001F4FD4" w:rsidRPr="00A26A3A" w:rsidRDefault="001F4FD4" w:rsidP="001F4FD4">
      <w:pPr>
        <w:numPr>
          <w:ilvl w:val="0"/>
          <w:numId w:val="18"/>
        </w:numPr>
        <w:tabs>
          <w:tab w:val="clear" w:pos="700"/>
          <w:tab w:val="left" w:pos="180"/>
          <w:tab w:val="num" w:pos="540"/>
          <w:tab w:val="num" w:pos="1495"/>
          <w:tab w:val="num" w:pos="9858"/>
        </w:tabs>
        <w:ind w:left="538" w:hanging="357"/>
        <w:jc w:val="both"/>
      </w:pPr>
      <w:r w:rsidRPr="00A26A3A">
        <w:t xml:space="preserve">на </w:t>
      </w:r>
      <w:proofErr w:type="spellStart"/>
      <w:r w:rsidRPr="00A26A3A">
        <w:t>социалноосигурителните</w:t>
      </w:r>
      <w:proofErr w:type="spellEnd"/>
      <w:r w:rsidRPr="00A26A3A">
        <w:t xml:space="preserve"> фондове (нето) – 9 392,</w:t>
      </w:r>
      <w:r>
        <w:t>7</w:t>
      </w:r>
      <w:r w:rsidRPr="00A26A3A">
        <w:t xml:space="preserve"> млн. лв., което представлява 70,7 % от годишния разчет;</w:t>
      </w:r>
    </w:p>
    <w:p w:rsidR="001F4FD4" w:rsidRPr="00A26A3A" w:rsidRDefault="001F4FD4" w:rsidP="001F4FD4">
      <w:pPr>
        <w:numPr>
          <w:ilvl w:val="0"/>
          <w:numId w:val="18"/>
        </w:numPr>
        <w:tabs>
          <w:tab w:val="clear" w:pos="700"/>
          <w:tab w:val="left" w:pos="180"/>
          <w:tab w:val="num" w:pos="540"/>
          <w:tab w:val="num" w:pos="1495"/>
          <w:tab w:val="num" w:pos="9858"/>
        </w:tabs>
        <w:ind w:left="538" w:hanging="357"/>
        <w:jc w:val="both"/>
      </w:pPr>
      <w:r w:rsidRPr="00A26A3A">
        <w:t>на други автономни бюджети (ДВУ, БАН, ССА, БНТ, БНР и БТА) – 831,4 млн. лв., 74,5 % от годишния разчет</w:t>
      </w:r>
    </w:p>
    <w:p w:rsidR="006E2A14" w:rsidRPr="00C30683" w:rsidRDefault="006E2A14" w:rsidP="006E2A14">
      <w:pPr>
        <w:numPr>
          <w:ilvl w:val="0"/>
          <w:numId w:val="6"/>
        </w:numPr>
        <w:tabs>
          <w:tab w:val="clear" w:pos="7650"/>
          <w:tab w:val="left" w:pos="426"/>
        </w:tabs>
        <w:spacing w:before="120"/>
        <w:ind w:left="0" w:firstLine="0"/>
        <w:jc w:val="both"/>
        <w:rPr>
          <w:bCs/>
        </w:rPr>
      </w:pPr>
      <w:r w:rsidRPr="00C30683">
        <w:t>Частта от</w:t>
      </w:r>
      <w:r w:rsidRPr="00C30683">
        <w:rPr>
          <w:b/>
        </w:rPr>
        <w:t xml:space="preserve"> вноската на Република България в общия бюджет на ЕС, </w:t>
      </w:r>
      <w:r w:rsidRPr="00C30683">
        <w:t>изплатена към 30.09.2023 г. от централния бюджет, възлиза на</w:t>
      </w:r>
      <w:r w:rsidRPr="00C30683">
        <w:rPr>
          <w:b/>
        </w:rPr>
        <w:t xml:space="preserve"> 1 252,1 млн. лева.</w:t>
      </w:r>
      <w:r w:rsidRPr="00C30683">
        <w:t xml:space="preserve"> </w:t>
      </w:r>
    </w:p>
    <w:p w:rsidR="006E2A14" w:rsidRPr="007A2471" w:rsidRDefault="006E2A14" w:rsidP="006E2A14">
      <w:pPr>
        <w:numPr>
          <w:ilvl w:val="0"/>
          <w:numId w:val="6"/>
        </w:numPr>
        <w:tabs>
          <w:tab w:val="clear" w:pos="7650"/>
          <w:tab w:val="num" w:pos="426"/>
        </w:tabs>
        <w:spacing w:before="240" w:after="240"/>
        <w:ind w:left="0" w:firstLine="0"/>
        <w:jc w:val="both"/>
        <w:rPr>
          <w:sz w:val="16"/>
          <w:szCs w:val="16"/>
        </w:rPr>
      </w:pPr>
      <w:r w:rsidRPr="007A2471">
        <w:rPr>
          <w:b/>
        </w:rPr>
        <w:t>Бюджетното салдо по държавния бюджет</w:t>
      </w:r>
      <w:r w:rsidRPr="007A2471">
        <w:t xml:space="preserve"> към </w:t>
      </w:r>
      <w:r w:rsidRPr="007A2471">
        <w:rPr>
          <w:lang w:val="ru-RU"/>
        </w:rPr>
        <w:t>30.09.2023</w:t>
      </w:r>
      <w:r w:rsidRPr="007A2471">
        <w:t xml:space="preserve"> г. </w:t>
      </w:r>
      <w:r w:rsidRPr="007A2471">
        <w:rPr>
          <w:b/>
        </w:rPr>
        <w:t>е отрицателно</w:t>
      </w:r>
      <w:r w:rsidRPr="007A2471">
        <w:t xml:space="preserve"> в размер на </w:t>
      </w:r>
      <w:r w:rsidRPr="007A2471">
        <w:rPr>
          <w:b/>
        </w:rPr>
        <w:t>1 563,9 млн. лева</w:t>
      </w:r>
      <w:r w:rsidRPr="007A2471">
        <w:t xml:space="preserve">. </w:t>
      </w:r>
    </w:p>
    <w:p w:rsidR="006E2A14" w:rsidRPr="00197430" w:rsidRDefault="006E2A14" w:rsidP="006E2A14">
      <w:pPr>
        <w:numPr>
          <w:ilvl w:val="0"/>
          <w:numId w:val="6"/>
        </w:numPr>
        <w:tabs>
          <w:tab w:val="clear" w:pos="7650"/>
          <w:tab w:val="num" w:pos="426"/>
        </w:tabs>
        <w:spacing w:before="240" w:after="240"/>
        <w:ind w:left="0" w:firstLine="0"/>
        <w:jc w:val="both"/>
        <w:rPr>
          <w:b/>
        </w:rPr>
      </w:pPr>
      <w:r w:rsidRPr="00197430">
        <w:rPr>
          <w:b/>
        </w:rPr>
        <w:t>Финансиране на бюджета чрез операции по дълга</w:t>
      </w:r>
    </w:p>
    <w:p w:rsidR="0058712F" w:rsidRPr="008C16AC" w:rsidRDefault="0058712F" w:rsidP="0058712F">
      <w:pPr>
        <w:spacing w:after="120"/>
        <w:jc w:val="both"/>
      </w:pPr>
      <w:r w:rsidRPr="008C16AC">
        <w:t>Към 30.09.2023 г. е отчетено положително нетно външно финансиране по централния бюджет в размер на 601,0 млн. лева.</w:t>
      </w:r>
    </w:p>
    <w:p w:rsidR="0058712F" w:rsidRPr="008C16AC" w:rsidRDefault="0058712F" w:rsidP="0058712F">
      <w:pPr>
        <w:spacing w:after="120"/>
        <w:jc w:val="both"/>
      </w:pPr>
      <w:r w:rsidRPr="008C16AC">
        <w:rPr>
          <w:b/>
        </w:rPr>
        <w:t>Постъпленията по централния бюджет</w:t>
      </w:r>
      <w:r w:rsidRPr="008C16AC">
        <w:t xml:space="preserve"> възлизат на 2 869,6 млн. лв. - на 23.01.2023 г. постъпиха средствата от емитирания единичен транш - 10-годишни </w:t>
      </w:r>
      <w:proofErr w:type="spellStart"/>
      <w:r w:rsidRPr="008C16AC">
        <w:t>еврови</w:t>
      </w:r>
      <w:proofErr w:type="spellEnd"/>
      <w:r w:rsidRPr="008C16AC">
        <w:t xml:space="preserve"> облигации по Средносрочната глобална програма за емитиране на дълг в размер от 1,5 млрд. евро номинална стойност, при лихвен купон 4,5 % и доходност 4,78</w:t>
      </w:r>
      <w:r w:rsidRPr="008C16AC">
        <w:rPr>
          <w:lang w:val="ru-RU"/>
        </w:rPr>
        <w:t xml:space="preserve"> %</w:t>
      </w:r>
      <w:r w:rsidRPr="008C16AC">
        <w:t>.</w:t>
      </w:r>
    </w:p>
    <w:p w:rsidR="0058712F" w:rsidRPr="00B0519D" w:rsidRDefault="0058712F" w:rsidP="0058712F">
      <w:pPr>
        <w:spacing w:after="120"/>
        <w:jc w:val="both"/>
      </w:pPr>
      <w:r w:rsidRPr="00B0519D">
        <w:rPr>
          <w:b/>
        </w:rPr>
        <w:t>Извършените погашения от централен бюджет възлизат на</w:t>
      </w:r>
      <w:r w:rsidRPr="00B0519D">
        <w:t xml:space="preserve"> </w:t>
      </w:r>
      <w:r w:rsidRPr="00B0519D">
        <w:rPr>
          <w:b/>
        </w:rPr>
        <w:t xml:space="preserve">2 268,7 млн. лв. </w:t>
      </w:r>
      <w:r w:rsidRPr="00B0519D">
        <w:t>(главница),</w:t>
      </w:r>
      <w:r w:rsidRPr="00B0519D">
        <w:rPr>
          <w:b/>
        </w:rPr>
        <w:t xml:space="preserve"> </w:t>
      </w:r>
      <w:r w:rsidRPr="00B0519D">
        <w:t>като на 21 март са изплатени 1 144 млн. евро (2 237,5 млн. лв.) номинална стойност в полза на държателите на седемгодишни еврооблигации на Република България, които са част от емитираните през март 2016 г. на международните капиталови пазари два транша облигации по средносрочната програма за емитиране на дълг на външните пазари; 71,6 млн. лв. са погашенията към международни финансови институции (29,8 млн. лв. към Международната банка за възстановяване и развитие, 32,1 млн. лв. към Европейска инвестиционна банка и 9,8 млн. лв. към Банка за развитие на Съвета на Европа).</w:t>
      </w:r>
    </w:p>
    <w:p w:rsidR="0058712F" w:rsidRPr="00724004" w:rsidRDefault="0058712F" w:rsidP="0058712F">
      <w:pPr>
        <w:spacing w:before="120" w:after="120"/>
        <w:jc w:val="both"/>
      </w:pPr>
      <w:r w:rsidRPr="00724004">
        <w:t xml:space="preserve">По </w:t>
      </w:r>
      <w:r w:rsidRPr="00724004">
        <w:rPr>
          <w:b/>
        </w:rPr>
        <w:t xml:space="preserve">държавните инвестиционни заеми </w:t>
      </w:r>
      <w:r w:rsidRPr="00724004">
        <w:t xml:space="preserve">(ДИЗ), управлявани от министерства и ведомства, през отчетния период няма </w:t>
      </w:r>
      <w:r w:rsidRPr="00724004">
        <w:rPr>
          <w:b/>
          <w:i/>
        </w:rPr>
        <w:t>усвоени</w:t>
      </w:r>
      <w:r w:rsidRPr="00724004">
        <w:t xml:space="preserve"> средства. </w:t>
      </w:r>
    </w:p>
    <w:p w:rsidR="0058712F" w:rsidRPr="00F17869" w:rsidRDefault="0058712F" w:rsidP="0058712F">
      <w:pPr>
        <w:spacing w:after="120"/>
        <w:jc w:val="both"/>
      </w:pPr>
      <w:r w:rsidRPr="00F17869">
        <w:rPr>
          <w:b/>
          <w:i/>
        </w:rPr>
        <w:t>Изплатените погашения</w:t>
      </w:r>
      <w:r w:rsidRPr="00F17869">
        <w:t xml:space="preserve"> по ДИЗ, управлявани от министерства и ведомства, са в размер на </w:t>
      </w:r>
      <w:r>
        <w:rPr>
          <w:b/>
          <w:lang w:val="en-US"/>
        </w:rPr>
        <w:t>68</w:t>
      </w:r>
      <w:r>
        <w:rPr>
          <w:b/>
        </w:rPr>
        <w:t>,1</w:t>
      </w:r>
      <w:r w:rsidR="00623CD9">
        <w:rPr>
          <w:b/>
        </w:rPr>
        <w:t> </w:t>
      </w:r>
      <w:r w:rsidRPr="00F17869">
        <w:rPr>
          <w:b/>
        </w:rPr>
        <w:t>млн. лв.</w:t>
      </w:r>
      <w:r w:rsidRPr="00F17869">
        <w:t xml:space="preserve"> По заемите с краен бенефициент търговско дружество извършените погашения са в размер на </w:t>
      </w:r>
      <w:r>
        <w:rPr>
          <w:lang w:val="ru-RU"/>
        </w:rPr>
        <w:t>5,2</w:t>
      </w:r>
      <w:r w:rsidRPr="00F17869">
        <w:t xml:space="preserve"> млн. лева. </w:t>
      </w:r>
    </w:p>
    <w:p w:rsidR="0058712F" w:rsidRPr="00C91ACD" w:rsidRDefault="0058712F" w:rsidP="0058712F">
      <w:pPr>
        <w:spacing w:after="120"/>
        <w:jc w:val="both"/>
      </w:pPr>
      <w:r w:rsidRPr="00C91ACD">
        <w:t>Не са използвани средства, предвидени за покриване на риска от активиране на държавни гаранции.</w:t>
      </w:r>
    </w:p>
    <w:p w:rsidR="0058712F" w:rsidRPr="004C40EA" w:rsidRDefault="0058712F" w:rsidP="0058712F">
      <w:pPr>
        <w:spacing w:after="60"/>
        <w:jc w:val="both"/>
      </w:pPr>
      <w:r w:rsidRPr="004C40EA">
        <w:t xml:space="preserve">Операции с </w:t>
      </w:r>
      <w:r w:rsidRPr="004C40EA">
        <w:rPr>
          <w:b/>
        </w:rPr>
        <w:t xml:space="preserve">държавни ценни книжа </w:t>
      </w:r>
      <w:r w:rsidRPr="004C40EA">
        <w:t xml:space="preserve">по централния бюджет </w:t>
      </w:r>
      <w:r w:rsidRPr="004C40EA">
        <w:rPr>
          <w:b/>
        </w:rPr>
        <w:t>(позиция във вътрешното финансиране):</w:t>
      </w:r>
      <w:r w:rsidRPr="004C40EA">
        <w:t xml:space="preserve"> Към 30</w:t>
      </w:r>
      <w:r w:rsidRPr="004C40EA">
        <w:rPr>
          <w:lang w:val="ru-RU"/>
        </w:rPr>
        <w:t xml:space="preserve"> </w:t>
      </w:r>
      <w:r w:rsidRPr="004C40EA">
        <w:t xml:space="preserve">септември 2023 г. е отчетено отрицателно нетно вътрешно финансиране на държавния бюджет с ДЦК в размер на 350 млн. лв., което се дължи на извършените погашения по вътрешния дълг през м. юли на емисия 10,5-годишни ДЦК от 2013 г. в обем от 350 млн. лв. номинална стойност без провеждане </w:t>
      </w:r>
      <w:proofErr w:type="spellStart"/>
      <w:r w:rsidRPr="004C40EA">
        <w:t>аукциони</w:t>
      </w:r>
      <w:proofErr w:type="spellEnd"/>
      <w:r w:rsidRPr="004C40EA">
        <w:t xml:space="preserve"> на емисии ДЦК за финансиране на бюджета, респективно няма постъпления от емисии на ДЦК на вътрешния пазар.</w:t>
      </w:r>
    </w:p>
    <w:p w:rsidR="0004753C" w:rsidRPr="00EC0BAA" w:rsidRDefault="0004753C" w:rsidP="00ED2B9A">
      <w:pPr>
        <w:pStyle w:val="Heading1"/>
        <w:numPr>
          <w:ilvl w:val="1"/>
          <w:numId w:val="9"/>
        </w:numPr>
        <w:spacing w:before="240" w:after="120"/>
        <w:ind w:right="-108" w:hanging="357"/>
        <w:jc w:val="both"/>
        <w:rPr>
          <w:sz w:val="24"/>
        </w:rPr>
      </w:pPr>
      <w:r w:rsidRPr="00EC0BAA">
        <w:rPr>
          <w:sz w:val="24"/>
        </w:rPr>
        <w:t>Бюджет на съдебната власт</w:t>
      </w:r>
    </w:p>
    <w:p w:rsidR="002763DB" w:rsidRPr="0059164A" w:rsidRDefault="002763DB" w:rsidP="00B5493B">
      <w:pPr>
        <w:jc w:val="both"/>
        <w:rPr>
          <w:color w:val="0070C0"/>
        </w:rPr>
      </w:pPr>
      <w:r w:rsidRPr="00976EDA">
        <w:t xml:space="preserve">За </w:t>
      </w:r>
      <w:r w:rsidR="00976EDA" w:rsidRPr="00914882">
        <w:t>деветмесечието</w:t>
      </w:r>
      <w:r w:rsidR="00337851" w:rsidRPr="00914882">
        <w:t xml:space="preserve"> </w:t>
      </w:r>
      <w:r w:rsidRPr="00914882">
        <w:t>на 202</w:t>
      </w:r>
      <w:r w:rsidR="00337851" w:rsidRPr="00914882">
        <w:t>3</w:t>
      </w:r>
      <w:r w:rsidRPr="00914882">
        <w:t xml:space="preserve"> г.</w:t>
      </w:r>
      <w:r w:rsidR="00337851" w:rsidRPr="00914882">
        <w:t xml:space="preserve"> по бюджета на съдебната власт</w:t>
      </w:r>
      <w:r w:rsidRPr="00914882">
        <w:t xml:space="preserve"> са отчетени </w:t>
      </w:r>
      <w:r w:rsidRPr="00914882">
        <w:rPr>
          <w:b/>
        </w:rPr>
        <w:t>приходи</w:t>
      </w:r>
      <w:r w:rsidRPr="00914882">
        <w:t xml:space="preserve"> в размер на </w:t>
      </w:r>
      <w:r w:rsidR="00914882" w:rsidRPr="000D46FF">
        <w:t>70,7</w:t>
      </w:r>
      <w:r w:rsidRPr="000D46FF">
        <w:t xml:space="preserve"> млн</w:t>
      </w:r>
      <w:r w:rsidR="00337851" w:rsidRPr="000D46FF">
        <w:t>. лв.</w:t>
      </w:r>
      <w:r w:rsidRPr="000D46FF">
        <w:t xml:space="preserve">, от които </w:t>
      </w:r>
      <w:r w:rsidR="00914882" w:rsidRPr="000D46FF">
        <w:t>59,2</w:t>
      </w:r>
      <w:r w:rsidR="00074744" w:rsidRPr="000D46FF">
        <w:t> </w:t>
      </w:r>
      <w:r w:rsidRPr="000D46FF">
        <w:t xml:space="preserve">млн. лв. - приходи от съдебни такси. За сравнение, към </w:t>
      </w:r>
      <w:r w:rsidR="00074744" w:rsidRPr="000D46FF">
        <w:t>3</w:t>
      </w:r>
      <w:r w:rsidR="002C12D9" w:rsidRPr="000D46FF">
        <w:t>0</w:t>
      </w:r>
      <w:r w:rsidRPr="000D46FF">
        <w:t>.</w:t>
      </w:r>
      <w:r w:rsidR="00074744" w:rsidRPr="000D46FF">
        <w:t>0</w:t>
      </w:r>
      <w:r w:rsidR="000D46FF" w:rsidRPr="000D46FF">
        <w:t>9</w:t>
      </w:r>
      <w:r w:rsidRPr="000D46FF">
        <w:t>.202</w:t>
      </w:r>
      <w:r w:rsidR="00337851" w:rsidRPr="000D46FF">
        <w:t>2 </w:t>
      </w:r>
      <w:r w:rsidRPr="000D46FF">
        <w:t xml:space="preserve">г. са отчетени общо приходи в размер на </w:t>
      </w:r>
      <w:r w:rsidR="000D46FF" w:rsidRPr="000D46FF">
        <w:t>77,1</w:t>
      </w:r>
      <w:r w:rsidR="00337851" w:rsidRPr="000D46FF">
        <w:t xml:space="preserve"> млн. лв.</w:t>
      </w:r>
      <w:r w:rsidRPr="000D46FF">
        <w:t xml:space="preserve">, от които </w:t>
      </w:r>
      <w:r w:rsidR="000D46FF" w:rsidRPr="000D46FF">
        <w:t>66,4</w:t>
      </w:r>
      <w:r w:rsidRPr="000D46FF">
        <w:t xml:space="preserve"> млн. лв. - приходи от съдебни такси.</w:t>
      </w:r>
    </w:p>
    <w:p w:rsidR="002763DB" w:rsidRPr="00460959" w:rsidRDefault="002763DB" w:rsidP="00B5493B">
      <w:pPr>
        <w:tabs>
          <w:tab w:val="left" w:pos="90"/>
        </w:tabs>
        <w:spacing w:before="120"/>
        <w:jc w:val="both"/>
      </w:pPr>
      <w:r w:rsidRPr="00246916">
        <w:rPr>
          <w:b/>
        </w:rPr>
        <w:t xml:space="preserve">Разходите </w:t>
      </w:r>
      <w:r w:rsidRPr="00246916">
        <w:t>по бюджета на съдебната власт</w:t>
      </w:r>
      <w:r w:rsidRPr="00246916">
        <w:rPr>
          <w:b/>
        </w:rPr>
        <w:t xml:space="preserve"> </w:t>
      </w:r>
      <w:r w:rsidRPr="00246916">
        <w:t xml:space="preserve">към </w:t>
      </w:r>
      <w:r w:rsidR="00074744" w:rsidRPr="00246916">
        <w:t>3</w:t>
      </w:r>
      <w:r w:rsidR="002C12D9" w:rsidRPr="00246916">
        <w:t>0</w:t>
      </w:r>
      <w:r w:rsidRPr="00246916">
        <w:t>.</w:t>
      </w:r>
      <w:r w:rsidR="00074744" w:rsidRPr="00246916">
        <w:t>0</w:t>
      </w:r>
      <w:r w:rsidR="00246916" w:rsidRPr="00246916">
        <w:t>9</w:t>
      </w:r>
      <w:r w:rsidRPr="00246916">
        <w:t>.202</w:t>
      </w:r>
      <w:r w:rsidR="00337851" w:rsidRPr="00246916">
        <w:t>3</w:t>
      </w:r>
      <w:r w:rsidRPr="00246916">
        <w:t xml:space="preserve"> г.</w:t>
      </w:r>
      <w:r w:rsidRPr="00246916">
        <w:rPr>
          <w:b/>
        </w:rPr>
        <w:t xml:space="preserve"> </w:t>
      </w:r>
      <w:r w:rsidRPr="00246916">
        <w:t xml:space="preserve">са в размер на </w:t>
      </w:r>
      <w:r w:rsidR="00246916" w:rsidRPr="00246916">
        <w:t>731,8</w:t>
      </w:r>
      <w:r w:rsidRPr="00246916">
        <w:t xml:space="preserve"> млн. лв.</w:t>
      </w:r>
      <w:r w:rsidR="00337851" w:rsidRPr="00246916">
        <w:t>,</w:t>
      </w:r>
      <w:r w:rsidRPr="00246916">
        <w:t xml:space="preserve"> </w:t>
      </w:r>
      <w:r w:rsidR="00337851" w:rsidRPr="00246916">
        <w:t xml:space="preserve">като с най-голям относителен дял от отчетените разходи са тези за персонал </w:t>
      </w:r>
      <w:r w:rsidR="001C0277" w:rsidRPr="00246916">
        <w:t>– 9</w:t>
      </w:r>
      <w:r w:rsidR="00246916" w:rsidRPr="00246916">
        <w:t>1</w:t>
      </w:r>
      <w:r w:rsidR="001C0277" w:rsidRPr="00246916">
        <w:t>,5 % (</w:t>
      </w:r>
      <w:r w:rsidR="00246916" w:rsidRPr="00246916">
        <w:t>669,3</w:t>
      </w:r>
      <w:r w:rsidR="00337851" w:rsidRPr="00246916">
        <w:t xml:space="preserve"> млн. лв.). </w:t>
      </w:r>
      <w:r w:rsidRPr="00460959">
        <w:t>За сравнение, през същия период на 202</w:t>
      </w:r>
      <w:r w:rsidR="00337851" w:rsidRPr="00460959">
        <w:t>2</w:t>
      </w:r>
      <w:r w:rsidRPr="00460959">
        <w:t xml:space="preserve"> г. са отчетени </w:t>
      </w:r>
      <w:r w:rsidR="001C0277" w:rsidRPr="00460959">
        <w:t xml:space="preserve">общо </w:t>
      </w:r>
      <w:r w:rsidRPr="00460959">
        <w:t xml:space="preserve">разходи в размер </w:t>
      </w:r>
      <w:r w:rsidR="00460959" w:rsidRPr="00460959">
        <w:t>705,2</w:t>
      </w:r>
      <w:r w:rsidRPr="00460959">
        <w:t xml:space="preserve"> млн. л</w:t>
      </w:r>
      <w:r w:rsidR="00D7249D" w:rsidRPr="00460959">
        <w:t>е</w:t>
      </w:r>
      <w:r w:rsidRPr="00460959">
        <w:t>в</w:t>
      </w:r>
      <w:r w:rsidR="00D7249D" w:rsidRPr="00460959">
        <w:t>а</w:t>
      </w:r>
      <w:r w:rsidRPr="00460959">
        <w:t>.</w:t>
      </w:r>
    </w:p>
    <w:p w:rsidR="00F521AA" w:rsidRPr="00FF2A98" w:rsidRDefault="00F521AA" w:rsidP="00ED2B9A">
      <w:pPr>
        <w:pStyle w:val="Heading1"/>
        <w:numPr>
          <w:ilvl w:val="0"/>
          <w:numId w:val="9"/>
        </w:numPr>
        <w:tabs>
          <w:tab w:val="left" w:pos="90"/>
          <w:tab w:val="left" w:pos="993"/>
        </w:tabs>
        <w:spacing w:before="240" w:after="120"/>
        <w:ind w:left="0" w:right="-108" w:firstLine="567"/>
        <w:jc w:val="both"/>
        <w:rPr>
          <w:sz w:val="24"/>
        </w:rPr>
      </w:pPr>
      <w:r w:rsidRPr="00FF2A98">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FF2A98" w:rsidRDefault="00F521AA" w:rsidP="00F34210">
      <w:pPr>
        <w:pStyle w:val="Heading1"/>
        <w:numPr>
          <w:ilvl w:val="1"/>
          <w:numId w:val="9"/>
        </w:numPr>
        <w:tabs>
          <w:tab w:val="left" w:pos="90"/>
          <w:tab w:val="left" w:pos="993"/>
        </w:tabs>
        <w:spacing w:before="120" w:after="120"/>
        <w:ind w:left="0" w:right="-108" w:firstLine="567"/>
        <w:jc w:val="both"/>
        <w:rPr>
          <w:sz w:val="24"/>
        </w:rPr>
      </w:pPr>
      <w:r w:rsidRPr="00FF2A98">
        <w:rPr>
          <w:sz w:val="24"/>
        </w:rPr>
        <w:t xml:space="preserve"> Сметка за Европейски средства на Разплащателна агенция </w:t>
      </w:r>
      <w:r w:rsidR="00924745" w:rsidRPr="00FF2A98">
        <w:rPr>
          <w:sz w:val="24"/>
        </w:rPr>
        <w:t xml:space="preserve">ДФ „Земеделие“ </w:t>
      </w:r>
      <w:r w:rsidRPr="00FF2A98">
        <w:rPr>
          <w:sz w:val="24"/>
        </w:rPr>
        <w:t xml:space="preserve"> </w:t>
      </w:r>
    </w:p>
    <w:p w:rsidR="00063CF1" w:rsidRPr="00FF2A98" w:rsidRDefault="00063CF1" w:rsidP="00B95D0F">
      <w:pPr>
        <w:numPr>
          <w:ilvl w:val="0"/>
          <w:numId w:val="20"/>
        </w:numPr>
        <w:tabs>
          <w:tab w:val="left" w:pos="90"/>
          <w:tab w:val="num" w:pos="540"/>
        </w:tabs>
        <w:spacing w:before="120" w:after="120" w:line="276" w:lineRule="auto"/>
        <w:ind w:left="0" w:firstLine="567"/>
        <w:contextualSpacing/>
        <w:jc w:val="both"/>
        <w:rPr>
          <w:b/>
          <w:lang w:eastAsia="bg-BG"/>
        </w:rPr>
      </w:pPr>
      <w:r w:rsidRPr="00FF2A98">
        <w:rPr>
          <w:b/>
          <w:lang w:eastAsia="bg-BG"/>
        </w:rPr>
        <w:t>Приходи</w:t>
      </w:r>
    </w:p>
    <w:p w:rsidR="00EB292B" w:rsidRPr="00D440D1" w:rsidRDefault="00EB292B" w:rsidP="00EB292B">
      <w:pPr>
        <w:ind w:firstLine="567"/>
        <w:jc w:val="both"/>
      </w:pPr>
      <w:r w:rsidRPr="00D440D1">
        <w:t>За 2023</w:t>
      </w:r>
      <w:r>
        <w:t xml:space="preserve"> </w:t>
      </w:r>
      <w:r w:rsidRPr="00D440D1">
        <w:t>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523,2</w:t>
      </w:r>
      <w:r w:rsidR="00FB7F03">
        <w:t> </w:t>
      </w:r>
      <w:r w:rsidRPr="00D440D1">
        <w:t>млн.</w:t>
      </w:r>
      <w:r>
        <w:t> </w:t>
      </w:r>
      <w:r w:rsidRPr="00D440D1">
        <w:t>л</w:t>
      </w:r>
      <w:r>
        <w:t>е</w:t>
      </w:r>
      <w:r w:rsidRPr="00D440D1">
        <w:t>в</w:t>
      </w:r>
      <w:r>
        <w:t>а</w:t>
      </w:r>
      <w:r w:rsidRPr="00D440D1">
        <w:t>. Към 30.09.2023</w:t>
      </w:r>
      <w:r>
        <w:t xml:space="preserve"> </w:t>
      </w:r>
      <w:r w:rsidRPr="00D440D1">
        <w:t>г. по отчетни данни, постъпленията са в размер на 225,3 млн.</w:t>
      </w:r>
      <w:r>
        <w:t xml:space="preserve"> </w:t>
      </w:r>
      <w:r w:rsidRPr="00D440D1">
        <w:t>лв., което представлява 43,1</w:t>
      </w:r>
      <w:r>
        <w:t xml:space="preserve"> </w:t>
      </w:r>
      <w:r w:rsidRPr="00D440D1">
        <w:t>% от годишния план. За същия период през миналата година изпълнението на плана в частта „Приходи“ е било 25,7</w:t>
      </w:r>
      <w:r>
        <w:t xml:space="preserve"> процента</w:t>
      </w:r>
      <w:r w:rsidRPr="00D440D1">
        <w:t>.</w:t>
      </w:r>
    </w:p>
    <w:p w:rsidR="00EB292B" w:rsidRPr="00D440D1" w:rsidRDefault="00EB292B" w:rsidP="00EB292B">
      <w:pPr>
        <w:ind w:firstLine="567"/>
        <w:jc w:val="both"/>
      </w:pPr>
      <w:r w:rsidRPr="00D440D1">
        <w:t>Приходната част е формирана от приходи от наказателни лихви, помощи и дарения от чужбина и коректив на касови постъпления, както следва:</w:t>
      </w:r>
    </w:p>
    <w:p w:rsidR="00EB292B" w:rsidRPr="00D440D1" w:rsidRDefault="00EB292B" w:rsidP="00EB292B">
      <w:pPr>
        <w:numPr>
          <w:ilvl w:val="0"/>
          <w:numId w:val="19"/>
        </w:numPr>
        <w:tabs>
          <w:tab w:val="left" w:pos="993"/>
        </w:tabs>
        <w:spacing w:before="120" w:after="120"/>
        <w:ind w:left="1321" w:hanging="612"/>
        <w:jc w:val="both"/>
        <w:rPr>
          <w:b/>
          <w:i/>
        </w:rPr>
      </w:pPr>
      <w:r w:rsidRPr="00D440D1">
        <w:rPr>
          <w:b/>
          <w:i/>
        </w:rPr>
        <w:t>Приходи от наказателни лихви</w:t>
      </w:r>
    </w:p>
    <w:p w:rsidR="00EB292B" w:rsidRPr="00D440D1" w:rsidRDefault="00EB292B" w:rsidP="00EB292B">
      <w:pPr>
        <w:tabs>
          <w:tab w:val="left" w:pos="993"/>
        </w:tabs>
        <w:spacing w:before="120" w:after="120"/>
        <w:ind w:firstLine="567"/>
        <w:jc w:val="both"/>
      </w:pPr>
      <w:r w:rsidRPr="00D440D1">
        <w:t>Към края на третото тримесечие на 2023</w:t>
      </w:r>
      <w:r>
        <w:t xml:space="preserve"> </w:t>
      </w:r>
      <w:r w:rsidRPr="00D440D1">
        <w:t>г. са отчетени приходи от получени наказателни лихви, свързани с вземания за възстановяване на средства от ЕК, в размер на 0,6 млн.</w:t>
      </w:r>
      <w:r>
        <w:t xml:space="preserve"> </w:t>
      </w:r>
      <w:r w:rsidRPr="00D440D1">
        <w:t>л</w:t>
      </w:r>
      <w:r>
        <w:t>е</w:t>
      </w:r>
      <w:r w:rsidRPr="00D440D1">
        <w:t>в</w:t>
      </w:r>
      <w:r>
        <w:t>а</w:t>
      </w:r>
      <w:r w:rsidRPr="00D440D1">
        <w:t>.</w:t>
      </w:r>
    </w:p>
    <w:p w:rsidR="00EB292B" w:rsidRPr="00D440D1" w:rsidRDefault="00EB292B" w:rsidP="00EB292B">
      <w:pPr>
        <w:numPr>
          <w:ilvl w:val="0"/>
          <w:numId w:val="19"/>
        </w:numPr>
        <w:tabs>
          <w:tab w:val="left" w:pos="993"/>
        </w:tabs>
        <w:spacing w:before="120" w:after="120"/>
        <w:ind w:left="1321" w:hanging="612"/>
        <w:jc w:val="both"/>
        <w:rPr>
          <w:b/>
          <w:i/>
        </w:rPr>
      </w:pPr>
      <w:r w:rsidRPr="00D440D1">
        <w:rPr>
          <w:b/>
          <w:i/>
        </w:rPr>
        <w:t>Текущи помощи и дарения от Европейския съюз</w:t>
      </w:r>
    </w:p>
    <w:p w:rsidR="00EB292B" w:rsidRPr="00D440D1" w:rsidRDefault="00EB292B" w:rsidP="00EB292B">
      <w:pPr>
        <w:ind w:firstLine="567"/>
        <w:jc w:val="both"/>
      </w:pPr>
      <w:r w:rsidRPr="00D440D1">
        <w:t>Общият размер на получените приходи, отчетени в „Текущи помощи и дарения от Европейския съюз“, към 30.09.2023</w:t>
      </w:r>
      <w:r>
        <w:t xml:space="preserve"> </w:t>
      </w:r>
      <w:r w:rsidRPr="00D440D1">
        <w:t>г. е 35,7 млн.</w:t>
      </w:r>
      <w:r>
        <w:t xml:space="preserve"> </w:t>
      </w:r>
      <w:r w:rsidRPr="00D440D1">
        <w:t>лв. при планирани за годината средства в размер на 67,5 млн.</w:t>
      </w:r>
      <w:r>
        <w:t xml:space="preserve"> </w:t>
      </w:r>
      <w:r w:rsidRPr="00D440D1">
        <w:t>л</w:t>
      </w:r>
      <w:r>
        <w:t>е</w:t>
      </w:r>
      <w:r w:rsidRPr="00D440D1">
        <w:t>в</w:t>
      </w:r>
      <w:r>
        <w:t>а</w:t>
      </w:r>
      <w:r w:rsidRPr="00D440D1">
        <w:t>.</w:t>
      </w:r>
    </w:p>
    <w:p w:rsidR="00EB292B" w:rsidRPr="00D440D1" w:rsidRDefault="00EB292B" w:rsidP="00EB292B">
      <w:pPr>
        <w:ind w:firstLine="567"/>
        <w:jc w:val="both"/>
      </w:pPr>
      <w:r w:rsidRPr="00D440D1">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30.09.2023</w:t>
      </w:r>
      <w:r>
        <w:t xml:space="preserve"> </w:t>
      </w:r>
      <w:r w:rsidRPr="00D440D1">
        <w:t>г. възлизат на 27</w:t>
      </w:r>
      <w:r>
        <w:t>,0</w:t>
      </w:r>
      <w:r w:rsidRPr="00D440D1">
        <w:t xml:space="preserve"> млн.</w:t>
      </w:r>
      <w:r>
        <w:t xml:space="preserve"> </w:t>
      </w:r>
      <w:r w:rsidRPr="00D440D1">
        <w:t>лв., което е 50,3</w:t>
      </w:r>
      <w:r>
        <w:t> </w:t>
      </w:r>
      <w:r w:rsidRPr="00D440D1">
        <w:t>% от планираните за годината 53,7 млн.</w:t>
      </w:r>
      <w:r>
        <w:t xml:space="preserve"> </w:t>
      </w:r>
      <w:r w:rsidRPr="00D440D1">
        <w:t>л</w:t>
      </w:r>
      <w:r>
        <w:t>е</w:t>
      </w:r>
      <w:r w:rsidRPr="00D440D1">
        <w:t>в</w:t>
      </w:r>
      <w:r>
        <w:t>а</w:t>
      </w:r>
      <w:r w:rsidRPr="00D440D1">
        <w:t xml:space="preserve">. </w:t>
      </w:r>
      <w:r>
        <w:t>За</w:t>
      </w:r>
      <w:r w:rsidRPr="00D440D1">
        <w:t xml:space="preserve"> сравнение</w:t>
      </w:r>
      <w:r>
        <w:t>,</w:t>
      </w:r>
      <w:r w:rsidRPr="00D440D1">
        <w:t xml:space="preserve"> </w:t>
      </w:r>
      <w:r>
        <w:t>за</w:t>
      </w:r>
      <w:r w:rsidRPr="00D440D1">
        <w:t xml:space="preserve"> същия период на миналата година, изпълнението на плана е било 7</w:t>
      </w:r>
      <w:r>
        <w:t>,0 процента</w:t>
      </w:r>
      <w:r w:rsidRPr="00D440D1">
        <w:t>.</w:t>
      </w:r>
    </w:p>
    <w:p w:rsidR="00EB292B" w:rsidRPr="00D440D1" w:rsidRDefault="00EB292B" w:rsidP="00EB292B">
      <w:pPr>
        <w:ind w:firstLine="567"/>
        <w:jc w:val="both"/>
      </w:pPr>
      <w:r w:rsidRPr="00D440D1">
        <w:tab/>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(ЕФГЗ) към 30.09.2023</w:t>
      </w:r>
      <w:r>
        <w:t xml:space="preserve"> </w:t>
      </w:r>
      <w:r w:rsidRPr="00D440D1">
        <w:t>г. са 5,6 млн.</w:t>
      </w:r>
      <w:r>
        <w:t xml:space="preserve"> </w:t>
      </w:r>
      <w:r w:rsidRPr="00D440D1">
        <w:t>лв., което представлява 90,3</w:t>
      </w:r>
      <w:r>
        <w:t xml:space="preserve"> </w:t>
      </w:r>
      <w:r w:rsidRPr="00D440D1">
        <w:t>% от планираните 6,2 млн.</w:t>
      </w:r>
      <w:r>
        <w:t xml:space="preserve"> </w:t>
      </w:r>
      <w:r w:rsidRPr="00D440D1">
        <w:t>лв. за годината. За третото тримесечие на 2022</w:t>
      </w:r>
      <w:r>
        <w:t xml:space="preserve"> </w:t>
      </w:r>
      <w:r w:rsidRPr="00D440D1">
        <w:t>г. степента на изпълнение по това направление е била 68,4</w:t>
      </w:r>
      <w:r>
        <w:t xml:space="preserve"> процента</w:t>
      </w:r>
      <w:r w:rsidRPr="00D440D1">
        <w:t>.</w:t>
      </w:r>
    </w:p>
    <w:p w:rsidR="00EB292B" w:rsidRPr="00D440D1" w:rsidRDefault="00EB292B" w:rsidP="00EB292B">
      <w:pPr>
        <w:ind w:firstLine="567"/>
        <w:jc w:val="both"/>
      </w:pPr>
      <w:r w:rsidRPr="00D440D1">
        <w:tab/>
        <w:t>За периода 01.01-30.09.2023г. са получени 3,1 млн.</w:t>
      </w:r>
      <w:r>
        <w:t xml:space="preserve"> </w:t>
      </w:r>
      <w:r w:rsidRPr="00D440D1">
        <w:t>лв. текущи приходи, възстановени средства от Европейския фонд за морско дело и рибарство (ЕФМДР), което представлява 40,8</w:t>
      </w:r>
      <w:r>
        <w:t xml:space="preserve"> </w:t>
      </w:r>
      <w:r w:rsidRPr="00D440D1">
        <w:t>% от годишния план в размер на 7,6 млн.</w:t>
      </w:r>
      <w:r>
        <w:t xml:space="preserve"> </w:t>
      </w:r>
      <w:r w:rsidRPr="00D440D1">
        <w:t>л</w:t>
      </w:r>
      <w:r>
        <w:t>ева</w:t>
      </w:r>
      <w:r w:rsidRPr="00D440D1">
        <w:t>. През същия период на миналата година изпълнението е било 171,9</w:t>
      </w:r>
      <w:r>
        <w:t xml:space="preserve"> процента.</w:t>
      </w:r>
    </w:p>
    <w:p w:rsidR="00EB292B" w:rsidRPr="00D440D1" w:rsidRDefault="00EB292B" w:rsidP="00EB292B">
      <w:pPr>
        <w:numPr>
          <w:ilvl w:val="0"/>
          <w:numId w:val="19"/>
        </w:numPr>
        <w:tabs>
          <w:tab w:val="left" w:pos="993"/>
        </w:tabs>
        <w:spacing w:before="120" w:after="120"/>
        <w:ind w:left="1321" w:hanging="612"/>
        <w:jc w:val="both"/>
        <w:rPr>
          <w:b/>
          <w:i/>
          <w:lang w:eastAsia="bg-BG"/>
        </w:rPr>
      </w:pPr>
      <w:r w:rsidRPr="00D440D1">
        <w:rPr>
          <w:b/>
          <w:i/>
          <w:lang w:eastAsia="bg-BG"/>
        </w:rPr>
        <w:t>Капиталови помощи и дарения от Европейския съюз</w:t>
      </w:r>
    </w:p>
    <w:p w:rsidR="00EB292B" w:rsidRPr="00D440D1" w:rsidRDefault="00EB292B" w:rsidP="00EB292B">
      <w:pPr>
        <w:ind w:firstLine="567"/>
        <w:jc w:val="both"/>
      </w:pPr>
      <w:r w:rsidRPr="00D440D1">
        <w:t>Общият размер на получените приходи, отчетени в „Капиталови помощи и дарения от Европейския съюз“, към 30.09.2023</w:t>
      </w:r>
      <w:r>
        <w:t xml:space="preserve"> </w:t>
      </w:r>
      <w:r w:rsidRPr="00D440D1">
        <w:t>г. е 195,1 млн.</w:t>
      </w:r>
      <w:r>
        <w:t xml:space="preserve"> </w:t>
      </w:r>
      <w:r w:rsidRPr="00D440D1">
        <w:t>лв. при планирани за годината 455,7 млн.</w:t>
      </w:r>
      <w:r>
        <w:t xml:space="preserve"> </w:t>
      </w:r>
      <w:r w:rsidRPr="00D440D1">
        <w:t>л</w:t>
      </w:r>
      <w:r>
        <w:t>е</w:t>
      </w:r>
      <w:r w:rsidRPr="00D440D1">
        <w:t>в</w:t>
      </w:r>
      <w:r>
        <w:t>а</w:t>
      </w:r>
      <w:r w:rsidRPr="00D440D1">
        <w:t>.</w:t>
      </w:r>
    </w:p>
    <w:p w:rsidR="00EB292B" w:rsidRPr="00D440D1" w:rsidRDefault="00EB292B" w:rsidP="00EB292B">
      <w:pPr>
        <w:ind w:firstLine="567"/>
        <w:jc w:val="both"/>
      </w:pPr>
      <w:r w:rsidRPr="00D440D1">
        <w:t xml:space="preserve">Получените капиталови приходи от ЕЗФРСР по линия на ПРСР без директни плащания към края на </w:t>
      </w:r>
      <w:r>
        <w:t>деветмесечието</w:t>
      </w:r>
      <w:r w:rsidRPr="00D440D1">
        <w:t xml:space="preserve"> са 191,1 млн.</w:t>
      </w:r>
      <w:r>
        <w:t xml:space="preserve"> </w:t>
      </w:r>
      <w:r w:rsidRPr="00D440D1">
        <w:t>лв., от които 27,6 млн.</w:t>
      </w:r>
      <w:r>
        <w:t xml:space="preserve"> </w:t>
      </w:r>
      <w:r w:rsidRPr="00D440D1">
        <w:t xml:space="preserve">лв. са аванс по линия на </w:t>
      </w:r>
      <w:r w:rsidRPr="00D440D1">
        <w:rPr>
          <w:lang w:eastAsia="bg-BG"/>
        </w:rPr>
        <w:t xml:space="preserve">Стратегическия План по ОСП 2023-2027. </w:t>
      </w:r>
      <w:r w:rsidRPr="00D440D1">
        <w:t xml:space="preserve"> Изпълнени са 42,5</w:t>
      </w:r>
      <w:r>
        <w:t xml:space="preserve"> </w:t>
      </w:r>
      <w:r w:rsidRPr="00D440D1">
        <w:t>% от годишния план, който е в размер на 449,6 млн.</w:t>
      </w:r>
      <w:r>
        <w:t xml:space="preserve"> </w:t>
      </w:r>
      <w:r w:rsidRPr="00D440D1">
        <w:t>л</w:t>
      </w:r>
      <w:r>
        <w:t>е</w:t>
      </w:r>
      <w:r w:rsidRPr="00D440D1">
        <w:t>в</w:t>
      </w:r>
      <w:r>
        <w:t>а</w:t>
      </w:r>
      <w:r w:rsidRPr="00D440D1">
        <w:t xml:space="preserve">. </w:t>
      </w:r>
      <w:r>
        <w:t>За сравнение, за същия период</w:t>
      </w:r>
      <w:r w:rsidRPr="00D440D1">
        <w:t xml:space="preserve"> на предходната година, капиталовите приходи по ПРСР са били 177,7 млн.</w:t>
      </w:r>
      <w:r>
        <w:t xml:space="preserve"> </w:t>
      </w:r>
      <w:r w:rsidRPr="00D440D1">
        <w:t>лв. (29,6</w:t>
      </w:r>
      <w:r>
        <w:t xml:space="preserve"> </w:t>
      </w:r>
      <w:r w:rsidRPr="00D440D1">
        <w:t>%</w:t>
      </w:r>
      <w:r>
        <w:t xml:space="preserve"> от годишния план</w:t>
      </w:r>
      <w:r w:rsidRPr="00D440D1">
        <w:t>).</w:t>
      </w:r>
    </w:p>
    <w:p w:rsidR="00EB292B" w:rsidRPr="00D440D1" w:rsidRDefault="00EB292B" w:rsidP="00EB292B">
      <w:pPr>
        <w:ind w:firstLine="567"/>
        <w:jc w:val="both"/>
      </w:pPr>
      <w:r w:rsidRPr="00D440D1">
        <w:t>В периода 01.01-30.09.2023г. са получени капиталови приходи в размер 3,2 млн.</w:t>
      </w:r>
      <w:r>
        <w:t xml:space="preserve"> </w:t>
      </w:r>
      <w:r w:rsidRPr="00D440D1">
        <w:t>лв. от фонд ЕФМДР. Отчетени са и 0,8 млн.</w:t>
      </w:r>
      <w:r>
        <w:t xml:space="preserve"> </w:t>
      </w:r>
      <w:r w:rsidRPr="00D440D1">
        <w:t xml:space="preserve">лв. получен аванс по Програмата за морско дело, рибарство и </w:t>
      </w:r>
      <w:proofErr w:type="spellStart"/>
      <w:r w:rsidRPr="00D440D1">
        <w:t>аквакултури</w:t>
      </w:r>
      <w:proofErr w:type="spellEnd"/>
      <w:r w:rsidRPr="00D440D1">
        <w:t xml:space="preserve"> 2021-2027</w:t>
      </w:r>
      <w:r>
        <w:t xml:space="preserve"> </w:t>
      </w:r>
      <w:r w:rsidRPr="00D440D1">
        <w:t>г. (ПМДРА). Степента на изпълнение спрямо годишния разчет от 6,1 млн.</w:t>
      </w:r>
      <w:r>
        <w:t xml:space="preserve"> </w:t>
      </w:r>
      <w:r w:rsidRPr="00D440D1">
        <w:t>лв. е 65,5</w:t>
      </w:r>
      <w:r>
        <w:t xml:space="preserve"> процента</w:t>
      </w:r>
      <w:r w:rsidRPr="00D440D1">
        <w:t>. За същия период на предходната година по това направление е отчетено изпълнение 37,3</w:t>
      </w:r>
      <w:r>
        <w:t xml:space="preserve"> процента</w:t>
      </w:r>
      <w:r w:rsidRPr="00D440D1">
        <w:t>.</w:t>
      </w:r>
      <w:r w:rsidRPr="00D440D1">
        <w:tab/>
      </w:r>
    </w:p>
    <w:p w:rsidR="00EB292B" w:rsidRPr="00D440D1" w:rsidRDefault="00EB292B" w:rsidP="00EB292B">
      <w:pPr>
        <w:numPr>
          <w:ilvl w:val="0"/>
          <w:numId w:val="19"/>
        </w:numPr>
        <w:tabs>
          <w:tab w:val="left" w:pos="993"/>
        </w:tabs>
        <w:spacing w:before="120" w:after="120"/>
        <w:ind w:left="1321" w:hanging="612"/>
        <w:jc w:val="both"/>
        <w:rPr>
          <w:b/>
          <w:i/>
        </w:rPr>
      </w:pPr>
      <w:r w:rsidRPr="00D440D1">
        <w:rPr>
          <w:b/>
          <w:i/>
        </w:rPr>
        <w:t xml:space="preserve">Коректив на касови постъпления </w:t>
      </w:r>
    </w:p>
    <w:p w:rsidR="00EB292B" w:rsidRPr="00D440D1" w:rsidRDefault="00EB292B" w:rsidP="00EB292B">
      <w:pPr>
        <w:spacing w:before="120" w:after="120"/>
        <w:ind w:firstLine="567"/>
        <w:jc w:val="both"/>
        <w:rPr>
          <w:bCs/>
          <w:iCs/>
        </w:rPr>
      </w:pPr>
      <w:r w:rsidRPr="00D440D1">
        <w:rPr>
          <w:bCs/>
          <w:iCs/>
        </w:rPr>
        <w:t>Към 30.09.2023</w:t>
      </w:r>
      <w:r>
        <w:rPr>
          <w:bCs/>
          <w:iCs/>
        </w:rPr>
        <w:t xml:space="preserve"> </w:t>
      </w:r>
      <w:r w:rsidRPr="00D440D1">
        <w:rPr>
          <w:bCs/>
          <w:iCs/>
        </w:rPr>
        <w:t>г. отчетеният коректив на касови постъпления е минус 6,1 млн.</w:t>
      </w:r>
      <w:r>
        <w:rPr>
          <w:bCs/>
          <w:iCs/>
        </w:rPr>
        <w:t xml:space="preserve"> </w:t>
      </w:r>
      <w:r w:rsidRPr="00D440D1">
        <w:rPr>
          <w:bCs/>
          <w:iCs/>
        </w:rPr>
        <w:t>л</w:t>
      </w:r>
      <w:r>
        <w:rPr>
          <w:bCs/>
          <w:iCs/>
        </w:rPr>
        <w:t>е</w:t>
      </w:r>
      <w:r w:rsidRPr="00D440D1">
        <w:rPr>
          <w:bCs/>
          <w:iCs/>
        </w:rPr>
        <w:t>в</w:t>
      </w:r>
      <w:r>
        <w:rPr>
          <w:bCs/>
          <w:iCs/>
        </w:rPr>
        <w:t>а</w:t>
      </w:r>
      <w:r w:rsidRPr="00D440D1">
        <w:rPr>
          <w:bCs/>
          <w:iCs/>
        </w:rPr>
        <w:t>. Той е формиран от размера на принудително събрани суми от НАП, за които не е извършен превод на средства по сметката на ДФЗ-РА.</w:t>
      </w:r>
    </w:p>
    <w:p w:rsidR="00EB292B" w:rsidRPr="00D440D1" w:rsidRDefault="00EB292B" w:rsidP="00E36EB8">
      <w:pPr>
        <w:numPr>
          <w:ilvl w:val="0"/>
          <w:numId w:val="20"/>
        </w:numPr>
        <w:spacing w:before="120" w:after="120" w:line="276" w:lineRule="auto"/>
        <w:ind w:left="777" w:hanging="357"/>
        <w:jc w:val="both"/>
        <w:rPr>
          <w:b/>
          <w:lang w:eastAsia="bg-BG"/>
        </w:rPr>
      </w:pPr>
      <w:r w:rsidRPr="00D440D1">
        <w:rPr>
          <w:b/>
          <w:lang w:eastAsia="bg-BG"/>
        </w:rPr>
        <w:t>Разходи</w:t>
      </w:r>
    </w:p>
    <w:p w:rsidR="00EB292B" w:rsidRPr="00D440D1" w:rsidRDefault="00EB292B" w:rsidP="00EB292B">
      <w:pPr>
        <w:ind w:firstLine="567"/>
        <w:jc w:val="both"/>
      </w:pPr>
      <w:r w:rsidRPr="00D440D1">
        <w:t>Общият размер на планираните за 2023</w:t>
      </w:r>
      <w:r>
        <w:t xml:space="preserve"> </w:t>
      </w:r>
      <w:r w:rsidRPr="00D440D1">
        <w:t>г. разходи по утвърдените годишни разчети на сметката за средства от Европейския съюз на Разплащателната агенция към ДФ „Земеделие” са 889,5 млн.</w:t>
      </w:r>
      <w:r>
        <w:t xml:space="preserve"> </w:t>
      </w:r>
      <w:r w:rsidRPr="00D440D1">
        <w:t>л</w:t>
      </w:r>
      <w:r>
        <w:t>е</w:t>
      </w:r>
      <w:r w:rsidRPr="00D440D1">
        <w:t>в</w:t>
      </w:r>
      <w:r>
        <w:t>а</w:t>
      </w:r>
      <w:r w:rsidRPr="00D440D1">
        <w:t>.</w:t>
      </w:r>
    </w:p>
    <w:p w:rsidR="00EB292B" w:rsidRPr="00D440D1" w:rsidRDefault="00EB292B" w:rsidP="00565BA1">
      <w:pPr>
        <w:ind w:firstLine="567"/>
        <w:jc w:val="both"/>
      </w:pPr>
      <w:r w:rsidRPr="00D440D1">
        <w:t>Уточненият план на субсидиите за текуща дейност и капиталовите трансфери за 2023</w:t>
      </w:r>
      <w:r>
        <w:t xml:space="preserve"> </w:t>
      </w:r>
      <w:r w:rsidRPr="00D440D1">
        <w:t>г. е 730,5 млн.</w:t>
      </w:r>
      <w:r>
        <w:t xml:space="preserve"> </w:t>
      </w:r>
      <w:r w:rsidRPr="00D440D1">
        <w:t>л</w:t>
      </w:r>
      <w:r>
        <w:t>е</w:t>
      </w:r>
      <w:r w:rsidRPr="00D440D1">
        <w:t>в</w:t>
      </w:r>
      <w:r>
        <w:t>а</w:t>
      </w:r>
      <w:r w:rsidRPr="00D440D1">
        <w:t>. Изпълнението им към 30.09.2023</w:t>
      </w:r>
      <w:r>
        <w:t xml:space="preserve"> </w:t>
      </w:r>
      <w:r w:rsidRPr="00D440D1">
        <w:t>г. възлиза на 34,7</w:t>
      </w:r>
      <w:r>
        <w:t xml:space="preserve"> </w:t>
      </w:r>
      <w:r w:rsidRPr="00D440D1">
        <w:t>% от годишния план при отчетени разходи в размер 253,8 млн.</w:t>
      </w:r>
      <w:r>
        <w:t xml:space="preserve"> </w:t>
      </w:r>
      <w:r w:rsidRPr="00D440D1">
        <w:t>л</w:t>
      </w:r>
      <w:r>
        <w:t>е</w:t>
      </w:r>
      <w:r w:rsidRPr="00D440D1">
        <w:t>в</w:t>
      </w:r>
      <w:r>
        <w:t>а</w:t>
      </w:r>
      <w:r w:rsidRPr="00D440D1">
        <w:t>.</w:t>
      </w:r>
    </w:p>
    <w:p w:rsidR="00EB292B" w:rsidRPr="00D440D1" w:rsidRDefault="00EB292B" w:rsidP="00565BA1">
      <w:pPr>
        <w:tabs>
          <w:tab w:val="left" w:pos="709"/>
        </w:tabs>
        <w:ind w:firstLine="567"/>
        <w:jc w:val="both"/>
      </w:pPr>
      <w:r w:rsidRPr="00D440D1">
        <w:t>Останалите планирани разходи в размер 159</w:t>
      </w:r>
      <w:r>
        <w:t>,0</w:t>
      </w:r>
      <w:r w:rsidRPr="00D440D1">
        <w:t xml:space="preserve"> млн.</w:t>
      </w:r>
      <w:r>
        <w:t xml:space="preserve"> </w:t>
      </w:r>
      <w:r w:rsidRPr="00D440D1">
        <w:t xml:space="preserve">лв. са формирани от: разходи за заплати и възнаграждения на персонала </w:t>
      </w:r>
      <w:r w:rsidRPr="00540017">
        <w:rPr>
          <w:lang w:val="ru-RU"/>
        </w:rPr>
        <w:t>(</w:t>
      </w:r>
      <w:r w:rsidRPr="00D440D1">
        <w:t>9</w:t>
      </w:r>
      <w:r>
        <w:t>,0</w:t>
      </w:r>
      <w:r w:rsidRPr="00D440D1">
        <w:t xml:space="preserve"> млн.</w:t>
      </w:r>
      <w:r>
        <w:t xml:space="preserve"> </w:t>
      </w:r>
      <w:r w:rsidRPr="00D440D1">
        <w:t>лв.</w:t>
      </w:r>
      <w:r w:rsidRPr="00540017">
        <w:rPr>
          <w:lang w:val="ru-RU"/>
        </w:rPr>
        <w:t>)</w:t>
      </w:r>
      <w:r w:rsidRPr="00D440D1">
        <w:t xml:space="preserve">, задължителни осигурителни вноски от работодатели </w:t>
      </w:r>
      <w:r w:rsidRPr="00540017">
        <w:rPr>
          <w:lang w:val="ru-RU"/>
        </w:rPr>
        <w:t>(</w:t>
      </w:r>
      <w:r w:rsidRPr="00D440D1">
        <w:t>2,6 млн.</w:t>
      </w:r>
      <w:r w:rsidRPr="00540017">
        <w:rPr>
          <w:lang w:val="ru-RU"/>
        </w:rPr>
        <w:t xml:space="preserve"> </w:t>
      </w:r>
      <w:r w:rsidRPr="00D440D1">
        <w:t>лв.</w:t>
      </w:r>
      <w:r w:rsidRPr="00540017">
        <w:rPr>
          <w:lang w:val="ru-RU"/>
        </w:rPr>
        <w:t>)</w:t>
      </w:r>
      <w:r w:rsidRPr="00D440D1">
        <w:t xml:space="preserve">, издръжка </w:t>
      </w:r>
      <w:r w:rsidRPr="00540017">
        <w:rPr>
          <w:lang w:val="ru-RU"/>
        </w:rPr>
        <w:t>(</w:t>
      </w:r>
      <w:r w:rsidRPr="00D440D1">
        <w:t>13 млн.</w:t>
      </w:r>
      <w:r w:rsidRPr="00540017">
        <w:rPr>
          <w:lang w:val="ru-RU"/>
        </w:rPr>
        <w:t xml:space="preserve"> </w:t>
      </w:r>
      <w:r w:rsidRPr="00D440D1">
        <w:t>лв.</w:t>
      </w:r>
      <w:r w:rsidRPr="00540017">
        <w:rPr>
          <w:lang w:val="ru-RU"/>
        </w:rPr>
        <w:t>)</w:t>
      </w:r>
      <w:r w:rsidRPr="00D440D1">
        <w:t xml:space="preserve"> и придобиване на ДМА </w:t>
      </w:r>
      <w:r w:rsidRPr="00540017">
        <w:rPr>
          <w:lang w:val="ru-RU"/>
        </w:rPr>
        <w:t>(</w:t>
      </w:r>
      <w:r w:rsidRPr="00D440D1">
        <w:t>134,4 млн.</w:t>
      </w:r>
      <w:r w:rsidRPr="00540017">
        <w:rPr>
          <w:lang w:val="ru-RU"/>
        </w:rPr>
        <w:t xml:space="preserve"> </w:t>
      </w:r>
      <w:r w:rsidRPr="00D440D1">
        <w:t>лв.</w:t>
      </w:r>
      <w:r w:rsidRPr="00540017">
        <w:rPr>
          <w:lang w:val="ru-RU"/>
        </w:rPr>
        <w:t>)</w:t>
      </w:r>
      <w:r>
        <w:t>.</w:t>
      </w:r>
      <w:r w:rsidRPr="00D440D1">
        <w:t xml:space="preserve"> Те подлежат на отчитане в § 63-00 Трансфери между сметки за средствата от ЕС.</w:t>
      </w:r>
    </w:p>
    <w:p w:rsidR="00EB292B" w:rsidRPr="00D440D1" w:rsidRDefault="00EB292B" w:rsidP="00565BA1">
      <w:pPr>
        <w:ind w:firstLine="567"/>
        <w:jc w:val="both"/>
      </w:pPr>
      <w:r w:rsidRPr="00D440D1">
        <w:t>Изпълнението на отчетените разходи е както следва:</w:t>
      </w:r>
    </w:p>
    <w:p w:rsidR="00EB292B" w:rsidRPr="00D440D1" w:rsidRDefault="00EB292B" w:rsidP="00EB292B">
      <w:pPr>
        <w:numPr>
          <w:ilvl w:val="0"/>
          <w:numId w:val="19"/>
        </w:numPr>
        <w:tabs>
          <w:tab w:val="left" w:pos="993"/>
        </w:tabs>
        <w:spacing w:before="120" w:after="120"/>
        <w:ind w:left="1321" w:hanging="612"/>
        <w:jc w:val="both"/>
        <w:rPr>
          <w:b/>
          <w:i/>
          <w:lang w:eastAsia="bg-BG"/>
        </w:rPr>
      </w:pPr>
      <w:r w:rsidRPr="00D440D1">
        <w:rPr>
          <w:b/>
          <w:i/>
          <w:lang w:eastAsia="bg-BG"/>
        </w:rPr>
        <w:t>Субсидии и други текущи трансфери за нефинансови предприятия</w:t>
      </w:r>
    </w:p>
    <w:p w:rsidR="00EB292B" w:rsidRPr="00D440D1" w:rsidRDefault="00EB292B" w:rsidP="00D91043">
      <w:pPr>
        <w:tabs>
          <w:tab w:val="left" w:pos="993"/>
        </w:tabs>
        <w:ind w:firstLine="567"/>
        <w:jc w:val="both"/>
      </w:pPr>
      <w:r w:rsidRPr="00D440D1">
        <w:t>За 2023</w:t>
      </w:r>
      <w:r w:rsidRPr="004759EE">
        <w:rPr>
          <w:lang w:val="ru-RU"/>
        </w:rPr>
        <w:t xml:space="preserve"> </w:t>
      </w:r>
      <w:r w:rsidRPr="00D440D1">
        <w:t>г. са планирани средства в размер на 314</w:t>
      </w:r>
      <w:r w:rsidRPr="004759EE">
        <w:rPr>
          <w:lang w:val="ru-RU"/>
        </w:rPr>
        <w:t>.0</w:t>
      </w:r>
      <w:r w:rsidRPr="00D440D1">
        <w:t xml:space="preserve"> млн.</w:t>
      </w:r>
      <w:r w:rsidRPr="004759EE">
        <w:rPr>
          <w:lang w:val="ru-RU"/>
        </w:rPr>
        <w:t xml:space="preserve"> </w:t>
      </w:r>
      <w:r w:rsidRPr="00D440D1">
        <w:t>лв. за субсидии и други текущи трансфери за нефинансови предприятия. Отчетените към 30.09.2023</w:t>
      </w:r>
      <w:r w:rsidRPr="004759EE">
        <w:rPr>
          <w:lang w:val="ru-RU"/>
        </w:rPr>
        <w:t xml:space="preserve"> </w:t>
      </w:r>
      <w:r w:rsidRPr="00D440D1">
        <w:t>г. средства представляват 37,8</w:t>
      </w:r>
      <w:r w:rsidRPr="004759EE">
        <w:rPr>
          <w:lang w:val="ru-RU"/>
        </w:rPr>
        <w:t xml:space="preserve"> </w:t>
      </w:r>
      <w:r w:rsidRPr="00D440D1">
        <w:t>% от планираните за годината и са в размер на 118,8 млн.</w:t>
      </w:r>
      <w:r w:rsidRPr="004759EE">
        <w:rPr>
          <w:lang w:val="ru-RU"/>
        </w:rPr>
        <w:t xml:space="preserve"> </w:t>
      </w:r>
      <w:r w:rsidRPr="00D440D1">
        <w:t>л</w:t>
      </w:r>
      <w:r>
        <w:t>ева</w:t>
      </w:r>
      <w:r w:rsidRPr="00D440D1">
        <w:t>. Към 30.09.2022</w:t>
      </w:r>
      <w:r w:rsidRPr="004759EE">
        <w:rPr>
          <w:lang w:val="ru-RU"/>
        </w:rPr>
        <w:t xml:space="preserve"> </w:t>
      </w:r>
      <w:r w:rsidRPr="00D440D1">
        <w:t>г. отчетените текущи субсидии са били 118,9 млн.</w:t>
      </w:r>
      <w:r w:rsidRPr="004759EE">
        <w:rPr>
          <w:lang w:val="ru-RU"/>
        </w:rPr>
        <w:t xml:space="preserve"> </w:t>
      </w:r>
      <w:r w:rsidRPr="00D440D1">
        <w:t>л</w:t>
      </w:r>
      <w:r>
        <w:t>е</w:t>
      </w:r>
      <w:r w:rsidRPr="00D440D1">
        <w:t>в</w:t>
      </w:r>
      <w:r>
        <w:t>а</w:t>
      </w:r>
      <w:r w:rsidRPr="00D440D1">
        <w:t>.</w:t>
      </w:r>
    </w:p>
    <w:p w:rsidR="00EB292B" w:rsidRPr="00D440D1" w:rsidRDefault="00EB292B" w:rsidP="00D91043">
      <w:pPr>
        <w:tabs>
          <w:tab w:val="left" w:pos="993"/>
        </w:tabs>
        <w:ind w:firstLine="567"/>
        <w:jc w:val="both"/>
      </w:pPr>
      <w:r w:rsidRPr="00D440D1">
        <w:t>Изпълнението по дейности е както следва:</w:t>
      </w:r>
    </w:p>
    <w:p w:rsidR="00EB292B" w:rsidRPr="00D440D1" w:rsidRDefault="00EB292B" w:rsidP="00EB292B">
      <w:pPr>
        <w:ind w:firstLine="709"/>
        <w:contextualSpacing/>
        <w:jc w:val="both"/>
      </w:pPr>
      <w:r w:rsidRPr="00D440D1">
        <w:t>- национално съфинансиране към ЕЗФРСР за директни плащания – 26,6 млн.</w:t>
      </w:r>
      <w:r>
        <w:t xml:space="preserve"> </w:t>
      </w:r>
      <w:r w:rsidRPr="00D440D1">
        <w:t>лв., изпълнение 17,3</w:t>
      </w:r>
      <w:r>
        <w:t xml:space="preserve"> </w:t>
      </w:r>
      <w:r w:rsidRPr="00D440D1">
        <w:t>% от планираните за годината 154,1 млн.</w:t>
      </w:r>
      <w:r>
        <w:t xml:space="preserve"> </w:t>
      </w:r>
      <w:r w:rsidRPr="00D440D1">
        <w:t>лв.;</w:t>
      </w:r>
    </w:p>
    <w:p w:rsidR="00EB292B" w:rsidRPr="00D440D1" w:rsidRDefault="00EB292B" w:rsidP="00EB292B">
      <w:pPr>
        <w:ind w:firstLine="720"/>
        <w:contextualSpacing/>
        <w:jc w:val="both"/>
      </w:pPr>
      <w:r w:rsidRPr="00D440D1">
        <w:t>- текущи субсидии по Програмата за морско дело и рибарство – 1,1 млн.</w:t>
      </w:r>
      <w:r>
        <w:t xml:space="preserve"> </w:t>
      </w:r>
      <w:r w:rsidRPr="00D440D1">
        <w:t>лв., изпълнение 11,5</w:t>
      </w:r>
      <w:r>
        <w:t xml:space="preserve"> </w:t>
      </w:r>
      <w:r w:rsidRPr="00D440D1">
        <w:t>% от планираните 9,6 млн.</w:t>
      </w:r>
      <w:r>
        <w:t xml:space="preserve"> </w:t>
      </w:r>
      <w:r w:rsidRPr="00D440D1">
        <w:t>лв.;</w:t>
      </w:r>
    </w:p>
    <w:p w:rsidR="00EB292B" w:rsidRPr="00D440D1" w:rsidRDefault="00EB292B" w:rsidP="00EB292B">
      <w:pPr>
        <w:ind w:firstLine="720"/>
        <w:contextualSpacing/>
        <w:jc w:val="both"/>
      </w:pPr>
      <w:r w:rsidRPr="00D440D1">
        <w:t>- текущи субсидии по Програмата за развитие на селските райони – 28,1 млн.</w:t>
      </w:r>
      <w:r>
        <w:t xml:space="preserve"> </w:t>
      </w:r>
      <w:r w:rsidRPr="00D440D1">
        <w:t>лв., изпълнение от 47,6</w:t>
      </w:r>
      <w:r>
        <w:t xml:space="preserve"> </w:t>
      </w:r>
      <w:r w:rsidRPr="00D440D1">
        <w:t>% на планираните за годината 59</w:t>
      </w:r>
      <w:r>
        <w:t>,0</w:t>
      </w:r>
      <w:r w:rsidRPr="00D440D1">
        <w:t xml:space="preserve"> млн.</w:t>
      </w:r>
      <w:r>
        <w:t xml:space="preserve"> </w:t>
      </w:r>
      <w:r w:rsidRPr="00D440D1">
        <w:t>лв.;</w:t>
      </w:r>
    </w:p>
    <w:p w:rsidR="00EB292B" w:rsidRPr="00D440D1" w:rsidRDefault="00EB292B" w:rsidP="00EB292B">
      <w:pPr>
        <w:tabs>
          <w:tab w:val="left" w:pos="851"/>
          <w:tab w:val="left" w:pos="1134"/>
        </w:tabs>
        <w:ind w:firstLine="720"/>
        <w:contextualSpacing/>
        <w:jc w:val="both"/>
      </w:pPr>
      <w:r w:rsidRPr="00D440D1">
        <w:t>- текущи субсидии за пазарни мерки – 62,9 млн.</w:t>
      </w:r>
      <w:r>
        <w:t xml:space="preserve"> </w:t>
      </w:r>
      <w:r w:rsidRPr="00D440D1">
        <w:t>лв., изпълнение от 68,9</w:t>
      </w:r>
      <w:r>
        <w:t xml:space="preserve"> </w:t>
      </w:r>
      <w:r w:rsidRPr="00D440D1">
        <w:t>% на планираните за 2023г. 91,3 млн.</w:t>
      </w:r>
      <w:r>
        <w:t xml:space="preserve"> </w:t>
      </w:r>
      <w:r w:rsidRPr="00D440D1">
        <w:t>л</w:t>
      </w:r>
      <w:r>
        <w:t>е</w:t>
      </w:r>
      <w:r w:rsidRPr="00D440D1">
        <w:t>в</w:t>
      </w:r>
      <w:r>
        <w:t>а</w:t>
      </w:r>
      <w:r w:rsidRPr="00D440D1">
        <w:t xml:space="preserve">. </w:t>
      </w:r>
    </w:p>
    <w:p w:rsidR="00EB292B" w:rsidRPr="00D440D1" w:rsidRDefault="00EB292B" w:rsidP="00EB292B">
      <w:pPr>
        <w:numPr>
          <w:ilvl w:val="0"/>
          <w:numId w:val="19"/>
        </w:numPr>
        <w:tabs>
          <w:tab w:val="left" w:pos="993"/>
        </w:tabs>
        <w:spacing w:before="120" w:after="120"/>
        <w:ind w:left="1321" w:hanging="612"/>
        <w:jc w:val="both"/>
        <w:rPr>
          <w:b/>
          <w:i/>
          <w:lang w:eastAsia="bg-BG"/>
        </w:rPr>
      </w:pPr>
      <w:r w:rsidRPr="00D440D1">
        <w:rPr>
          <w:b/>
          <w:i/>
          <w:lang w:eastAsia="bg-BG"/>
        </w:rPr>
        <w:t>Субсидии и други текущи трансфери за юридически лица с нестопанска цел</w:t>
      </w:r>
    </w:p>
    <w:p w:rsidR="00EB292B" w:rsidRPr="00D440D1" w:rsidRDefault="00EB292B" w:rsidP="00D91043">
      <w:pPr>
        <w:ind w:firstLine="567"/>
        <w:contextualSpacing/>
        <w:jc w:val="both"/>
      </w:pPr>
      <w:r w:rsidRPr="00D440D1">
        <w:t>За 2023</w:t>
      </w:r>
      <w:r>
        <w:t xml:space="preserve"> </w:t>
      </w:r>
      <w:r w:rsidRPr="00D440D1">
        <w:t>г. за субсидии и други текущи трансфери за юридически лица с нестопанска цел са планирани 28,5 млн.</w:t>
      </w:r>
      <w:r>
        <w:t xml:space="preserve"> </w:t>
      </w:r>
      <w:r w:rsidRPr="00D440D1">
        <w:t>л</w:t>
      </w:r>
      <w:r>
        <w:t>е</w:t>
      </w:r>
      <w:r w:rsidRPr="00D440D1">
        <w:t>в</w:t>
      </w:r>
      <w:r>
        <w:t>а</w:t>
      </w:r>
      <w:r w:rsidRPr="00D440D1">
        <w:t>. Към края на третото тримесечие на 2023</w:t>
      </w:r>
      <w:r>
        <w:t xml:space="preserve"> </w:t>
      </w:r>
      <w:r w:rsidRPr="00D440D1">
        <w:t>г. са отчетени разходи в размер на 10,9 млн.</w:t>
      </w:r>
      <w:r>
        <w:t xml:space="preserve"> </w:t>
      </w:r>
      <w:r w:rsidRPr="00D440D1">
        <w:t>лв., степен на изпълнение – 38,2</w:t>
      </w:r>
      <w:r>
        <w:t xml:space="preserve"> </w:t>
      </w:r>
      <w:r w:rsidRPr="00D440D1">
        <w:t>%. За същия период на предходната 2022</w:t>
      </w:r>
      <w:r>
        <w:t xml:space="preserve"> </w:t>
      </w:r>
      <w:r w:rsidRPr="00D440D1">
        <w:t>г. този вид разходи са възлизали на 12,4 млн.</w:t>
      </w:r>
      <w:r>
        <w:t xml:space="preserve"> </w:t>
      </w:r>
      <w:r w:rsidRPr="00D440D1">
        <w:t>л</w:t>
      </w:r>
      <w:r>
        <w:t>е</w:t>
      </w:r>
      <w:r w:rsidRPr="00D440D1">
        <w:t>в</w:t>
      </w:r>
      <w:r>
        <w:t>а</w:t>
      </w:r>
    </w:p>
    <w:p w:rsidR="00EB292B" w:rsidRPr="00D440D1" w:rsidRDefault="00EB292B" w:rsidP="00EB292B">
      <w:pPr>
        <w:ind w:firstLine="708"/>
        <w:contextualSpacing/>
        <w:jc w:val="both"/>
      </w:pPr>
      <w:r w:rsidRPr="00D440D1">
        <w:t>Разпределението по дейности е както следва:</w:t>
      </w:r>
    </w:p>
    <w:p w:rsidR="00EB292B" w:rsidRPr="00D440D1" w:rsidRDefault="00EB292B" w:rsidP="00EB292B">
      <w:pPr>
        <w:tabs>
          <w:tab w:val="left" w:pos="851"/>
        </w:tabs>
        <w:ind w:firstLine="720"/>
        <w:contextualSpacing/>
        <w:jc w:val="both"/>
      </w:pPr>
      <w:r w:rsidRPr="00D440D1">
        <w:t>- текущи субсидии по ПМДР – 1,8 млн.</w:t>
      </w:r>
      <w:r>
        <w:t xml:space="preserve"> </w:t>
      </w:r>
      <w:r w:rsidRPr="00D440D1">
        <w:t>лв., възлизащи на 23,1% от планираните 7,8</w:t>
      </w:r>
      <w:r w:rsidR="00CA6B7A">
        <w:rPr>
          <w:lang w:val="en-US"/>
        </w:rPr>
        <w:t> </w:t>
      </w:r>
      <w:r w:rsidRPr="00D440D1">
        <w:t>млн.</w:t>
      </w:r>
      <w:r>
        <w:t> </w:t>
      </w:r>
      <w:r w:rsidRPr="00D440D1">
        <w:t>лв.;</w:t>
      </w:r>
    </w:p>
    <w:p w:rsidR="00EB292B" w:rsidRPr="00D440D1" w:rsidRDefault="00EB292B" w:rsidP="00EB292B">
      <w:pPr>
        <w:ind w:firstLine="720"/>
        <w:contextualSpacing/>
        <w:jc w:val="both"/>
      </w:pPr>
      <w:r w:rsidRPr="00D440D1">
        <w:t>- текущи субсидии по Програмата за развитие на селските райони – 9</w:t>
      </w:r>
      <w:r>
        <w:t>,</w:t>
      </w:r>
      <w:r w:rsidRPr="00D440D1">
        <w:t>1 млн.</w:t>
      </w:r>
      <w:r>
        <w:t xml:space="preserve"> </w:t>
      </w:r>
      <w:r w:rsidRPr="00D440D1">
        <w:t>лв., при планирани 20,2 млн.</w:t>
      </w:r>
      <w:r>
        <w:t xml:space="preserve"> </w:t>
      </w:r>
      <w:r w:rsidRPr="00D440D1">
        <w:t>лв., степен на изпълнение 45</w:t>
      </w:r>
      <w:r>
        <w:t xml:space="preserve">,0 </w:t>
      </w:r>
      <w:r w:rsidRPr="00D440D1">
        <w:t>%;</w:t>
      </w:r>
    </w:p>
    <w:p w:rsidR="00EB292B" w:rsidRPr="00D440D1" w:rsidRDefault="00EB292B" w:rsidP="00EB292B">
      <w:pPr>
        <w:ind w:firstLine="709"/>
        <w:contextualSpacing/>
        <w:jc w:val="both"/>
      </w:pPr>
      <w:r w:rsidRPr="00D440D1">
        <w:t xml:space="preserve">- текущи субсидии за пазарни мерки – </w:t>
      </w:r>
      <w:r>
        <w:t>няма усвоени средства</w:t>
      </w:r>
      <w:r w:rsidRPr="00D440D1">
        <w:t>, при годишен разчет 0,5</w:t>
      </w:r>
      <w:r w:rsidR="002A204B">
        <w:t> </w:t>
      </w:r>
      <w:r w:rsidRPr="00D440D1">
        <w:t>млн.</w:t>
      </w:r>
      <w:r>
        <w:t> </w:t>
      </w:r>
      <w:r w:rsidRPr="00D440D1">
        <w:t>л</w:t>
      </w:r>
      <w:r>
        <w:t>е</w:t>
      </w:r>
      <w:r w:rsidRPr="00D440D1">
        <w:t>в</w:t>
      </w:r>
      <w:r>
        <w:t>а</w:t>
      </w:r>
      <w:r w:rsidRPr="00D440D1">
        <w:t>.</w:t>
      </w:r>
    </w:p>
    <w:p w:rsidR="00EB292B" w:rsidRPr="00D440D1" w:rsidRDefault="00EB292B" w:rsidP="00EB292B">
      <w:pPr>
        <w:numPr>
          <w:ilvl w:val="0"/>
          <w:numId w:val="19"/>
        </w:numPr>
        <w:tabs>
          <w:tab w:val="left" w:pos="993"/>
        </w:tabs>
        <w:spacing w:before="120" w:after="120"/>
        <w:ind w:left="1321" w:hanging="612"/>
        <w:jc w:val="both"/>
        <w:rPr>
          <w:b/>
          <w:i/>
          <w:lang w:eastAsia="bg-BG"/>
        </w:rPr>
      </w:pPr>
      <w:r w:rsidRPr="00D440D1">
        <w:rPr>
          <w:b/>
          <w:i/>
          <w:lang w:eastAsia="bg-BG"/>
        </w:rPr>
        <w:t>Капиталови трансфери за нефинансови предприятия</w:t>
      </w:r>
    </w:p>
    <w:p w:rsidR="00EB292B" w:rsidRPr="00D440D1" w:rsidRDefault="00EB292B" w:rsidP="00E565B4">
      <w:pPr>
        <w:tabs>
          <w:tab w:val="left" w:pos="993"/>
        </w:tabs>
        <w:ind w:firstLine="567"/>
        <w:jc w:val="both"/>
      </w:pPr>
      <w:r w:rsidRPr="00D440D1">
        <w:t>За 2023</w:t>
      </w:r>
      <w:r>
        <w:t xml:space="preserve"> </w:t>
      </w:r>
      <w:r w:rsidRPr="00D440D1">
        <w:t>г. за капиталови трансфери за нефинансови предприятия са планирани 342,5</w:t>
      </w:r>
      <w:r w:rsidR="004F0789">
        <w:t> </w:t>
      </w:r>
      <w:r w:rsidRPr="00D440D1">
        <w:t>млн.</w:t>
      </w:r>
      <w:r>
        <w:t> </w:t>
      </w:r>
      <w:r w:rsidRPr="00D440D1">
        <w:t>л</w:t>
      </w:r>
      <w:r>
        <w:t>е</w:t>
      </w:r>
      <w:r w:rsidRPr="00D440D1">
        <w:t>в</w:t>
      </w:r>
      <w:r>
        <w:t>а</w:t>
      </w:r>
      <w:r w:rsidRPr="00D440D1">
        <w:t>. Към 30.09.2023</w:t>
      </w:r>
      <w:r>
        <w:t xml:space="preserve"> </w:t>
      </w:r>
      <w:r w:rsidRPr="00D440D1">
        <w:t>г. са отчетени 115,7 млн.</w:t>
      </w:r>
      <w:r>
        <w:t xml:space="preserve"> </w:t>
      </w:r>
      <w:r w:rsidRPr="00D440D1">
        <w:t>лв., представляващи 33,8</w:t>
      </w:r>
      <w:r>
        <w:t xml:space="preserve"> </w:t>
      </w:r>
      <w:r w:rsidRPr="00D440D1">
        <w:t>% от годишния план. Отчетените за периода 01.01-30.09.2022г. разходи за капиталови субсидии за физически лица и предприятия са били 78,3 млн.</w:t>
      </w:r>
      <w:r>
        <w:t xml:space="preserve"> </w:t>
      </w:r>
      <w:r w:rsidRPr="00D440D1">
        <w:t>л</w:t>
      </w:r>
      <w:r>
        <w:t>е</w:t>
      </w:r>
      <w:r w:rsidRPr="00D440D1">
        <w:t>в</w:t>
      </w:r>
      <w:r>
        <w:t>а</w:t>
      </w:r>
      <w:r w:rsidRPr="00D440D1">
        <w:t>.</w:t>
      </w:r>
    </w:p>
    <w:p w:rsidR="00EB292B" w:rsidRPr="00D440D1" w:rsidRDefault="00EB292B" w:rsidP="00E565B4">
      <w:pPr>
        <w:tabs>
          <w:tab w:val="left" w:pos="993"/>
        </w:tabs>
        <w:ind w:firstLine="567"/>
        <w:jc w:val="both"/>
      </w:pPr>
      <w:r w:rsidRPr="00D440D1">
        <w:t>Разпределението по дейности е както следва:</w:t>
      </w:r>
    </w:p>
    <w:p w:rsidR="00EB292B" w:rsidRPr="00D440D1" w:rsidRDefault="00EB292B" w:rsidP="00EB292B">
      <w:pPr>
        <w:ind w:firstLine="720"/>
        <w:contextualSpacing/>
        <w:jc w:val="both"/>
      </w:pPr>
      <w:r w:rsidRPr="00D440D1">
        <w:t>- капиталови трансфери по Програмата за морско дело и рибарство (ПМДР) – 1,1 млн.</w:t>
      </w:r>
      <w:r>
        <w:t xml:space="preserve"> </w:t>
      </w:r>
      <w:r w:rsidRPr="00D440D1">
        <w:t>лв., 7,1</w:t>
      </w:r>
      <w:r>
        <w:t xml:space="preserve"> </w:t>
      </w:r>
      <w:r w:rsidRPr="00D440D1">
        <w:t>%  изпълнение на годишния план (15,4 млн.</w:t>
      </w:r>
      <w:r>
        <w:t xml:space="preserve"> </w:t>
      </w:r>
      <w:r w:rsidRPr="00D440D1">
        <w:t>лв.);</w:t>
      </w:r>
    </w:p>
    <w:p w:rsidR="00EB292B" w:rsidRPr="00D440D1" w:rsidRDefault="00EB292B" w:rsidP="00EB292B">
      <w:pPr>
        <w:ind w:firstLine="720"/>
        <w:contextualSpacing/>
        <w:jc w:val="both"/>
      </w:pPr>
      <w:r w:rsidRPr="00D440D1">
        <w:t>- капиталови трансфери по ПРСР – 114,3 млн.</w:t>
      </w:r>
      <w:r>
        <w:t xml:space="preserve"> </w:t>
      </w:r>
      <w:r w:rsidRPr="00D440D1">
        <w:t>лв., 35</w:t>
      </w:r>
      <w:r>
        <w:t xml:space="preserve">,0 </w:t>
      </w:r>
      <w:r w:rsidRPr="00D440D1">
        <w:t>% изпълнение на годишния план, възлизащ на 326,5 млн.</w:t>
      </w:r>
      <w:r>
        <w:t xml:space="preserve"> </w:t>
      </w:r>
      <w:r w:rsidRPr="00D440D1">
        <w:t>лв.;</w:t>
      </w:r>
    </w:p>
    <w:p w:rsidR="00EB292B" w:rsidRPr="00D440D1" w:rsidRDefault="00EB292B" w:rsidP="00EB292B">
      <w:pPr>
        <w:ind w:firstLine="720"/>
        <w:contextualSpacing/>
        <w:jc w:val="both"/>
      </w:pPr>
      <w:r w:rsidRPr="00D440D1">
        <w:t>- капиталови трансфери за пазарни мерки – 0,3 млн.</w:t>
      </w:r>
      <w:r>
        <w:t xml:space="preserve"> </w:t>
      </w:r>
      <w:r w:rsidRPr="00D440D1">
        <w:t>лв., изпълнение 50</w:t>
      </w:r>
      <w:r>
        <w:t xml:space="preserve"> </w:t>
      </w:r>
      <w:r w:rsidRPr="00D440D1">
        <w:t>% от годишен разчет 0,6 млн.</w:t>
      </w:r>
      <w:r>
        <w:t xml:space="preserve"> </w:t>
      </w:r>
      <w:r w:rsidRPr="00D440D1">
        <w:t>л</w:t>
      </w:r>
      <w:r>
        <w:t>е</w:t>
      </w:r>
      <w:r w:rsidRPr="00D440D1">
        <w:t>в</w:t>
      </w:r>
      <w:r>
        <w:t>а</w:t>
      </w:r>
      <w:r w:rsidRPr="00D440D1">
        <w:t>.</w:t>
      </w:r>
    </w:p>
    <w:p w:rsidR="00EB292B" w:rsidRPr="00D440D1" w:rsidRDefault="00EB292B" w:rsidP="00EB292B">
      <w:pPr>
        <w:numPr>
          <w:ilvl w:val="0"/>
          <w:numId w:val="19"/>
        </w:numPr>
        <w:tabs>
          <w:tab w:val="left" w:pos="993"/>
        </w:tabs>
        <w:spacing w:before="120" w:after="120"/>
        <w:ind w:left="1321" w:hanging="612"/>
        <w:jc w:val="both"/>
        <w:rPr>
          <w:b/>
          <w:i/>
          <w:lang w:eastAsia="bg-BG"/>
        </w:rPr>
      </w:pPr>
      <w:r w:rsidRPr="00D440D1">
        <w:rPr>
          <w:b/>
          <w:i/>
          <w:lang w:eastAsia="bg-BG"/>
        </w:rPr>
        <w:t>Капиталови трансфери за организации с нестопанска цел</w:t>
      </w:r>
    </w:p>
    <w:p w:rsidR="00EB292B" w:rsidRPr="00D440D1" w:rsidRDefault="00EB292B" w:rsidP="00E565B4">
      <w:pPr>
        <w:ind w:firstLine="567"/>
        <w:jc w:val="both"/>
      </w:pPr>
      <w:r w:rsidRPr="00D440D1">
        <w:t>Годишните разчети за капиталови трансфери за организации с нестопанска цел за 2023г. възлизат на 45,6 млн.</w:t>
      </w:r>
      <w:r>
        <w:t xml:space="preserve"> </w:t>
      </w:r>
      <w:r w:rsidRPr="00D440D1">
        <w:t>л</w:t>
      </w:r>
      <w:r>
        <w:t>е</w:t>
      </w:r>
      <w:r w:rsidRPr="00D440D1">
        <w:t>в</w:t>
      </w:r>
      <w:r>
        <w:t>а</w:t>
      </w:r>
      <w:r w:rsidRPr="00D440D1">
        <w:t>. Към 30.09.2023</w:t>
      </w:r>
      <w:r>
        <w:t xml:space="preserve"> </w:t>
      </w:r>
      <w:r w:rsidRPr="00D440D1">
        <w:t>г. са отчетени 8,4 млн.</w:t>
      </w:r>
      <w:r>
        <w:t xml:space="preserve"> </w:t>
      </w:r>
      <w:r w:rsidRPr="00D440D1">
        <w:t>лв., като степента на изпълнение е 18,4</w:t>
      </w:r>
      <w:r>
        <w:t xml:space="preserve"> процента</w:t>
      </w:r>
      <w:r w:rsidRPr="00D440D1">
        <w:t>. През същия период на предходната година е отчетена 16,7</w:t>
      </w:r>
      <w:r>
        <w:t xml:space="preserve"> </w:t>
      </w:r>
      <w:r w:rsidRPr="00D440D1">
        <w:t>% степен на изпълнение.</w:t>
      </w:r>
    </w:p>
    <w:p w:rsidR="00EB292B" w:rsidRPr="00D440D1" w:rsidRDefault="00EB292B" w:rsidP="00E565B4">
      <w:pPr>
        <w:tabs>
          <w:tab w:val="left" w:pos="993"/>
        </w:tabs>
        <w:ind w:firstLine="567"/>
        <w:jc w:val="both"/>
      </w:pPr>
      <w:r w:rsidRPr="00D440D1">
        <w:t>Разпределението по дейности е както следва:</w:t>
      </w:r>
    </w:p>
    <w:p w:rsidR="00EB292B" w:rsidRPr="00D440D1" w:rsidRDefault="00EB292B" w:rsidP="00EB292B">
      <w:pPr>
        <w:ind w:firstLine="720"/>
        <w:contextualSpacing/>
        <w:jc w:val="both"/>
      </w:pPr>
      <w:r w:rsidRPr="00D440D1">
        <w:t xml:space="preserve">- капиталови трансфери по ПМДР – </w:t>
      </w:r>
      <w:r>
        <w:t>няма усвоени средства</w:t>
      </w:r>
      <w:r w:rsidRPr="00D440D1">
        <w:t>, при годишен разчет 1,6</w:t>
      </w:r>
      <w:r w:rsidR="00B012DD">
        <w:t> </w:t>
      </w:r>
      <w:r w:rsidRPr="00D440D1">
        <w:t>млн.</w:t>
      </w:r>
      <w:r>
        <w:t> лева</w:t>
      </w:r>
      <w:r w:rsidRPr="00D440D1">
        <w:t>;</w:t>
      </w:r>
    </w:p>
    <w:p w:rsidR="00EB292B" w:rsidRPr="00D440D1" w:rsidRDefault="00EB292B" w:rsidP="00EB292B">
      <w:pPr>
        <w:ind w:firstLine="720"/>
        <w:contextualSpacing/>
        <w:jc w:val="both"/>
      </w:pPr>
      <w:r w:rsidRPr="00D440D1">
        <w:t>- капиталови трансфери по ПРСР – 8,4 млн.</w:t>
      </w:r>
      <w:r>
        <w:t xml:space="preserve"> </w:t>
      </w:r>
      <w:r w:rsidRPr="00D440D1">
        <w:t>лв., 19,1</w:t>
      </w:r>
      <w:r>
        <w:t xml:space="preserve"> </w:t>
      </w:r>
      <w:r w:rsidRPr="00D440D1">
        <w:t>% изпълнение на годишния план 44</w:t>
      </w:r>
      <w:r>
        <w:t>,0</w:t>
      </w:r>
      <w:r w:rsidR="00B012DD">
        <w:t> </w:t>
      </w:r>
      <w:r w:rsidRPr="00D440D1">
        <w:t>млн.</w:t>
      </w:r>
      <w:r>
        <w:t xml:space="preserve"> </w:t>
      </w:r>
      <w:r w:rsidRPr="00D440D1">
        <w:t>л</w:t>
      </w:r>
      <w:r>
        <w:t>е</w:t>
      </w:r>
      <w:r w:rsidRPr="00D440D1">
        <w:t>в</w:t>
      </w:r>
      <w:r>
        <w:t>а</w:t>
      </w:r>
      <w:r w:rsidRPr="00D440D1">
        <w:t>.</w:t>
      </w:r>
    </w:p>
    <w:p w:rsidR="00EB292B" w:rsidRPr="00D440D1" w:rsidRDefault="00EB292B" w:rsidP="00492CC9">
      <w:pPr>
        <w:numPr>
          <w:ilvl w:val="0"/>
          <w:numId w:val="20"/>
        </w:numPr>
        <w:spacing w:before="120" w:after="120" w:line="276" w:lineRule="auto"/>
        <w:ind w:left="777" w:hanging="357"/>
        <w:jc w:val="both"/>
        <w:rPr>
          <w:b/>
          <w:lang w:eastAsia="bg-BG"/>
        </w:rPr>
      </w:pPr>
      <w:r w:rsidRPr="00D440D1">
        <w:rPr>
          <w:b/>
          <w:lang w:eastAsia="bg-BG"/>
        </w:rPr>
        <w:t xml:space="preserve">Трансфери </w:t>
      </w:r>
    </w:p>
    <w:p w:rsidR="00EB292B" w:rsidRPr="00D440D1" w:rsidRDefault="00EB292B" w:rsidP="00991448">
      <w:pPr>
        <w:tabs>
          <w:tab w:val="left" w:pos="540"/>
        </w:tabs>
        <w:ind w:firstLine="567"/>
        <w:jc w:val="both"/>
      </w:pPr>
      <w:r w:rsidRPr="00D440D1">
        <w:t>В частта на трансферите, в касовия отчет на ДФЗ-РА към 30.09.2023</w:t>
      </w:r>
      <w:r>
        <w:t xml:space="preserve"> </w:t>
      </w:r>
      <w:r w:rsidRPr="00D440D1">
        <w:t>г. са отразени следните касови потоци:</w:t>
      </w:r>
    </w:p>
    <w:p w:rsidR="00EB292B" w:rsidRPr="00D440D1" w:rsidRDefault="00EB292B" w:rsidP="00EB292B">
      <w:pPr>
        <w:numPr>
          <w:ilvl w:val="0"/>
          <w:numId w:val="19"/>
        </w:numPr>
        <w:tabs>
          <w:tab w:val="left" w:pos="993"/>
        </w:tabs>
        <w:spacing w:before="120" w:after="120"/>
        <w:ind w:left="1321" w:hanging="612"/>
        <w:jc w:val="both"/>
        <w:rPr>
          <w:b/>
          <w:i/>
          <w:lang w:eastAsia="bg-BG"/>
        </w:rPr>
      </w:pPr>
      <w:r w:rsidRPr="00D440D1">
        <w:rPr>
          <w:b/>
          <w:i/>
          <w:lang w:eastAsia="bg-BG"/>
        </w:rPr>
        <w:t xml:space="preserve">Трансфери между бюджети и сметки за средства от Европейския съюз </w:t>
      </w:r>
    </w:p>
    <w:p w:rsidR="00EB292B" w:rsidRPr="00D440D1" w:rsidRDefault="00EB292B" w:rsidP="00991448">
      <w:pPr>
        <w:ind w:firstLine="567"/>
        <w:jc w:val="both"/>
      </w:pPr>
      <w:r w:rsidRPr="00D440D1">
        <w:t>Получените трансфери от бюджетни сметки на бюджетни организации и общини са формирани при възстановяване на суми по вземания по ПРСР, ПМДР и директни плащания. За периода 01.01-30.09.2023</w:t>
      </w:r>
      <w:r>
        <w:t xml:space="preserve"> </w:t>
      </w:r>
      <w:r w:rsidRPr="00D440D1">
        <w:t>г. техният размер е 1,4 млн.</w:t>
      </w:r>
      <w:r>
        <w:t xml:space="preserve"> </w:t>
      </w:r>
      <w:r w:rsidRPr="00D440D1">
        <w:t>лв.</w:t>
      </w:r>
    </w:p>
    <w:p w:rsidR="00EB292B" w:rsidRPr="00D440D1" w:rsidRDefault="00EB292B" w:rsidP="00991448">
      <w:pPr>
        <w:ind w:firstLine="567"/>
        <w:jc w:val="both"/>
      </w:pPr>
      <w:r w:rsidRPr="00D440D1">
        <w:t>Предоставените за периода трансфери във връзка с чл.14 от Закона за подпомагане на земеделските производители възлизат на 0,7 млн.</w:t>
      </w:r>
      <w:r>
        <w:t xml:space="preserve"> </w:t>
      </w:r>
      <w:r w:rsidRPr="00D440D1">
        <w:t>лв.</w:t>
      </w:r>
    </w:p>
    <w:p w:rsidR="00EB292B" w:rsidRPr="00D440D1" w:rsidRDefault="00EB292B" w:rsidP="00EB292B">
      <w:pPr>
        <w:numPr>
          <w:ilvl w:val="0"/>
          <w:numId w:val="19"/>
        </w:numPr>
        <w:tabs>
          <w:tab w:val="left" w:pos="993"/>
        </w:tabs>
        <w:spacing w:before="120" w:after="120"/>
        <w:ind w:left="1321" w:hanging="612"/>
        <w:jc w:val="both"/>
        <w:rPr>
          <w:b/>
          <w:i/>
          <w:lang w:eastAsia="bg-BG"/>
        </w:rPr>
      </w:pPr>
      <w:r w:rsidRPr="00D440D1">
        <w:rPr>
          <w:b/>
          <w:i/>
          <w:lang w:eastAsia="bg-BG"/>
        </w:rPr>
        <w:t>Трансфери между сметки за средства от Европейския съюз:</w:t>
      </w:r>
    </w:p>
    <w:p w:rsidR="00EB292B" w:rsidRPr="00D440D1" w:rsidRDefault="00EB292B" w:rsidP="00991448">
      <w:pPr>
        <w:tabs>
          <w:tab w:val="left" w:pos="540"/>
        </w:tabs>
        <w:ind w:firstLine="567"/>
        <w:jc w:val="both"/>
      </w:pPr>
      <w:r w:rsidRPr="00D440D1">
        <w:t>Предоставените трансфери са формирани от изплатените субсидии на публични бенефициенти и възстановените от тях суми. Към 30.09.202</w:t>
      </w:r>
      <w:r w:rsidRPr="00D440D1">
        <w:rPr>
          <w:lang w:val="en-US"/>
        </w:rPr>
        <w:t>3</w:t>
      </w:r>
      <w:r>
        <w:t xml:space="preserve"> </w:t>
      </w:r>
      <w:r w:rsidRPr="00D440D1">
        <w:t xml:space="preserve">г. са отчетени </w:t>
      </w:r>
      <w:r w:rsidRPr="00D440D1">
        <w:rPr>
          <w:lang w:val="en-US"/>
        </w:rPr>
        <w:t>50,6</w:t>
      </w:r>
      <w:r w:rsidRPr="00D440D1">
        <w:t xml:space="preserve"> млн.</w:t>
      </w:r>
      <w:r>
        <w:t xml:space="preserve"> </w:t>
      </w:r>
      <w:r w:rsidRPr="00D440D1">
        <w:t xml:space="preserve">лв., в т.ч.: </w:t>
      </w:r>
    </w:p>
    <w:p w:rsidR="00EB292B" w:rsidRPr="00D440D1" w:rsidRDefault="00EB292B" w:rsidP="00991448">
      <w:pPr>
        <w:numPr>
          <w:ilvl w:val="0"/>
          <w:numId w:val="34"/>
        </w:numPr>
        <w:tabs>
          <w:tab w:val="left" w:pos="540"/>
          <w:tab w:val="left" w:pos="851"/>
        </w:tabs>
        <w:ind w:left="0" w:firstLine="567"/>
        <w:contextualSpacing/>
        <w:jc w:val="both"/>
      </w:pPr>
      <w:r w:rsidRPr="00D440D1">
        <w:t>по Програмата за развитие на селските райони: 44,7 млн.</w:t>
      </w:r>
      <w:r>
        <w:t xml:space="preserve"> </w:t>
      </w:r>
      <w:r w:rsidRPr="00D440D1">
        <w:t>лв.</w:t>
      </w:r>
      <w:r>
        <w:t>;</w:t>
      </w:r>
      <w:r w:rsidRPr="00D440D1">
        <w:t xml:space="preserve"> </w:t>
      </w:r>
    </w:p>
    <w:p w:rsidR="00EB292B" w:rsidRPr="00D440D1" w:rsidRDefault="00EB292B" w:rsidP="00991448">
      <w:pPr>
        <w:numPr>
          <w:ilvl w:val="0"/>
          <w:numId w:val="34"/>
        </w:numPr>
        <w:tabs>
          <w:tab w:val="left" w:pos="540"/>
          <w:tab w:val="left" w:pos="851"/>
        </w:tabs>
        <w:ind w:left="0" w:firstLine="567"/>
        <w:contextualSpacing/>
        <w:jc w:val="both"/>
      </w:pPr>
      <w:r w:rsidRPr="00D440D1">
        <w:t>национално съфинансиране към директни плащания: 0,1 млн.</w:t>
      </w:r>
      <w:r>
        <w:t xml:space="preserve"> </w:t>
      </w:r>
      <w:r w:rsidRPr="00D440D1">
        <w:t>лв.;</w:t>
      </w:r>
    </w:p>
    <w:p w:rsidR="00EB292B" w:rsidRPr="00D440D1" w:rsidRDefault="00EB292B" w:rsidP="00991448">
      <w:pPr>
        <w:numPr>
          <w:ilvl w:val="0"/>
          <w:numId w:val="34"/>
        </w:numPr>
        <w:tabs>
          <w:tab w:val="left" w:pos="540"/>
          <w:tab w:val="left" w:pos="851"/>
        </w:tabs>
        <w:ind w:left="0" w:firstLine="567"/>
        <w:contextualSpacing/>
        <w:jc w:val="both"/>
      </w:pPr>
      <w:r w:rsidRPr="00D440D1">
        <w:t>по Програмата за морско дело и рибарство: 5,7 млн.</w:t>
      </w:r>
      <w:r>
        <w:t xml:space="preserve"> л</w:t>
      </w:r>
      <w:r w:rsidRPr="00D440D1">
        <w:t>в</w:t>
      </w:r>
      <w:r>
        <w:t>.</w:t>
      </w:r>
      <w:r w:rsidRPr="00D440D1">
        <w:t>;</w:t>
      </w:r>
    </w:p>
    <w:p w:rsidR="00EB292B" w:rsidRPr="00D440D1" w:rsidRDefault="00EB292B" w:rsidP="00991448">
      <w:pPr>
        <w:numPr>
          <w:ilvl w:val="0"/>
          <w:numId w:val="34"/>
        </w:numPr>
        <w:tabs>
          <w:tab w:val="left" w:pos="540"/>
          <w:tab w:val="left" w:pos="851"/>
        </w:tabs>
        <w:ind w:left="0" w:firstLine="567"/>
        <w:contextualSpacing/>
        <w:jc w:val="both"/>
      </w:pPr>
      <w:r w:rsidRPr="00D440D1">
        <w:t>пазарни мерки</w:t>
      </w:r>
      <w:r w:rsidRPr="00D440D1">
        <w:rPr>
          <w:lang w:val="en-US"/>
        </w:rPr>
        <w:t xml:space="preserve">: </w:t>
      </w:r>
      <w:r w:rsidRPr="00D440D1">
        <w:t>0,1 млн.</w:t>
      </w:r>
      <w:r>
        <w:t xml:space="preserve"> </w:t>
      </w:r>
      <w:r w:rsidRPr="00D440D1">
        <w:t>лв.</w:t>
      </w:r>
    </w:p>
    <w:p w:rsidR="00EB292B" w:rsidRPr="00D440D1" w:rsidRDefault="00EB292B" w:rsidP="00991448">
      <w:pPr>
        <w:tabs>
          <w:tab w:val="left" w:pos="540"/>
        </w:tabs>
        <w:ind w:firstLine="567"/>
        <w:jc w:val="both"/>
      </w:pPr>
      <w:r w:rsidRPr="00D440D1">
        <w:t>Към края на третото тримесечие на 2022г. предоставените трансфери са възлизали на 110,3</w:t>
      </w:r>
      <w:r w:rsidR="005E53F6">
        <w:t> </w:t>
      </w:r>
      <w:r w:rsidRPr="00D440D1">
        <w:t>млн.</w:t>
      </w:r>
      <w:r>
        <w:t xml:space="preserve"> </w:t>
      </w:r>
      <w:r w:rsidRPr="00D440D1">
        <w:t>л</w:t>
      </w:r>
      <w:r>
        <w:t>е</w:t>
      </w:r>
      <w:r w:rsidRPr="00D440D1">
        <w:t>в</w:t>
      </w:r>
      <w:r>
        <w:t>а</w:t>
      </w:r>
      <w:r w:rsidRPr="00D440D1">
        <w:t>.</w:t>
      </w:r>
    </w:p>
    <w:p w:rsidR="00EB292B" w:rsidRPr="00D440D1" w:rsidRDefault="00EB292B" w:rsidP="00291FA2">
      <w:pPr>
        <w:numPr>
          <w:ilvl w:val="0"/>
          <w:numId w:val="20"/>
        </w:numPr>
        <w:spacing w:before="120" w:after="120" w:line="276" w:lineRule="auto"/>
        <w:ind w:left="777" w:hanging="357"/>
        <w:jc w:val="both"/>
        <w:rPr>
          <w:b/>
          <w:lang w:eastAsia="bg-BG"/>
        </w:rPr>
      </w:pPr>
      <w:r w:rsidRPr="00D440D1">
        <w:rPr>
          <w:b/>
          <w:lang w:eastAsia="bg-BG"/>
        </w:rPr>
        <w:t>Финансиране</w:t>
      </w:r>
    </w:p>
    <w:p w:rsidR="00EB292B" w:rsidRPr="00D440D1" w:rsidRDefault="00EB292B" w:rsidP="00EB292B">
      <w:pPr>
        <w:numPr>
          <w:ilvl w:val="0"/>
          <w:numId w:val="19"/>
        </w:numPr>
        <w:tabs>
          <w:tab w:val="left" w:pos="993"/>
        </w:tabs>
        <w:spacing w:before="120" w:after="120"/>
        <w:ind w:left="851" w:hanging="425"/>
        <w:jc w:val="both"/>
        <w:rPr>
          <w:b/>
          <w:lang w:eastAsia="bg-BG"/>
        </w:rPr>
      </w:pPr>
      <w:r w:rsidRPr="00D440D1">
        <w:rPr>
          <w:b/>
          <w:lang w:eastAsia="bg-BG"/>
        </w:rPr>
        <w:t>Събрани средства и извършени плащания за сметка на други бюджети</w:t>
      </w:r>
    </w:p>
    <w:p w:rsidR="00EB292B" w:rsidRPr="00D440D1" w:rsidRDefault="00EB292B" w:rsidP="00991448">
      <w:pPr>
        <w:tabs>
          <w:tab w:val="left" w:pos="851"/>
        </w:tabs>
        <w:spacing w:before="120" w:after="120"/>
        <w:ind w:firstLine="567"/>
        <w:jc w:val="both"/>
        <w:rPr>
          <w:b/>
          <w:lang w:eastAsia="bg-BG"/>
        </w:rPr>
      </w:pPr>
      <w:r w:rsidRPr="00D440D1">
        <w:rPr>
          <w:lang w:eastAsia="bg-BG"/>
        </w:rPr>
        <w:t>Към 30.09.2023</w:t>
      </w:r>
      <w:r>
        <w:rPr>
          <w:lang w:eastAsia="bg-BG"/>
        </w:rPr>
        <w:t xml:space="preserve"> </w:t>
      </w:r>
      <w:r w:rsidRPr="00D440D1">
        <w:rPr>
          <w:lang w:eastAsia="bg-BG"/>
        </w:rPr>
        <w:t>г. сумата за събрани средства и извършени плащания за сметка на други бюджети възлиза нето на минус 178,3 млн.</w:t>
      </w:r>
      <w:r>
        <w:rPr>
          <w:lang w:eastAsia="bg-BG"/>
        </w:rPr>
        <w:t xml:space="preserve"> </w:t>
      </w:r>
      <w:r w:rsidRPr="00D440D1">
        <w:rPr>
          <w:lang w:eastAsia="bg-BG"/>
        </w:rPr>
        <w:t>л</w:t>
      </w:r>
      <w:r>
        <w:rPr>
          <w:lang w:eastAsia="bg-BG"/>
        </w:rPr>
        <w:t>е</w:t>
      </w:r>
      <w:r w:rsidRPr="00D440D1">
        <w:rPr>
          <w:lang w:eastAsia="bg-BG"/>
        </w:rPr>
        <w:t>в</w:t>
      </w:r>
      <w:r>
        <w:rPr>
          <w:lang w:eastAsia="bg-BG"/>
        </w:rPr>
        <w:t>а</w:t>
      </w:r>
      <w:r w:rsidRPr="00D440D1">
        <w:rPr>
          <w:lang w:eastAsia="bg-BG"/>
        </w:rPr>
        <w:t>.</w:t>
      </w:r>
    </w:p>
    <w:p w:rsidR="00EB292B" w:rsidRPr="00D440D1" w:rsidRDefault="00EB292B" w:rsidP="00EB292B">
      <w:pPr>
        <w:numPr>
          <w:ilvl w:val="0"/>
          <w:numId w:val="19"/>
        </w:numPr>
        <w:tabs>
          <w:tab w:val="left" w:pos="993"/>
        </w:tabs>
        <w:spacing w:before="120" w:after="120"/>
        <w:ind w:left="851" w:hanging="425"/>
        <w:jc w:val="both"/>
        <w:rPr>
          <w:b/>
          <w:lang w:eastAsia="bg-BG"/>
        </w:rPr>
      </w:pPr>
      <w:r w:rsidRPr="00D440D1">
        <w:rPr>
          <w:b/>
          <w:lang w:eastAsia="bg-BG"/>
        </w:rPr>
        <w:t>Суми по разчети за поети осигурителни вноски и данъци</w:t>
      </w:r>
    </w:p>
    <w:p w:rsidR="00EB292B" w:rsidRPr="00D440D1" w:rsidRDefault="00EB292B" w:rsidP="00991448">
      <w:pPr>
        <w:ind w:firstLine="567"/>
        <w:jc w:val="both"/>
        <w:rPr>
          <w:lang w:eastAsia="bg-BG"/>
        </w:rPr>
      </w:pPr>
      <w:r w:rsidRPr="00D440D1">
        <w:rPr>
          <w:lang w:eastAsia="bg-BG"/>
        </w:rPr>
        <w:t>Към края на третото тримесечие на 2023</w:t>
      </w:r>
      <w:r>
        <w:rPr>
          <w:lang w:eastAsia="bg-BG"/>
        </w:rPr>
        <w:t xml:space="preserve"> </w:t>
      </w:r>
      <w:r w:rsidRPr="00D440D1">
        <w:rPr>
          <w:lang w:eastAsia="bg-BG"/>
        </w:rPr>
        <w:t>г. сумата по разчети за поети данъци, формирани от удържан и внесен окончателен данък на физически лица, съгл. чл. 65, ал. 14 от ЗДДФЛ възлиза нето на 0,02 млн.</w:t>
      </w:r>
      <w:r>
        <w:rPr>
          <w:lang w:eastAsia="bg-BG"/>
        </w:rPr>
        <w:t xml:space="preserve"> </w:t>
      </w:r>
      <w:r w:rsidRPr="00D440D1">
        <w:rPr>
          <w:lang w:eastAsia="bg-BG"/>
        </w:rPr>
        <w:t>л</w:t>
      </w:r>
      <w:r>
        <w:rPr>
          <w:lang w:eastAsia="bg-BG"/>
        </w:rPr>
        <w:t>е</w:t>
      </w:r>
      <w:r w:rsidRPr="00D440D1">
        <w:rPr>
          <w:lang w:eastAsia="bg-BG"/>
        </w:rPr>
        <w:t>в</w:t>
      </w:r>
      <w:r>
        <w:rPr>
          <w:lang w:eastAsia="bg-BG"/>
        </w:rPr>
        <w:t>а</w:t>
      </w:r>
      <w:r w:rsidRPr="00D440D1">
        <w:rPr>
          <w:lang w:eastAsia="bg-BG"/>
        </w:rPr>
        <w:t>.</w:t>
      </w:r>
    </w:p>
    <w:p w:rsidR="00EB292B" w:rsidRPr="00D440D1" w:rsidRDefault="00EB292B" w:rsidP="00EB292B">
      <w:pPr>
        <w:numPr>
          <w:ilvl w:val="0"/>
          <w:numId w:val="19"/>
        </w:numPr>
        <w:tabs>
          <w:tab w:val="left" w:pos="993"/>
        </w:tabs>
        <w:spacing w:before="120" w:after="120"/>
        <w:ind w:left="851" w:hanging="425"/>
        <w:jc w:val="both"/>
        <w:rPr>
          <w:b/>
          <w:lang w:eastAsia="bg-BG"/>
        </w:rPr>
      </w:pPr>
      <w:r w:rsidRPr="00D440D1">
        <w:rPr>
          <w:b/>
          <w:lang w:eastAsia="bg-BG"/>
        </w:rPr>
        <w:t>Друго финансиране</w:t>
      </w:r>
    </w:p>
    <w:p w:rsidR="00EB292B" w:rsidRPr="00D440D1" w:rsidRDefault="00EB292B" w:rsidP="00991448">
      <w:pPr>
        <w:ind w:firstLine="567"/>
        <w:jc w:val="both"/>
        <w:rPr>
          <w:lang w:eastAsia="bg-BG"/>
        </w:rPr>
      </w:pPr>
      <w:r w:rsidRPr="00D440D1">
        <w:rPr>
          <w:lang w:eastAsia="bg-BG"/>
        </w:rPr>
        <w:t>За периода 01.01-30.09.2023</w:t>
      </w:r>
      <w:r>
        <w:rPr>
          <w:lang w:eastAsia="bg-BG"/>
        </w:rPr>
        <w:t xml:space="preserve"> </w:t>
      </w:r>
      <w:r w:rsidRPr="00D440D1">
        <w:rPr>
          <w:lang w:eastAsia="bg-BG"/>
        </w:rPr>
        <w:t>г. извършените плащания, възстановените суми, разчетът с централния бюджет и операциите с чужди средства, включени в отчетността в „Друго финансиране“ възлизат общо на 256,6 млн.</w:t>
      </w:r>
      <w:r w:rsidRPr="00E03980">
        <w:rPr>
          <w:lang w:val="ru-RU" w:eastAsia="bg-BG"/>
        </w:rPr>
        <w:t xml:space="preserve"> </w:t>
      </w:r>
      <w:r w:rsidRPr="00D440D1">
        <w:rPr>
          <w:lang w:eastAsia="bg-BG"/>
        </w:rPr>
        <w:t>лв., при планирани 31</w:t>
      </w:r>
      <w:r>
        <w:rPr>
          <w:lang w:eastAsia="bg-BG"/>
        </w:rPr>
        <w:t>,0</w:t>
      </w:r>
      <w:r w:rsidRPr="00D440D1">
        <w:rPr>
          <w:lang w:eastAsia="bg-BG"/>
        </w:rPr>
        <w:t xml:space="preserve"> млн.</w:t>
      </w:r>
      <w:r w:rsidRPr="00E03980">
        <w:rPr>
          <w:lang w:val="ru-RU" w:eastAsia="bg-BG"/>
        </w:rPr>
        <w:t xml:space="preserve"> </w:t>
      </w:r>
      <w:r w:rsidRPr="00D440D1">
        <w:rPr>
          <w:lang w:eastAsia="bg-BG"/>
        </w:rPr>
        <w:t>л</w:t>
      </w:r>
      <w:r>
        <w:rPr>
          <w:lang w:eastAsia="bg-BG"/>
        </w:rPr>
        <w:t>е</w:t>
      </w:r>
      <w:r w:rsidRPr="00D440D1">
        <w:rPr>
          <w:lang w:eastAsia="bg-BG"/>
        </w:rPr>
        <w:t>в</w:t>
      </w:r>
      <w:r>
        <w:rPr>
          <w:lang w:eastAsia="bg-BG"/>
        </w:rPr>
        <w:t>а</w:t>
      </w:r>
      <w:r w:rsidRPr="00D440D1">
        <w:rPr>
          <w:lang w:eastAsia="bg-BG"/>
        </w:rPr>
        <w:t>.</w:t>
      </w:r>
    </w:p>
    <w:p w:rsidR="00EB292B" w:rsidRPr="00D440D1" w:rsidRDefault="00EB292B" w:rsidP="00991448">
      <w:pPr>
        <w:ind w:firstLine="567"/>
        <w:jc w:val="both"/>
        <w:rPr>
          <w:lang w:eastAsia="bg-BG"/>
        </w:rPr>
      </w:pPr>
      <w:r w:rsidRPr="00D440D1">
        <w:rPr>
          <w:lang w:eastAsia="bg-BG"/>
        </w:rPr>
        <w:t>Към 30.09.2023</w:t>
      </w:r>
      <w:r>
        <w:rPr>
          <w:lang w:eastAsia="bg-BG"/>
        </w:rPr>
        <w:t xml:space="preserve"> </w:t>
      </w:r>
      <w:r w:rsidRPr="00D440D1">
        <w:rPr>
          <w:lang w:eastAsia="bg-BG"/>
        </w:rPr>
        <w:t>г. са отчетени плащания в общ размер 925,1 млн.</w:t>
      </w:r>
      <w:r>
        <w:rPr>
          <w:lang w:eastAsia="bg-BG"/>
        </w:rPr>
        <w:t xml:space="preserve"> </w:t>
      </w:r>
      <w:r w:rsidRPr="00D440D1">
        <w:rPr>
          <w:lang w:eastAsia="bg-BG"/>
        </w:rPr>
        <w:t>лв., представляващи 45,2</w:t>
      </w:r>
      <w:r>
        <w:rPr>
          <w:lang w:eastAsia="bg-BG"/>
        </w:rPr>
        <w:t> </w:t>
      </w:r>
      <w:r w:rsidRPr="00D440D1">
        <w:rPr>
          <w:lang w:eastAsia="bg-BG"/>
        </w:rPr>
        <w:t>% от годишните разчети, които са 2</w:t>
      </w:r>
      <w:r w:rsidRPr="00D440D1">
        <w:rPr>
          <w:lang w:val="en-US" w:eastAsia="bg-BG"/>
        </w:rPr>
        <w:t> </w:t>
      </w:r>
      <w:r w:rsidRPr="00D440D1">
        <w:rPr>
          <w:lang w:eastAsia="bg-BG"/>
        </w:rPr>
        <w:t>045,2 млн.</w:t>
      </w:r>
      <w:r>
        <w:rPr>
          <w:lang w:eastAsia="bg-BG"/>
        </w:rPr>
        <w:t xml:space="preserve"> </w:t>
      </w:r>
      <w:r w:rsidRPr="00D440D1">
        <w:rPr>
          <w:lang w:eastAsia="bg-BG"/>
        </w:rPr>
        <w:t>л</w:t>
      </w:r>
      <w:r>
        <w:rPr>
          <w:lang w:eastAsia="bg-BG"/>
        </w:rPr>
        <w:t>е</w:t>
      </w:r>
      <w:r w:rsidRPr="00D440D1">
        <w:rPr>
          <w:lang w:eastAsia="bg-BG"/>
        </w:rPr>
        <w:t>в</w:t>
      </w:r>
      <w:r>
        <w:rPr>
          <w:lang w:eastAsia="bg-BG"/>
        </w:rPr>
        <w:t>а</w:t>
      </w:r>
      <w:r w:rsidRPr="00D440D1">
        <w:rPr>
          <w:lang w:eastAsia="bg-BG"/>
        </w:rPr>
        <w:t>. За същия период на 2022</w:t>
      </w:r>
      <w:r>
        <w:rPr>
          <w:lang w:eastAsia="bg-BG"/>
        </w:rPr>
        <w:t xml:space="preserve"> </w:t>
      </w:r>
      <w:r w:rsidRPr="00D440D1">
        <w:rPr>
          <w:lang w:eastAsia="bg-BG"/>
        </w:rPr>
        <w:t>г. плащанията, отчитани като финансиране са били 931,1 млн.</w:t>
      </w:r>
      <w:r>
        <w:rPr>
          <w:lang w:eastAsia="bg-BG"/>
        </w:rPr>
        <w:t xml:space="preserve"> </w:t>
      </w:r>
      <w:r w:rsidRPr="00D440D1">
        <w:rPr>
          <w:lang w:eastAsia="bg-BG"/>
        </w:rPr>
        <w:t>л</w:t>
      </w:r>
      <w:r>
        <w:rPr>
          <w:lang w:eastAsia="bg-BG"/>
        </w:rPr>
        <w:t>е</w:t>
      </w:r>
      <w:r w:rsidRPr="00D440D1">
        <w:rPr>
          <w:lang w:eastAsia="bg-BG"/>
        </w:rPr>
        <w:t>в</w:t>
      </w:r>
      <w:r>
        <w:rPr>
          <w:lang w:eastAsia="bg-BG"/>
        </w:rPr>
        <w:t>а</w:t>
      </w:r>
      <w:r w:rsidRPr="00D440D1">
        <w:rPr>
          <w:lang w:eastAsia="bg-BG"/>
        </w:rPr>
        <w:t>.</w:t>
      </w:r>
    </w:p>
    <w:p w:rsidR="00EB292B" w:rsidRPr="00D440D1" w:rsidRDefault="00EB292B" w:rsidP="00991448">
      <w:pPr>
        <w:ind w:firstLine="567"/>
        <w:jc w:val="both"/>
        <w:rPr>
          <w:lang w:eastAsia="bg-BG"/>
        </w:rPr>
      </w:pPr>
      <w:r w:rsidRPr="00D440D1">
        <w:rPr>
          <w:lang w:eastAsia="bg-BG"/>
        </w:rPr>
        <w:t>Отчетените плащания са по следните направления:</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787,1 млн.</w:t>
      </w:r>
      <w:r>
        <w:rPr>
          <w:szCs w:val="20"/>
        </w:rPr>
        <w:t xml:space="preserve"> </w:t>
      </w:r>
      <w:r w:rsidRPr="00D440D1">
        <w:rPr>
          <w:szCs w:val="20"/>
        </w:rPr>
        <w:t>лв. за директни плащания за сметка на ЕФГЗ, представляващи 46,5</w:t>
      </w:r>
      <w:r>
        <w:rPr>
          <w:szCs w:val="20"/>
        </w:rPr>
        <w:t xml:space="preserve"> </w:t>
      </w:r>
      <w:r w:rsidRPr="00D440D1">
        <w:rPr>
          <w:szCs w:val="20"/>
        </w:rPr>
        <w:t>% от планираните 1 694,4 млн.</w:t>
      </w:r>
      <w:r>
        <w:rPr>
          <w:szCs w:val="20"/>
        </w:rPr>
        <w:t xml:space="preserve"> </w:t>
      </w:r>
      <w:r w:rsidRPr="00D440D1">
        <w:rPr>
          <w:szCs w:val="20"/>
        </w:rPr>
        <w:t>лв.;</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90</w:t>
      </w:r>
      <w:r>
        <w:rPr>
          <w:szCs w:val="20"/>
        </w:rPr>
        <w:t>,0</w:t>
      </w:r>
      <w:r w:rsidRPr="00D440D1">
        <w:rPr>
          <w:szCs w:val="20"/>
        </w:rPr>
        <w:t xml:space="preserve"> млн.</w:t>
      </w:r>
      <w:r>
        <w:rPr>
          <w:szCs w:val="20"/>
        </w:rPr>
        <w:t xml:space="preserve"> </w:t>
      </w:r>
      <w:r w:rsidRPr="00D440D1">
        <w:rPr>
          <w:szCs w:val="20"/>
        </w:rPr>
        <w:t>лв. средства от ЕЗФРСР, прехвърлени към директни плащания, което е 32,4</w:t>
      </w:r>
      <w:r w:rsidR="00382926">
        <w:rPr>
          <w:szCs w:val="20"/>
          <w:lang w:val="en-US"/>
        </w:rPr>
        <w:t> </w:t>
      </w:r>
      <w:r w:rsidRPr="00D440D1">
        <w:rPr>
          <w:szCs w:val="20"/>
        </w:rPr>
        <w:t>% от планираните  278,1 млн.</w:t>
      </w:r>
      <w:r>
        <w:rPr>
          <w:szCs w:val="20"/>
        </w:rPr>
        <w:t xml:space="preserve"> </w:t>
      </w:r>
      <w:r w:rsidRPr="00D440D1">
        <w:rPr>
          <w:szCs w:val="20"/>
        </w:rPr>
        <w:t>лв.;</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42,7 млн.</w:t>
      </w:r>
      <w:r>
        <w:rPr>
          <w:szCs w:val="20"/>
        </w:rPr>
        <w:t xml:space="preserve"> </w:t>
      </w:r>
      <w:r w:rsidRPr="00D440D1">
        <w:rPr>
          <w:szCs w:val="20"/>
        </w:rPr>
        <w:t>лв. за пазарни мерки при разчет за плащания в размер 60,3 млн.</w:t>
      </w:r>
      <w:r>
        <w:rPr>
          <w:szCs w:val="20"/>
        </w:rPr>
        <w:t xml:space="preserve"> </w:t>
      </w:r>
      <w:r w:rsidRPr="00D440D1">
        <w:rPr>
          <w:szCs w:val="20"/>
        </w:rPr>
        <w:t>лв. изпълнение 70,8</w:t>
      </w:r>
      <w:r>
        <w:rPr>
          <w:szCs w:val="20"/>
        </w:rPr>
        <w:t xml:space="preserve"> процента</w:t>
      </w:r>
      <w:r w:rsidRPr="00D440D1">
        <w:rPr>
          <w:szCs w:val="20"/>
        </w:rPr>
        <w:t>;</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5,3 млн.</w:t>
      </w:r>
      <w:r>
        <w:rPr>
          <w:szCs w:val="20"/>
        </w:rPr>
        <w:t xml:space="preserve"> </w:t>
      </w:r>
      <w:r w:rsidRPr="00D440D1">
        <w:rPr>
          <w:szCs w:val="20"/>
        </w:rPr>
        <w:t>лв. за преструктуриране, изпълнение 43,1</w:t>
      </w:r>
      <w:r>
        <w:rPr>
          <w:szCs w:val="20"/>
        </w:rPr>
        <w:t xml:space="preserve"> </w:t>
      </w:r>
      <w:r w:rsidRPr="00D440D1">
        <w:rPr>
          <w:szCs w:val="20"/>
        </w:rPr>
        <w:t>% от планираните плащания в размер 12,3 млн.</w:t>
      </w:r>
      <w:r>
        <w:rPr>
          <w:szCs w:val="20"/>
        </w:rPr>
        <w:t xml:space="preserve"> </w:t>
      </w:r>
      <w:r w:rsidRPr="00D440D1">
        <w:rPr>
          <w:szCs w:val="20"/>
        </w:rPr>
        <w:t>л</w:t>
      </w:r>
      <w:r>
        <w:rPr>
          <w:szCs w:val="20"/>
        </w:rPr>
        <w:t>е</w:t>
      </w:r>
      <w:r w:rsidRPr="00D440D1">
        <w:rPr>
          <w:szCs w:val="20"/>
        </w:rPr>
        <w:t>в</w:t>
      </w:r>
      <w:r>
        <w:rPr>
          <w:szCs w:val="20"/>
        </w:rPr>
        <w:t>а</w:t>
      </w:r>
      <w:r w:rsidRPr="00D440D1">
        <w:rPr>
          <w:szCs w:val="20"/>
        </w:rPr>
        <w:t>.</w:t>
      </w:r>
    </w:p>
    <w:p w:rsidR="00EB292B" w:rsidRPr="00D440D1" w:rsidRDefault="00EB292B" w:rsidP="00991448">
      <w:pPr>
        <w:ind w:firstLine="567"/>
        <w:jc w:val="both"/>
        <w:rPr>
          <w:lang w:eastAsia="bg-BG"/>
        </w:rPr>
      </w:pPr>
      <w:r w:rsidRPr="00D440D1">
        <w:rPr>
          <w:lang w:eastAsia="bg-BG"/>
        </w:rPr>
        <w:t>Възстановените суми от Европейския съюз към 30.09.2023</w:t>
      </w:r>
      <w:r>
        <w:rPr>
          <w:lang w:eastAsia="bg-BG"/>
        </w:rPr>
        <w:t xml:space="preserve"> </w:t>
      </w:r>
      <w:r w:rsidRPr="00D440D1">
        <w:rPr>
          <w:lang w:eastAsia="bg-BG"/>
        </w:rPr>
        <w:t>г. възлизат общо на</w:t>
      </w:r>
      <w:r>
        <w:rPr>
          <w:lang w:eastAsia="bg-BG"/>
        </w:rPr>
        <w:t xml:space="preserve"> </w:t>
      </w:r>
      <w:r w:rsidRPr="00D440D1">
        <w:rPr>
          <w:lang w:eastAsia="bg-BG"/>
        </w:rPr>
        <w:t>1 784,3</w:t>
      </w:r>
      <w:r w:rsidR="001543D7">
        <w:rPr>
          <w:lang w:val="en-US" w:eastAsia="bg-BG"/>
        </w:rPr>
        <w:t> </w:t>
      </w:r>
      <w:r w:rsidRPr="00D440D1">
        <w:rPr>
          <w:lang w:eastAsia="bg-BG"/>
        </w:rPr>
        <w:t>млн.</w:t>
      </w:r>
      <w:r>
        <w:rPr>
          <w:lang w:eastAsia="bg-BG"/>
        </w:rPr>
        <w:t> </w:t>
      </w:r>
      <w:r w:rsidRPr="00D440D1">
        <w:rPr>
          <w:lang w:eastAsia="bg-BG"/>
        </w:rPr>
        <w:t>лв., представляващи 93,1</w:t>
      </w:r>
      <w:r>
        <w:rPr>
          <w:lang w:eastAsia="bg-BG"/>
        </w:rPr>
        <w:t xml:space="preserve"> </w:t>
      </w:r>
      <w:r w:rsidRPr="00D440D1">
        <w:rPr>
          <w:lang w:eastAsia="bg-BG"/>
        </w:rPr>
        <w:t>% от планираните 1</w:t>
      </w:r>
      <w:r w:rsidRPr="00D440D1">
        <w:rPr>
          <w:lang w:val="en-US" w:eastAsia="bg-BG"/>
        </w:rPr>
        <w:t> </w:t>
      </w:r>
      <w:r w:rsidRPr="00D440D1">
        <w:rPr>
          <w:lang w:eastAsia="bg-BG"/>
        </w:rPr>
        <w:t>915,7 млн.</w:t>
      </w:r>
      <w:r>
        <w:rPr>
          <w:lang w:eastAsia="bg-BG"/>
        </w:rPr>
        <w:t xml:space="preserve"> </w:t>
      </w:r>
      <w:r w:rsidRPr="00D440D1">
        <w:rPr>
          <w:lang w:eastAsia="bg-BG"/>
        </w:rPr>
        <w:t>л</w:t>
      </w:r>
      <w:r>
        <w:rPr>
          <w:lang w:eastAsia="bg-BG"/>
        </w:rPr>
        <w:t>е</w:t>
      </w:r>
      <w:r w:rsidRPr="00D440D1">
        <w:rPr>
          <w:lang w:eastAsia="bg-BG"/>
        </w:rPr>
        <w:t>в</w:t>
      </w:r>
      <w:r>
        <w:rPr>
          <w:lang w:eastAsia="bg-BG"/>
        </w:rPr>
        <w:t>а</w:t>
      </w:r>
      <w:r w:rsidRPr="00D440D1">
        <w:rPr>
          <w:lang w:eastAsia="bg-BG"/>
        </w:rPr>
        <w:t>. Степента на изпълнение за периода 01.01-30.09.2022</w:t>
      </w:r>
      <w:r>
        <w:rPr>
          <w:lang w:eastAsia="bg-BG"/>
        </w:rPr>
        <w:t xml:space="preserve"> </w:t>
      </w:r>
      <w:r w:rsidRPr="00D440D1">
        <w:rPr>
          <w:lang w:eastAsia="bg-BG"/>
        </w:rPr>
        <w:t>г. е била 90,6</w:t>
      </w:r>
      <w:r>
        <w:rPr>
          <w:lang w:eastAsia="bg-BG"/>
        </w:rPr>
        <w:t xml:space="preserve"> процента.</w:t>
      </w:r>
    </w:p>
    <w:p w:rsidR="00EB292B" w:rsidRPr="00D440D1" w:rsidRDefault="00EB292B" w:rsidP="00991448">
      <w:pPr>
        <w:ind w:firstLine="567"/>
        <w:jc w:val="both"/>
        <w:rPr>
          <w:lang w:eastAsia="bg-BG"/>
        </w:rPr>
      </w:pPr>
      <w:r w:rsidRPr="00D440D1">
        <w:rPr>
          <w:lang w:eastAsia="bg-BG"/>
        </w:rPr>
        <w:t>Възстановени са суми по следните направления:</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1</w:t>
      </w:r>
      <w:r w:rsidRPr="00D440D1">
        <w:rPr>
          <w:szCs w:val="20"/>
          <w:lang w:val="en-US"/>
        </w:rPr>
        <w:t> </w:t>
      </w:r>
      <w:r w:rsidRPr="00D440D1">
        <w:rPr>
          <w:szCs w:val="20"/>
        </w:rPr>
        <w:t>540,1 млн.</w:t>
      </w:r>
      <w:r>
        <w:rPr>
          <w:szCs w:val="20"/>
        </w:rPr>
        <w:t xml:space="preserve"> </w:t>
      </w:r>
      <w:r w:rsidRPr="00D440D1">
        <w:rPr>
          <w:szCs w:val="20"/>
        </w:rPr>
        <w:t>лв. за директни плащания от ЕФГЗ</w:t>
      </w:r>
      <w:r>
        <w:rPr>
          <w:szCs w:val="20"/>
        </w:rPr>
        <w:t>,</w:t>
      </w:r>
      <w:r w:rsidRPr="00D440D1">
        <w:rPr>
          <w:szCs w:val="20"/>
        </w:rPr>
        <w:t xml:space="preserve"> 97</w:t>
      </w:r>
      <w:r>
        <w:rPr>
          <w:szCs w:val="20"/>
        </w:rPr>
        <w:t xml:space="preserve">,0 </w:t>
      </w:r>
      <w:r w:rsidRPr="00D440D1">
        <w:rPr>
          <w:szCs w:val="20"/>
        </w:rPr>
        <w:t>% от планираните 1 587,7 млн.</w:t>
      </w:r>
      <w:r>
        <w:rPr>
          <w:szCs w:val="20"/>
        </w:rPr>
        <w:t xml:space="preserve"> </w:t>
      </w:r>
      <w:r w:rsidRPr="00D440D1">
        <w:rPr>
          <w:szCs w:val="20"/>
        </w:rPr>
        <w:t>лв.;</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235,5 млн.</w:t>
      </w:r>
      <w:r>
        <w:rPr>
          <w:szCs w:val="20"/>
        </w:rPr>
        <w:t xml:space="preserve"> </w:t>
      </w:r>
      <w:r w:rsidRPr="00D440D1">
        <w:rPr>
          <w:szCs w:val="20"/>
        </w:rPr>
        <w:t>лв. от ЕЗФРСР, прехвърлени към директни плащания – 90,9</w:t>
      </w:r>
      <w:r>
        <w:rPr>
          <w:szCs w:val="20"/>
        </w:rPr>
        <w:t xml:space="preserve"> </w:t>
      </w:r>
      <w:r w:rsidRPr="00D440D1">
        <w:rPr>
          <w:szCs w:val="20"/>
        </w:rPr>
        <w:t>% от заложените 259 млн.</w:t>
      </w:r>
      <w:r>
        <w:rPr>
          <w:szCs w:val="20"/>
        </w:rPr>
        <w:t xml:space="preserve"> </w:t>
      </w:r>
      <w:r w:rsidRPr="00D440D1">
        <w:rPr>
          <w:szCs w:val="20"/>
        </w:rPr>
        <w:t>лв.;</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5,7 млн.</w:t>
      </w:r>
      <w:r>
        <w:rPr>
          <w:szCs w:val="20"/>
        </w:rPr>
        <w:t xml:space="preserve"> </w:t>
      </w:r>
      <w:r w:rsidRPr="00D440D1">
        <w:rPr>
          <w:szCs w:val="20"/>
        </w:rPr>
        <w:t>лв. за пазарни мерки от ЕФГЗ при планирани 58,3 млн.</w:t>
      </w:r>
      <w:r>
        <w:rPr>
          <w:szCs w:val="20"/>
        </w:rPr>
        <w:t xml:space="preserve"> </w:t>
      </w:r>
      <w:r w:rsidRPr="00D440D1">
        <w:rPr>
          <w:szCs w:val="20"/>
        </w:rPr>
        <w:t>лв., степен на изпълнение: 9,8</w:t>
      </w:r>
      <w:r>
        <w:rPr>
          <w:szCs w:val="20"/>
        </w:rPr>
        <w:t xml:space="preserve"> процента</w:t>
      </w:r>
      <w:r w:rsidRPr="00D440D1">
        <w:rPr>
          <w:szCs w:val="20"/>
        </w:rPr>
        <w:t>;</w:t>
      </w:r>
    </w:p>
    <w:p w:rsidR="00EB292B" w:rsidRPr="00D440D1" w:rsidRDefault="00EB292B" w:rsidP="00EB292B">
      <w:pPr>
        <w:numPr>
          <w:ilvl w:val="0"/>
          <w:numId w:val="21"/>
        </w:numPr>
        <w:tabs>
          <w:tab w:val="left" w:pos="993"/>
        </w:tabs>
        <w:ind w:left="0" w:firstLine="709"/>
        <w:contextualSpacing/>
        <w:jc w:val="both"/>
        <w:rPr>
          <w:szCs w:val="20"/>
        </w:rPr>
      </w:pPr>
      <w:r w:rsidRPr="00D440D1">
        <w:rPr>
          <w:szCs w:val="20"/>
        </w:rPr>
        <w:t>3</w:t>
      </w:r>
      <w:r w:rsidRPr="001834AE">
        <w:rPr>
          <w:szCs w:val="20"/>
        </w:rPr>
        <w:t>,0</w:t>
      </w:r>
      <w:r w:rsidRPr="00D440D1">
        <w:rPr>
          <w:szCs w:val="20"/>
        </w:rPr>
        <w:t xml:space="preserve"> млн.</w:t>
      </w:r>
      <w:r w:rsidRPr="001834AE">
        <w:rPr>
          <w:szCs w:val="20"/>
        </w:rPr>
        <w:t xml:space="preserve"> </w:t>
      </w:r>
      <w:r w:rsidRPr="00D440D1">
        <w:rPr>
          <w:szCs w:val="20"/>
        </w:rPr>
        <w:t>лв. за преструктуриране от ЕФГЗ при планирани 10,7 млн.</w:t>
      </w:r>
      <w:r w:rsidRPr="001834AE">
        <w:rPr>
          <w:szCs w:val="20"/>
        </w:rPr>
        <w:t xml:space="preserve"> </w:t>
      </w:r>
      <w:r w:rsidRPr="00D440D1">
        <w:rPr>
          <w:szCs w:val="20"/>
        </w:rPr>
        <w:t>лв., изпълнение 28</w:t>
      </w:r>
      <w:r w:rsidRPr="001834AE">
        <w:rPr>
          <w:szCs w:val="20"/>
        </w:rPr>
        <w:t>,0 процента</w:t>
      </w:r>
      <w:r w:rsidRPr="00D440D1">
        <w:rPr>
          <w:szCs w:val="20"/>
        </w:rPr>
        <w:t xml:space="preserve">. </w:t>
      </w:r>
    </w:p>
    <w:p w:rsidR="00EB292B" w:rsidRPr="00D440D1" w:rsidRDefault="00EB292B" w:rsidP="00991448">
      <w:pPr>
        <w:tabs>
          <w:tab w:val="left" w:pos="709"/>
        </w:tabs>
        <w:spacing w:after="120"/>
        <w:ind w:firstLine="567"/>
        <w:contextualSpacing/>
        <w:jc w:val="both"/>
      </w:pPr>
      <w:r w:rsidRPr="00D440D1">
        <w:rPr>
          <w:lang w:eastAsia="bg-BG"/>
        </w:rPr>
        <w:t xml:space="preserve">Предоставените суми (нето) </w:t>
      </w:r>
      <w:r w:rsidRPr="00D440D1">
        <w:t>по разчети с ЦБ за финансиране на плащания при недостиг на средства по сметки</w:t>
      </w:r>
      <w:r w:rsidRPr="00D440D1">
        <w:rPr>
          <w:lang w:eastAsia="bg-BG"/>
        </w:rPr>
        <w:t xml:space="preserve"> към 30.09.2023г. възлизат на -602,6 млн.</w:t>
      </w:r>
      <w:r>
        <w:rPr>
          <w:lang w:eastAsia="bg-BG"/>
        </w:rPr>
        <w:t xml:space="preserve"> </w:t>
      </w:r>
      <w:r w:rsidRPr="00D440D1">
        <w:rPr>
          <w:lang w:eastAsia="bg-BG"/>
        </w:rPr>
        <w:t>лв. при планирани 160,5 млн.</w:t>
      </w:r>
      <w:r>
        <w:rPr>
          <w:lang w:eastAsia="bg-BG"/>
        </w:rPr>
        <w:t xml:space="preserve"> </w:t>
      </w:r>
      <w:r w:rsidRPr="00D440D1">
        <w:rPr>
          <w:lang w:eastAsia="bg-BG"/>
        </w:rPr>
        <w:t>л</w:t>
      </w:r>
      <w:r>
        <w:rPr>
          <w:lang w:eastAsia="bg-BG"/>
        </w:rPr>
        <w:t>е</w:t>
      </w:r>
      <w:r w:rsidRPr="00D440D1">
        <w:rPr>
          <w:lang w:eastAsia="bg-BG"/>
        </w:rPr>
        <w:t>в</w:t>
      </w:r>
      <w:r>
        <w:rPr>
          <w:lang w:eastAsia="bg-BG"/>
        </w:rPr>
        <w:t>а</w:t>
      </w:r>
      <w:r w:rsidRPr="00D440D1">
        <w:rPr>
          <w:lang w:eastAsia="bg-BG"/>
        </w:rPr>
        <w:t>.</w:t>
      </w:r>
    </w:p>
    <w:p w:rsidR="00EB292B" w:rsidRPr="0059164A" w:rsidRDefault="00EB292B" w:rsidP="00EB292B">
      <w:pPr>
        <w:tabs>
          <w:tab w:val="left" w:pos="540"/>
        </w:tabs>
        <w:spacing w:before="120"/>
        <w:ind w:firstLine="567"/>
        <w:jc w:val="both"/>
        <w:rPr>
          <w:color w:val="0070C0"/>
        </w:rPr>
      </w:pPr>
      <w:r w:rsidRPr="0059164A">
        <w:rPr>
          <w:color w:val="0070C0"/>
          <w:lang w:eastAsia="bg-BG"/>
        </w:rPr>
        <w:tab/>
      </w:r>
    </w:p>
    <w:p w:rsidR="00EB292B" w:rsidRPr="001F57DF" w:rsidRDefault="00EB292B" w:rsidP="00EB292B">
      <w:pPr>
        <w:pStyle w:val="Heading1"/>
        <w:numPr>
          <w:ilvl w:val="1"/>
          <w:numId w:val="9"/>
        </w:numPr>
        <w:spacing w:after="120"/>
        <w:ind w:left="792" w:right="-115" w:hanging="432"/>
        <w:jc w:val="both"/>
        <w:rPr>
          <w:sz w:val="24"/>
        </w:rPr>
      </w:pPr>
      <w:bookmarkStart w:id="37" w:name="_Toc83045529"/>
      <w:r w:rsidRPr="001F57DF">
        <w:rPr>
          <w:sz w:val="24"/>
        </w:rPr>
        <w:t>Сметка за средствата от Европейския съюз на Национален фонд към Министерство на финансите</w:t>
      </w:r>
      <w:bookmarkEnd w:id="37"/>
    </w:p>
    <w:p w:rsidR="00EB292B" w:rsidRPr="00B2579C" w:rsidRDefault="00EB292B" w:rsidP="00991448">
      <w:pPr>
        <w:ind w:firstLine="567"/>
        <w:jc w:val="both"/>
        <w:rPr>
          <w:bCs/>
        </w:rPr>
      </w:pPr>
      <w:r w:rsidRPr="00B2579C">
        <w:rPr>
          <w:bCs/>
        </w:rPr>
        <w:t>По сметките на НФ към 3</w:t>
      </w:r>
      <w:r w:rsidRPr="00B2579C">
        <w:rPr>
          <w:bCs/>
          <w:lang w:val="ru-RU"/>
        </w:rPr>
        <w:t>0</w:t>
      </w:r>
      <w:r w:rsidRPr="00B2579C">
        <w:rPr>
          <w:bCs/>
        </w:rPr>
        <w:t>.</w:t>
      </w:r>
      <w:r w:rsidRPr="00B2579C">
        <w:rPr>
          <w:bCs/>
          <w:lang w:val="ru-RU"/>
        </w:rPr>
        <w:t>09</w:t>
      </w:r>
      <w:r w:rsidRPr="00B2579C">
        <w:rPr>
          <w:bCs/>
        </w:rPr>
        <w:t>.2023 г. са постъпили приходи (нето) в размер на 1</w:t>
      </w:r>
      <w:r>
        <w:rPr>
          <w:bCs/>
        </w:rPr>
        <w:t> </w:t>
      </w:r>
      <w:r w:rsidRPr="00B2579C">
        <w:rPr>
          <w:bCs/>
        </w:rPr>
        <w:t>209</w:t>
      </w:r>
      <w:r>
        <w:rPr>
          <w:bCs/>
        </w:rPr>
        <w:t>,</w:t>
      </w:r>
      <w:r w:rsidRPr="00B2579C">
        <w:rPr>
          <w:bCs/>
        </w:rPr>
        <w:t>5</w:t>
      </w:r>
      <w:r w:rsidR="00787CCA">
        <w:rPr>
          <w:bCs/>
          <w:lang w:val="ru-RU"/>
        </w:rPr>
        <w:t> </w:t>
      </w:r>
      <w:r w:rsidRPr="00B2579C">
        <w:rPr>
          <w:bCs/>
        </w:rPr>
        <w:t>млн.</w:t>
      </w:r>
      <w:r>
        <w:rPr>
          <w:bCs/>
        </w:rPr>
        <w:t> </w:t>
      </w:r>
      <w:r w:rsidRPr="00B2579C">
        <w:rPr>
          <w:bCs/>
        </w:rPr>
        <w:t>лв</w:t>
      </w:r>
      <w:r>
        <w:rPr>
          <w:bCs/>
        </w:rPr>
        <w:t>.</w:t>
      </w:r>
      <w:r w:rsidRPr="00B2579C">
        <w:rPr>
          <w:bCs/>
        </w:rPr>
        <w:t xml:space="preserve">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както Европейския социален фонд+, двустранните програми за трансгранично сътрудничество по външните граници на EС (ПТСВГ), ФМ на ЕИП и НФМ, като в тази сума са включени и отразените (нето) в отчетността на НФ операции по постъпването по банковите бюджетни сметки на Министерство</w:t>
      </w:r>
      <w:r>
        <w:rPr>
          <w:bCs/>
        </w:rPr>
        <w:t>то</w:t>
      </w:r>
      <w:r w:rsidRPr="00B2579C">
        <w:rPr>
          <w:bCs/>
        </w:rPr>
        <w:t xml:space="preserve">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rsidR="00EB292B" w:rsidRPr="00072D4C" w:rsidRDefault="00EB292B" w:rsidP="00991448">
      <w:pPr>
        <w:ind w:firstLine="567"/>
        <w:jc w:val="both"/>
        <w:rPr>
          <w:bCs/>
        </w:rPr>
      </w:pPr>
      <w:r w:rsidRPr="00072D4C">
        <w:rPr>
          <w:bCs/>
        </w:rPr>
        <w:t>Извършените разходи (нето) за периода с натрупване чрез сметките на НФ възлизат на 419</w:t>
      </w:r>
      <w:r>
        <w:rPr>
          <w:bCs/>
        </w:rPr>
        <w:t>,</w:t>
      </w:r>
      <w:r w:rsidRPr="00072D4C">
        <w:rPr>
          <w:bCs/>
        </w:rPr>
        <w:t>2</w:t>
      </w:r>
      <w:r w:rsidR="00AF16F5">
        <w:rPr>
          <w:bCs/>
        </w:rPr>
        <w:t> </w:t>
      </w:r>
      <w:r w:rsidRPr="00072D4C">
        <w:rPr>
          <w:bCs/>
        </w:rPr>
        <w:t>млн. лева. По видове разходи изпълнението е както следва: 85</w:t>
      </w:r>
      <w:r>
        <w:rPr>
          <w:bCs/>
        </w:rPr>
        <w:t>,</w:t>
      </w:r>
      <w:r w:rsidRPr="00072D4C">
        <w:rPr>
          <w:bCs/>
        </w:rPr>
        <w:t>02</w:t>
      </w:r>
      <w:r>
        <w:rPr>
          <w:bCs/>
        </w:rPr>
        <w:t xml:space="preserve"> </w:t>
      </w:r>
      <w:r w:rsidRPr="00072D4C">
        <w:rPr>
          <w:bCs/>
        </w:rPr>
        <w:t>% от общата стойност са капиталови трансфери, 11</w:t>
      </w:r>
      <w:r>
        <w:rPr>
          <w:bCs/>
        </w:rPr>
        <w:t>,</w:t>
      </w:r>
      <w:r w:rsidRPr="00072D4C">
        <w:rPr>
          <w:bCs/>
        </w:rPr>
        <w:t>68</w:t>
      </w:r>
      <w:r>
        <w:rPr>
          <w:bCs/>
        </w:rPr>
        <w:t xml:space="preserve"> </w:t>
      </w:r>
      <w:r w:rsidRPr="00072D4C">
        <w:rPr>
          <w:bCs/>
        </w:rPr>
        <w:t>% са субсидии, 3</w:t>
      </w:r>
      <w:r>
        <w:rPr>
          <w:bCs/>
        </w:rPr>
        <w:t>,</w:t>
      </w:r>
      <w:r w:rsidRPr="00072D4C">
        <w:rPr>
          <w:bCs/>
        </w:rPr>
        <w:t>29</w:t>
      </w:r>
      <w:r>
        <w:rPr>
          <w:bCs/>
        </w:rPr>
        <w:t xml:space="preserve"> </w:t>
      </w:r>
      <w:r w:rsidRPr="00072D4C">
        <w:rPr>
          <w:bCs/>
        </w:rPr>
        <w:t>% предоставени текущи и капиталови трансфери за чужбина и 0</w:t>
      </w:r>
      <w:r>
        <w:rPr>
          <w:bCs/>
        </w:rPr>
        <w:t>,</w:t>
      </w:r>
      <w:r w:rsidRPr="00072D4C">
        <w:rPr>
          <w:bCs/>
        </w:rPr>
        <w:t>001</w:t>
      </w:r>
      <w:r>
        <w:rPr>
          <w:bCs/>
        </w:rPr>
        <w:t xml:space="preserve"> </w:t>
      </w:r>
      <w:r w:rsidRPr="00072D4C">
        <w:rPr>
          <w:bCs/>
        </w:rPr>
        <w:t>% - издръжка.</w:t>
      </w:r>
    </w:p>
    <w:p w:rsidR="00EB292B" w:rsidRPr="00F8204D" w:rsidRDefault="00EB292B" w:rsidP="00991448">
      <w:pPr>
        <w:ind w:firstLine="567"/>
        <w:jc w:val="both"/>
        <w:rPr>
          <w:bCs/>
          <w:color w:val="7030A0"/>
        </w:rPr>
      </w:pPr>
      <w:r w:rsidRPr="0067638A">
        <w:rPr>
          <w:bCs/>
        </w:rPr>
        <w:t xml:space="preserve">Трансферите (нето), временните безлихвени заеми (нето) и временна възмездна финансова помощ за разглеждания период са на стойност </w:t>
      </w:r>
      <w:r>
        <w:rPr>
          <w:bCs/>
        </w:rPr>
        <w:t>983,</w:t>
      </w:r>
      <w:r w:rsidRPr="0067638A">
        <w:rPr>
          <w:bCs/>
        </w:rPr>
        <w:t xml:space="preserve">9 млн. лв. </w:t>
      </w:r>
      <w:r>
        <w:rPr>
          <w:bCs/>
        </w:rPr>
        <w:t xml:space="preserve">- </w:t>
      </w:r>
      <w:r w:rsidRPr="0067638A">
        <w:rPr>
          <w:bCs/>
        </w:rPr>
        <w:t>включват предоставените трансфери към бенефициенти по Оперативните програми (ОП) на ЕС - програмен период 2014 – 2020 г.</w:t>
      </w:r>
      <w:r>
        <w:rPr>
          <w:bCs/>
        </w:rPr>
        <w:t xml:space="preserve"> и </w:t>
      </w:r>
      <w:r w:rsidRPr="0067638A">
        <w:rPr>
          <w:bCs/>
        </w:rPr>
        <w:t>програмен период 20</w:t>
      </w:r>
      <w:r>
        <w:rPr>
          <w:bCs/>
        </w:rPr>
        <w:t>21</w:t>
      </w:r>
      <w:r w:rsidRPr="0067638A">
        <w:rPr>
          <w:bCs/>
        </w:rPr>
        <w:t xml:space="preserve"> – 202</w:t>
      </w:r>
      <w:r>
        <w:rPr>
          <w:bCs/>
        </w:rPr>
        <w:t>7</w:t>
      </w:r>
      <w:r w:rsidRPr="0067638A">
        <w:rPr>
          <w:bCs/>
        </w:rPr>
        <w:t xml:space="preserve"> г., ПТСВГ за периода 2014 – 2020 г., Националния план за възстановяване и устойчивост (НПВУ),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rsidR="00EB292B" w:rsidRPr="00F8204D" w:rsidRDefault="00EB292B" w:rsidP="00991448">
      <w:pPr>
        <w:ind w:firstLine="567"/>
        <w:jc w:val="both"/>
        <w:rPr>
          <w:bCs/>
          <w:color w:val="7030A0"/>
        </w:rPr>
      </w:pPr>
      <w:r w:rsidRPr="00214C5D">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298</w:t>
      </w:r>
      <w:r>
        <w:rPr>
          <w:bCs/>
        </w:rPr>
        <w:t>,</w:t>
      </w:r>
      <w:r w:rsidRPr="00214C5D">
        <w:rPr>
          <w:bCs/>
        </w:rPr>
        <w:t>8 млн. лева.</w:t>
      </w:r>
    </w:p>
    <w:p w:rsidR="00EB292B" w:rsidRPr="00214C5D" w:rsidRDefault="00EB292B" w:rsidP="00991448">
      <w:pPr>
        <w:ind w:firstLine="567"/>
        <w:jc w:val="both"/>
        <w:rPr>
          <w:bCs/>
        </w:rPr>
      </w:pPr>
      <w:r w:rsidRPr="00214C5D">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0</w:t>
      </w:r>
      <w:r>
        <w:rPr>
          <w:bCs/>
        </w:rPr>
        <w:t>,</w:t>
      </w:r>
      <w:r w:rsidRPr="00214C5D">
        <w:rPr>
          <w:bCs/>
        </w:rPr>
        <w:t>7</w:t>
      </w:r>
      <w:r w:rsidR="009D6BBC">
        <w:rPr>
          <w:bCs/>
        </w:rPr>
        <w:t> </w:t>
      </w:r>
      <w:r w:rsidRPr="00214C5D">
        <w:rPr>
          <w:bCs/>
        </w:rPr>
        <w:t>млн.</w:t>
      </w:r>
      <w:r>
        <w:rPr>
          <w:bCs/>
        </w:rPr>
        <w:t> </w:t>
      </w:r>
      <w:r w:rsidRPr="00214C5D">
        <w:rPr>
          <w:bCs/>
        </w:rPr>
        <w:t>лева.</w:t>
      </w:r>
    </w:p>
    <w:p w:rsidR="00EB292B" w:rsidRPr="00CC5969" w:rsidRDefault="00EB292B" w:rsidP="002A7048">
      <w:pPr>
        <w:spacing w:before="120"/>
        <w:ind w:firstLine="567"/>
        <w:rPr>
          <w:b/>
          <w:bCs/>
        </w:rPr>
      </w:pPr>
      <w:r w:rsidRPr="00CC5969">
        <w:rPr>
          <w:b/>
          <w:bCs/>
        </w:rPr>
        <w:t>Структурни и Кохезионен фондове (СКФ) 2007 – 2013 г.</w:t>
      </w:r>
    </w:p>
    <w:p w:rsidR="00EB292B" w:rsidRPr="00CC5969" w:rsidRDefault="00EB292B" w:rsidP="00EB6A0D">
      <w:pPr>
        <w:ind w:firstLine="567"/>
        <w:jc w:val="both"/>
      </w:pPr>
      <w:r w:rsidRPr="00CC5969">
        <w:rPr>
          <w:bCs/>
        </w:rPr>
        <w:t>През отчетния период са отчетени (нето) възстановени суми от бенефициенти на стойност на 0</w:t>
      </w:r>
      <w:r>
        <w:rPr>
          <w:bCs/>
        </w:rPr>
        <w:t>,</w:t>
      </w:r>
      <w:r w:rsidRPr="00CC5969">
        <w:rPr>
          <w:bCs/>
        </w:rPr>
        <w:t>3 млн. лв., а възстановеното авансово финансиране по реда на ДДС6/2011 г</w:t>
      </w:r>
      <w:r w:rsidRPr="00CC5969">
        <w:t xml:space="preserve">. </w:t>
      </w:r>
      <w:r w:rsidRPr="00CC5969">
        <w:rPr>
          <w:bCs/>
        </w:rPr>
        <w:t>е в размер на 0</w:t>
      </w:r>
      <w:r>
        <w:rPr>
          <w:bCs/>
        </w:rPr>
        <w:t>,</w:t>
      </w:r>
      <w:r w:rsidRPr="00CC5969">
        <w:rPr>
          <w:bCs/>
        </w:rPr>
        <w:t>8</w:t>
      </w:r>
      <w:r w:rsidR="009D6BBC">
        <w:rPr>
          <w:bCs/>
        </w:rPr>
        <w:t> </w:t>
      </w:r>
      <w:r w:rsidRPr="00CC5969">
        <w:rPr>
          <w:bCs/>
        </w:rPr>
        <w:t>млн. лева.</w:t>
      </w:r>
    </w:p>
    <w:p w:rsidR="00EB292B" w:rsidRPr="00010237" w:rsidRDefault="00EB292B" w:rsidP="002A7048">
      <w:pPr>
        <w:spacing w:before="120"/>
        <w:ind w:firstLine="567"/>
        <w:jc w:val="both"/>
        <w:rPr>
          <w:b/>
          <w:bCs/>
        </w:rPr>
      </w:pPr>
      <w:r w:rsidRPr="00010237">
        <w:rPr>
          <w:bCs/>
        </w:rPr>
        <w:t xml:space="preserve"> </w:t>
      </w:r>
      <w:r w:rsidRPr="00010237">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rsidR="00EB292B" w:rsidRPr="00010237" w:rsidRDefault="00EB292B" w:rsidP="00EB6A0D">
      <w:pPr>
        <w:ind w:firstLine="567"/>
        <w:jc w:val="both"/>
        <w:rPr>
          <w:bCs/>
        </w:rPr>
      </w:pPr>
      <w:r w:rsidRPr="00010237">
        <w:rPr>
          <w:bCs/>
        </w:rPr>
        <w:t>Общо получените средства (нето) от ЕК за периода са в размер на 919</w:t>
      </w:r>
      <w:r>
        <w:rPr>
          <w:bCs/>
        </w:rPr>
        <w:t>,</w:t>
      </w:r>
      <w:r w:rsidRPr="00010237">
        <w:rPr>
          <w:bCs/>
        </w:rPr>
        <w:t>5 млн. лв. (в тях влизат и получените приходи по REACT-EU в размер на 73</w:t>
      </w:r>
      <w:r>
        <w:rPr>
          <w:bCs/>
        </w:rPr>
        <w:t>,</w:t>
      </w:r>
      <w:r w:rsidRPr="00010237">
        <w:rPr>
          <w:bCs/>
        </w:rPr>
        <w:t>0 млн. лв</w:t>
      </w:r>
      <w:r>
        <w:rPr>
          <w:bCs/>
        </w:rPr>
        <w:t>.</w:t>
      </w:r>
      <w:r w:rsidRPr="00010237">
        <w:rPr>
          <w:bCs/>
        </w:rPr>
        <w:t>) и са разпределени както следва:</w:t>
      </w:r>
    </w:p>
    <w:p w:rsidR="00EB292B" w:rsidRPr="00010237" w:rsidRDefault="00EB292B" w:rsidP="00EB292B">
      <w:pPr>
        <w:numPr>
          <w:ilvl w:val="0"/>
          <w:numId w:val="11"/>
        </w:numPr>
        <w:tabs>
          <w:tab w:val="clear" w:pos="1101"/>
          <w:tab w:val="num" w:pos="786"/>
        </w:tabs>
        <w:ind w:left="786"/>
        <w:jc w:val="both"/>
        <w:rPr>
          <w:bCs/>
        </w:rPr>
      </w:pPr>
      <w:r w:rsidRPr="00010237">
        <w:rPr>
          <w:bCs/>
        </w:rPr>
        <w:t>ОП „Транспорт и транспортна инфраструктура” – 169</w:t>
      </w:r>
      <w:r>
        <w:rPr>
          <w:bCs/>
        </w:rPr>
        <w:t>,</w:t>
      </w:r>
      <w:r w:rsidRPr="00010237">
        <w:rPr>
          <w:bCs/>
        </w:rPr>
        <w:t>1 млн. лв.;</w:t>
      </w:r>
    </w:p>
    <w:p w:rsidR="00EB292B" w:rsidRPr="00010237" w:rsidRDefault="00EB292B" w:rsidP="00EB292B">
      <w:pPr>
        <w:numPr>
          <w:ilvl w:val="0"/>
          <w:numId w:val="11"/>
        </w:numPr>
        <w:tabs>
          <w:tab w:val="clear" w:pos="1101"/>
          <w:tab w:val="num" w:pos="786"/>
        </w:tabs>
        <w:ind w:left="786"/>
        <w:jc w:val="both"/>
        <w:rPr>
          <w:bCs/>
        </w:rPr>
      </w:pPr>
      <w:r w:rsidRPr="00010237">
        <w:rPr>
          <w:bCs/>
        </w:rPr>
        <w:t>ОП „Околна среда 2014 – 2020 г.“ – 146</w:t>
      </w:r>
      <w:r>
        <w:rPr>
          <w:bCs/>
        </w:rPr>
        <w:t>,</w:t>
      </w:r>
      <w:r w:rsidRPr="00010237">
        <w:rPr>
          <w:bCs/>
        </w:rPr>
        <w:t>9 млн. лв.;</w:t>
      </w:r>
    </w:p>
    <w:p w:rsidR="00EB292B" w:rsidRPr="00010237" w:rsidRDefault="00EB292B" w:rsidP="00EB292B">
      <w:pPr>
        <w:numPr>
          <w:ilvl w:val="0"/>
          <w:numId w:val="11"/>
        </w:numPr>
        <w:tabs>
          <w:tab w:val="clear" w:pos="1101"/>
          <w:tab w:val="num" w:pos="786"/>
        </w:tabs>
        <w:ind w:left="786"/>
        <w:jc w:val="both"/>
        <w:rPr>
          <w:bCs/>
        </w:rPr>
      </w:pPr>
      <w:r w:rsidRPr="00010237">
        <w:rPr>
          <w:bCs/>
        </w:rPr>
        <w:t>ОП „Развитие на човешките ресурси 2014 - 2020 г.” – 191</w:t>
      </w:r>
      <w:r>
        <w:rPr>
          <w:bCs/>
        </w:rPr>
        <w:t>,</w:t>
      </w:r>
      <w:r w:rsidRPr="00010237">
        <w:rPr>
          <w:bCs/>
        </w:rPr>
        <w:t>3 млн. лв.</w:t>
      </w:r>
      <w:r w:rsidRPr="00010237">
        <w:t xml:space="preserve"> (</w:t>
      </w:r>
      <w:r w:rsidRPr="00010237">
        <w:rPr>
          <w:bCs/>
        </w:rPr>
        <w:t>вкл. REACT-EU в размер на 45</w:t>
      </w:r>
      <w:r>
        <w:rPr>
          <w:bCs/>
        </w:rPr>
        <w:t>,</w:t>
      </w:r>
      <w:r w:rsidRPr="00010237">
        <w:rPr>
          <w:bCs/>
        </w:rPr>
        <w:t>2 млн. лева);</w:t>
      </w:r>
    </w:p>
    <w:p w:rsidR="00EB292B" w:rsidRPr="00010237" w:rsidRDefault="00EB292B" w:rsidP="00EB292B">
      <w:pPr>
        <w:numPr>
          <w:ilvl w:val="0"/>
          <w:numId w:val="11"/>
        </w:numPr>
        <w:tabs>
          <w:tab w:val="clear" w:pos="1101"/>
          <w:tab w:val="num" w:pos="786"/>
        </w:tabs>
        <w:ind w:left="786"/>
        <w:jc w:val="both"/>
        <w:rPr>
          <w:bCs/>
        </w:rPr>
      </w:pPr>
      <w:r w:rsidRPr="00010237">
        <w:rPr>
          <w:bCs/>
        </w:rPr>
        <w:t>Инициативата за младежка заетост – 6</w:t>
      </w:r>
      <w:r>
        <w:rPr>
          <w:bCs/>
        </w:rPr>
        <w:t>,</w:t>
      </w:r>
      <w:r w:rsidRPr="00010237">
        <w:rPr>
          <w:bCs/>
        </w:rPr>
        <w:t>5 млн. лв.;</w:t>
      </w:r>
    </w:p>
    <w:p w:rsidR="00EB292B" w:rsidRPr="00ED4942" w:rsidRDefault="00EB292B" w:rsidP="00EB292B">
      <w:pPr>
        <w:numPr>
          <w:ilvl w:val="0"/>
          <w:numId w:val="11"/>
        </w:numPr>
        <w:tabs>
          <w:tab w:val="clear" w:pos="1101"/>
          <w:tab w:val="num" w:pos="786"/>
        </w:tabs>
        <w:ind w:left="786"/>
        <w:jc w:val="both"/>
        <w:rPr>
          <w:bCs/>
        </w:rPr>
      </w:pPr>
      <w:r w:rsidRPr="00ED4942">
        <w:rPr>
          <w:bCs/>
        </w:rPr>
        <w:t>ОП „Иновации и конкурентоспособност” – 10</w:t>
      </w:r>
      <w:r>
        <w:rPr>
          <w:bCs/>
        </w:rPr>
        <w:t>1,3</w:t>
      </w:r>
      <w:r w:rsidRPr="00ED4942">
        <w:rPr>
          <w:bCs/>
        </w:rPr>
        <w:t xml:space="preserve"> млн. лв. (вкл. REACT-EU в размер на </w:t>
      </w:r>
      <w:r>
        <w:rPr>
          <w:bCs/>
        </w:rPr>
        <w:t>26,9</w:t>
      </w:r>
      <w:r w:rsidRPr="00ED4942">
        <w:rPr>
          <w:bCs/>
        </w:rPr>
        <w:t xml:space="preserve"> млн. лева);</w:t>
      </w:r>
    </w:p>
    <w:p w:rsidR="00EB292B" w:rsidRPr="003B1CDB" w:rsidRDefault="00EB292B" w:rsidP="00EB292B">
      <w:pPr>
        <w:numPr>
          <w:ilvl w:val="0"/>
          <w:numId w:val="11"/>
        </w:numPr>
        <w:tabs>
          <w:tab w:val="clear" w:pos="1101"/>
          <w:tab w:val="num" w:pos="786"/>
        </w:tabs>
        <w:ind w:left="786"/>
        <w:jc w:val="both"/>
        <w:rPr>
          <w:bCs/>
        </w:rPr>
      </w:pPr>
      <w:r w:rsidRPr="003B1CDB">
        <w:rPr>
          <w:bCs/>
        </w:rPr>
        <w:t>ОП „Добро управление” – 34</w:t>
      </w:r>
      <w:r>
        <w:rPr>
          <w:bCs/>
        </w:rPr>
        <w:t>,</w:t>
      </w:r>
      <w:r w:rsidRPr="003B1CDB">
        <w:rPr>
          <w:bCs/>
        </w:rPr>
        <w:t>0 млн. лв.;</w:t>
      </w:r>
    </w:p>
    <w:p w:rsidR="00EB292B" w:rsidRPr="003B1CDB" w:rsidRDefault="00EB292B" w:rsidP="00EB292B">
      <w:pPr>
        <w:numPr>
          <w:ilvl w:val="0"/>
          <w:numId w:val="11"/>
        </w:numPr>
        <w:tabs>
          <w:tab w:val="clear" w:pos="1101"/>
          <w:tab w:val="num" w:pos="786"/>
        </w:tabs>
        <w:ind w:left="786"/>
        <w:jc w:val="both"/>
        <w:rPr>
          <w:bCs/>
        </w:rPr>
      </w:pPr>
      <w:r w:rsidRPr="003B1CDB">
        <w:rPr>
          <w:bCs/>
        </w:rPr>
        <w:t>ОП за храни и/или основно материално подпомагане от Фонда за европейско подпомагане на най-нуждаещите се лица в България за периода 2014 – 2020 г. – 2</w:t>
      </w:r>
      <w:r>
        <w:rPr>
          <w:bCs/>
        </w:rPr>
        <w:t>,</w:t>
      </w:r>
      <w:r w:rsidRPr="003B1CDB">
        <w:rPr>
          <w:bCs/>
        </w:rPr>
        <w:t>9 млн. лева;</w:t>
      </w:r>
    </w:p>
    <w:p w:rsidR="00EB292B" w:rsidRPr="000C341E" w:rsidRDefault="00EB292B" w:rsidP="00EB292B">
      <w:pPr>
        <w:numPr>
          <w:ilvl w:val="0"/>
          <w:numId w:val="11"/>
        </w:numPr>
        <w:tabs>
          <w:tab w:val="clear" w:pos="1101"/>
          <w:tab w:val="num" w:pos="786"/>
        </w:tabs>
        <w:ind w:left="786"/>
        <w:jc w:val="both"/>
        <w:rPr>
          <w:bCs/>
        </w:rPr>
      </w:pPr>
      <w:r w:rsidRPr="000C341E">
        <w:rPr>
          <w:bCs/>
        </w:rPr>
        <w:t>ОП „Региони в растеж“ –175.7 млн. лв. (вкл. REACT-EU в размер на 0</w:t>
      </w:r>
      <w:r>
        <w:rPr>
          <w:bCs/>
        </w:rPr>
        <w:t>,</w:t>
      </w:r>
      <w:r w:rsidRPr="000C341E">
        <w:rPr>
          <w:bCs/>
        </w:rPr>
        <w:t>5 млн. лева) и</w:t>
      </w:r>
    </w:p>
    <w:p w:rsidR="00EB292B" w:rsidRPr="006C0DC8" w:rsidRDefault="00EB292B" w:rsidP="00EB292B">
      <w:pPr>
        <w:numPr>
          <w:ilvl w:val="0"/>
          <w:numId w:val="11"/>
        </w:numPr>
        <w:tabs>
          <w:tab w:val="clear" w:pos="1101"/>
          <w:tab w:val="num" w:pos="786"/>
        </w:tabs>
        <w:ind w:left="786"/>
        <w:jc w:val="both"/>
        <w:rPr>
          <w:bCs/>
        </w:rPr>
      </w:pPr>
      <w:r w:rsidRPr="006C0DC8">
        <w:rPr>
          <w:bCs/>
        </w:rPr>
        <w:t>ОП „Наука и образование за интелигентен растеж” – 91</w:t>
      </w:r>
      <w:r>
        <w:rPr>
          <w:bCs/>
        </w:rPr>
        <w:t>,</w:t>
      </w:r>
      <w:r w:rsidRPr="006C0DC8">
        <w:rPr>
          <w:bCs/>
        </w:rPr>
        <w:t>8 млн. лв. (вкл. REACT-EU в размер на 0</w:t>
      </w:r>
      <w:r>
        <w:rPr>
          <w:bCs/>
        </w:rPr>
        <w:t>,</w:t>
      </w:r>
      <w:r w:rsidRPr="006C0DC8">
        <w:rPr>
          <w:bCs/>
        </w:rPr>
        <w:t>4 млн. лева).</w:t>
      </w:r>
    </w:p>
    <w:p w:rsidR="00EB292B" w:rsidRPr="00582C89" w:rsidRDefault="00EB292B" w:rsidP="00EB6A0D">
      <w:pPr>
        <w:spacing w:before="120"/>
        <w:ind w:firstLine="567"/>
        <w:jc w:val="both"/>
        <w:rPr>
          <w:bCs/>
        </w:rPr>
      </w:pPr>
      <w:r w:rsidRPr="00582C89">
        <w:rPr>
          <w:bCs/>
        </w:rPr>
        <w:t xml:space="preserve">Направените разходи (нето) по Оперативни програми и трансферите (нето) към бюджетни организации и операции с активи към </w:t>
      </w:r>
      <w:r>
        <w:rPr>
          <w:bCs/>
        </w:rPr>
        <w:t>деветмесечието</w:t>
      </w:r>
      <w:r w:rsidRPr="00582C89">
        <w:rPr>
          <w:bCs/>
        </w:rPr>
        <w:t xml:space="preserve"> са на стойност </w:t>
      </w:r>
      <w:r w:rsidRPr="00E8721A">
        <w:rPr>
          <w:bCs/>
          <w:lang w:val="ru-RU"/>
        </w:rPr>
        <w:t>1</w:t>
      </w:r>
      <w:r>
        <w:rPr>
          <w:bCs/>
          <w:lang w:val="ru-RU"/>
        </w:rPr>
        <w:t> </w:t>
      </w:r>
      <w:r w:rsidRPr="00E8721A">
        <w:rPr>
          <w:bCs/>
          <w:lang w:val="ru-RU"/>
        </w:rPr>
        <w:t>154</w:t>
      </w:r>
      <w:r>
        <w:rPr>
          <w:bCs/>
          <w:lang w:val="ru-RU"/>
        </w:rPr>
        <w:t>,</w:t>
      </w:r>
      <w:r w:rsidRPr="00E8721A">
        <w:rPr>
          <w:bCs/>
          <w:lang w:val="ru-RU"/>
        </w:rPr>
        <w:t>7</w:t>
      </w:r>
      <w:r w:rsidRPr="00582C89">
        <w:rPr>
          <w:bCs/>
        </w:rPr>
        <w:t xml:space="preserve"> млн. лв. (в тях влизат и извършените разходи по REACT-EU в размер на </w:t>
      </w:r>
      <w:r w:rsidRPr="00E8721A">
        <w:rPr>
          <w:bCs/>
          <w:lang w:val="ru-RU"/>
        </w:rPr>
        <w:t>140</w:t>
      </w:r>
      <w:r>
        <w:rPr>
          <w:bCs/>
          <w:lang w:val="ru-RU"/>
        </w:rPr>
        <w:t>,</w:t>
      </w:r>
      <w:r w:rsidRPr="00E8721A">
        <w:rPr>
          <w:bCs/>
          <w:lang w:val="ru-RU"/>
        </w:rPr>
        <w:t>2</w:t>
      </w:r>
      <w:r w:rsidRPr="00582C89">
        <w:rPr>
          <w:bCs/>
        </w:rPr>
        <w:t xml:space="preserve"> млн. лв</w:t>
      </w:r>
      <w:r>
        <w:rPr>
          <w:bCs/>
        </w:rPr>
        <w:t>.</w:t>
      </w:r>
      <w:r w:rsidRPr="00582C89">
        <w:rPr>
          <w:bCs/>
        </w:rPr>
        <w:t>), като разпределението по Оперативни програми е следното:</w:t>
      </w:r>
    </w:p>
    <w:p w:rsidR="00EB292B" w:rsidRPr="003F75DE" w:rsidRDefault="00EB292B" w:rsidP="00EB292B">
      <w:pPr>
        <w:numPr>
          <w:ilvl w:val="0"/>
          <w:numId w:val="11"/>
        </w:numPr>
        <w:tabs>
          <w:tab w:val="clear" w:pos="1101"/>
          <w:tab w:val="num" w:pos="786"/>
        </w:tabs>
        <w:ind w:left="786"/>
        <w:jc w:val="both"/>
        <w:rPr>
          <w:bCs/>
        </w:rPr>
      </w:pPr>
      <w:r w:rsidRPr="003F75DE">
        <w:rPr>
          <w:bCs/>
        </w:rPr>
        <w:t xml:space="preserve">ОП „Развитие на човешките ресурси 2014 - 2020 г.” – </w:t>
      </w:r>
      <w:r w:rsidRPr="00E8721A">
        <w:rPr>
          <w:bCs/>
          <w:lang w:val="ru-RU"/>
        </w:rPr>
        <w:t>143</w:t>
      </w:r>
      <w:r>
        <w:rPr>
          <w:bCs/>
          <w:lang w:val="ru-RU"/>
        </w:rPr>
        <w:t>,</w:t>
      </w:r>
      <w:r w:rsidRPr="003F75DE">
        <w:rPr>
          <w:bCs/>
        </w:rPr>
        <w:t>8 млн. лв.</w:t>
      </w:r>
      <w:r w:rsidRPr="003F75DE">
        <w:t xml:space="preserve"> </w:t>
      </w:r>
      <w:r w:rsidRPr="003F75DE">
        <w:rPr>
          <w:bCs/>
        </w:rPr>
        <w:t xml:space="preserve">(вкл. REACT-EU в размер на </w:t>
      </w:r>
      <w:r w:rsidRPr="002D175C">
        <w:rPr>
          <w:bCs/>
          <w:lang w:val="ru-RU"/>
        </w:rPr>
        <w:t>43</w:t>
      </w:r>
      <w:r>
        <w:rPr>
          <w:bCs/>
          <w:lang w:val="ru-RU"/>
        </w:rPr>
        <w:t>,</w:t>
      </w:r>
      <w:r w:rsidRPr="002D175C">
        <w:rPr>
          <w:bCs/>
          <w:lang w:val="ru-RU"/>
        </w:rPr>
        <w:t>4</w:t>
      </w:r>
      <w:r w:rsidRPr="003F75DE">
        <w:rPr>
          <w:bCs/>
        </w:rPr>
        <w:t xml:space="preserve"> млн. лв</w:t>
      </w:r>
      <w:r>
        <w:rPr>
          <w:bCs/>
        </w:rPr>
        <w:t>.</w:t>
      </w:r>
      <w:r w:rsidRPr="003F75DE">
        <w:rPr>
          <w:bCs/>
        </w:rPr>
        <w:t>);</w:t>
      </w:r>
    </w:p>
    <w:p w:rsidR="00EB292B" w:rsidRPr="00FD0869" w:rsidRDefault="00EB292B" w:rsidP="00EB292B">
      <w:pPr>
        <w:numPr>
          <w:ilvl w:val="0"/>
          <w:numId w:val="11"/>
        </w:numPr>
        <w:tabs>
          <w:tab w:val="clear" w:pos="1101"/>
          <w:tab w:val="num" w:pos="786"/>
        </w:tabs>
        <w:ind w:left="786"/>
        <w:jc w:val="both"/>
        <w:rPr>
          <w:bCs/>
        </w:rPr>
      </w:pPr>
      <w:r w:rsidRPr="00FD0869">
        <w:rPr>
          <w:bCs/>
        </w:rPr>
        <w:t>Инициативата за младежка заетост –</w:t>
      </w:r>
      <w:r w:rsidRPr="00E8721A">
        <w:rPr>
          <w:bCs/>
          <w:lang w:val="ru-RU"/>
        </w:rPr>
        <w:t xml:space="preserve"> 2</w:t>
      </w:r>
      <w:r>
        <w:rPr>
          <w:bCs/>
          <w:lang w:val="ru-RU"/>
        </w:rPr>
        <w:t>,</w:t>
      </w:r>
      <w:r w:rsidRPr="00E8721A">
        <w:rPr>
          <w:bCs/>
          <w:lang w:val="ru-RU"/>
        </w:rPr>
        <w:t>0</w:t>
      </w:r>
      <w:r w:rsidRPr="00FD0869">
        <w:rPr>
          <w:bCs/>
        </w:rPr>
        <w:t xml:space="preserve"> млн. лв.;</w:t>
      </w:r>
    </w:p>
    <w:p w:rsidR="00EB292B" w:rsidRPr="00FD0869" w:rsidRDefault="00EB292B" w:rsidP="00EB292B">
      <w:pPr>
        <w:numPr>
          <w:ilvl w:val="0"/>
          <w:numId w:val="11"/>
        </w:numPr>
        <w:tabs>
          <w:tab w:val="clear" w:pos="1101"/>
          <w:tab w:val="num" w:pos="786"/>
        </w:tabs>
        <w:ind w:left="786"/>
        <w:jc w:val="both"/>
        <w:rPr>
          <w:bCs/>
        </w:rPr>
      </w:pPr>
      <w:r w:rsidRPr="00FD0869">
        <w:rPr>
          <w:bCs/>
        </w:rPr>
        <w:t>ОП за храни и/или основно материално подпомагане от Фонда за европейско подпомагане на най-нуждаещите се лица в България за периода 2014 – 2020 г. – 1</w:t>
      </w:r>
      <w:r>
        <w:rPr>
          <w:bCs/>
        </w:rPr>
        <w:t>,</w:t>
      </w:r>
      <w:r w:rsidRPr="00E8721A">
        <w:rPr>
          <w:bCs/>
          <w:lang w:val="ru-RU"/>
        </w:rPr>
        <w:t>2</w:t>
      </w:r>
      <w:r w:rsidRPr="00FD0869">
        <w:rPr>
          <w:bCs/>
        </w:rPr>
        <w:t xml:space="preserve"> млн. лв. </w:t>
      </w:r>
      <w:r w:rsidRPr="002D175C">
        <w:rPr>
          <w:bCs/>
          <w:lang w:val="ru-RU"/>
        </w:rPr>
        <w:t>(</w:t>
      </w:r>
      <w:r>
        <w:rPr>
          <w:bCs/>
        </w:rPr>
        <w:t xml:space="preserve">само от </w:t>
      </w:r>
      <w:r w:rsidRPr="00FD0869">
        <w:rPr>
          <w:bCs/>
          <w:lang w:val="en-US"/>
        </w:rPr>
        <w:t>REACT</w:t>
      </w:r>
      <w:r w:rsidRPr="002D175C">
        <w:rPr>
          <w:bCs/>
          <w:lang w:val="ru-RU"/>
        </w:rPr>
        <w:t>-</w:t>
      </w:r>
      <w:r w:rsidRPr="00FD0869">
        <w:rPr>
          <w:bCs/>
          <w:lang w:val="en-US"/>
        </w:rPr>
        <w:t>EU</w:t>
      </w:r>
      <w:r w:rsidRPr="002D175C">
        <w:rPr>
          <w:bCs/>
          <w:lang w:val="ru-RU"/>
        </w:rPr>
        <w:t>)</w:t>
      </w:r>
      <w:r w:rsidRPr="00FD0869">
        <w:rPr>
          <w:bCs/>
        </w:rPr>
        <w:t>;</w:t>
      </w:r>
    </w:p>
    <w:p w:rsidR="00EB292B" w:rsidRPr="00A62303" w:rsidRDefault="00EB292B" w:rsidP="00EB292B">
      <w:pPr>
        <w:numPr>
          <w:ilvl w:val="0"/>
          <w:numId w:val="11"/>
        </w:numPr>
        <w:tabs>
          <w:tab w:val="clear" w:pos="1101"/>
          <w:tab w:val="num" w:pos="786"/>
        </w:tabs>
        <w:ind w:left="786"/>
        <w:jc w:val="both"/>
        <w:rPr>
          <w:bCs/>
        </w:rPr>
      </w:pPr>
      <w:r w:rsidRPr="00A62303">
        <w:rPr>
          <w:bCs/>
        </w:rPr>
        <w:t>ОП „Иновации и конкурентоспособност” – 108</w:t>
      </w:r>
      <w:r>
        <w:rPr>
          <w:bCs/>
        </w:rPr>
        <w:t>,</w:t>
      </w:r>
      <w:r w:rsidRPr="00A62303">
        <w:rPr>
          <w:bCs/>
        </w:rPr>
        <w:t>7 млн. лв. (вкл. REACT-EU в размер на 87</w:t>
      </w:r>
      <w:r>
        <w:rPr>
          <w:bCs/>
        </w:rPr>
        <w:t>,</w:t>
      </w:r>
      <w:r w:rsidRPr="00A62303">
        <w:rPr>
          <w:bCs/>
        </w:rPr>
        <w:t>6 млн. лева);</w:t>
      </w:r>
    </w:p>
    <w:p w:rsidR="00EB292B" w:rsidRPr="00A62303" w:rsidRDefault="00EB292B" w:rsidP="00EB292B">
      <w:pPr>
        <w:numPr>
          <w:ilvl w:val="0"/>
          <w:numId w:val="11"/>
        </w:numPr>
        <w:tabs>
          <w:tab w:val="clear" w:pos="1101"/>
          <w:tab w:val="num" w:pos="786"/>
        </w:tabs>
        <w:ind w:left="786"/>
        <w:jc w:val="both"/>
        <w:rPr>
          <w:bCs/>
        </w:rPr>
      </w:pPr>
      <w:r w:rsidRPr="00A62303">
        <w:rPr>
          <w:bCs/>
        </w:rPr>
        <w:t>ОП „Добро управление” – 53</w:t>
      </w:r>
      <w:r>
        <w:rPr>
          <w:bCs/>
        </w:rPr>
        <w:t>,</w:t>
      </w:r>
      <w:r w:rsidRPr="00A62303">
        <w:rPr>
          <w:bCs/>
        </w:rPr>
        <w:t>1 млн. лв.;</w:t>
      </w:r>
    </w:p>
    <w:p w:rsidR="00EB292B" w:rsidRPr="00E91D1F" w:rsidRDefault="00EB292B" w:rsidP="00EB292B">
      <w:pPr>
        <w:numPr>
          <w:ilvl w:val="0"/>
          <w:numId w:val="11"/>
        </w:numPr>
        <w:tabs>
          <w:tab w:val="clear" w:pos="1101"/>
          <w:tab w:val="num" w:pos="786"/>
        </w:tabs>
        <w:ind w:left="786"/>
        <w:jc w:val="both"/>
        <w:rPr>
          <w:bCs/>
        </w:rPr>
      </w:pPr>
      <w:r w:rsidRPr="00E91D1F">
        <w:rPr>
          <w:bCs/>
        </w:rPr>
        <w:t>ОП „Региони в растеж“ – 239</w:t>
      </w:r>
      <w:r>
        <w:rPr>
          <w:bCs/>
        </w:rPr>
        <w:t>,5</w:t>
      </w:r>
      <w:r w:rsidRPr="00E91D1F">
        <w:rPr>
          <w:bCs/>
        </w:rPr>
        <w:t xml:space="preserve"> млн. лв.</w:t>
      </w:r>
      <w:r w:rsidRPr="00E8721A">
        <w:rPr>
          <w:bCs/>
          <w:lang w:val="ru-RU"/>
        </w:rPr>
        <w:t xml:space="preserve"> </w:t>
      </w:r>
      <w:r w:rsidRPr="00E91D1F">
        <w:rPr>
          <w:bCs/>
        </w:rPr>
        <w:t>(вкл. REACT-EU в размер на 3</w:t>
      </w:r>
      <w:r>
        <w:rPr>
          <w:bCs/>
        </w:rPr>
        <w:t>,</w:t>
      </w:r>
      <w:r w:rsidRPr="00E91D1F">
        <w:rPr>
          <w:bCs/>
        </w:rPr>
        <w:t>4 млн. лева);</w:t>
      </w:r>
    </w:p>
    <w:p w:rsidR="00EB292B" w:rsidRPr="00CA0D6C" w:rsidRDefault="00EB292B" w:rsidP="00EB292B">
      <w:pPr>
        <w:numPr>
          <w:ilvl w:val="0"/>
          <w:numId w:val="11"/>
        </w:numPr>
        <w:tabs>
          <w:tab w:val="clear" w:pos="1101"/>
          <w:tab w:val="num" w:pos="786"/>
        </w:tabs>
        <w:ind w:left="786"/>
        <w:jc w:val="both"/>
        <w:rPr>
          <w:bCs/>
        </w:rPr>
      </w:pPr>
      <w:r w:rsidRPr="00CA0D6C">
        <w:rPr>
          <w:bCs/>
        </w:rPr>
        <w:t>ОП „Транспорт и транспортна инфраструктура” – 296</w:t>
      </w:r>
      <w:r>
        <w:rPr>
          <w:bCs/>
        </w:rPr>
        <w:t>,</w:t>
      </w:r>
      <w:r w:rsidRPr="00CA0D6C">
        <w:rPr>
          <w:bCs/>
        </w:rPr>
        <w:t>3 млн. лв.;</w:t>
      </w:r>
    </w:p>
    <w:p w:rsidR="00EB292B" w:rsidRPr="00CA0D6C" w:rsidRDefault="00EB292B" w:rsidP="00EB292B">
      <w:pPr>
        <w:numPr>
          <w:ilvl w:val="0"/>
          <w:numId w:val="11"/>
        </w:numPr>
        <w:tabs>
          <w:tab w:val="clear" w:pos="1101"/>
          <w:tab w:val="num" w:pos="786"/>
        </w:tabs>
        <w:ind w:left="786"/>
        <w:jc w:val="both"/>
        <w:rPr>
          <w:bCs/>
        </w:rPr>
      </w:pPr>
      <w:r w:rsidRPr="00CA0D6C">
        <w:rPr>
          <w:bCs/>
        </w:rPr>
        <w:t>ОП „Наука и образование за интелигентен растеж” – 122</w:t>
      </w:r>
      <w:r>
        <w:rPr>
          <w:bCs/>
        </w:rPr>
        <w:t>,</w:t>
      </w:r>
      <w:r w:rsidRPr="00CA0D6C">
        <w:rPr>
          <w:bCs/>
        </w:rPr>
        <w:t>8 млн. лв. (вкл. REACT-EU в размер на 4</w:t>
      </w:r>
      <w:r>
        <w:rPr>
          <w:bCs/>
        </w:rPr>
        <w:t>,</w:t>
      </w:r>
      <w:r w:rsidRPr="00CA0D6C">
        <w:rPr>
          <w:bCs/>
        </w:rPr>
        <w:t>6 млн. лева) и</w:t>
      </w:r>
    </w:p>
    <w:p w:rsidR="00EB292B" w:rsidRPr="00B72EAB" w:rsidRDefault="00EB292B" w:rsidP="00EB292B">
      <w:pPr>
        <w:numPr>
          <w:ilvl w:val="0"/>
          <w:numId w:val="11"/>
        </w:numPr>
        <w:tabs>
          <w:tab w:val="clear" w:pos="1101"/>
          <w:tab w:val="num" w:pos="786"/>
        </w:tabs>
        <w:ind w:left="786"/>
        <w:jc w:val="both"/>
        <w:rPr>
          <w:bCs/>
        </w:rPr>
      </w:pPr>
      <w:r w:rsidRPr="00B72EAB">
        <w:rPr>
          <w:bCs/>
        </w:rPr>
        <w:t>ОП „Околна среда 2014 – 2020 г.“ – 187</w:t>
      </w:r>
      <w:r>
        <w:rPr>
          <w:bCs/>
        </w:rPr>
        <w:t>,</w:t>
      </w:r>
      <w:r w:rsidRPr="00B72EAB">
        <w:rPr>
          <w:bCs/>
        </w:rPr>
        <w:t>3 млн. л</w:t>
      </w:r>
      <w:r>
        <w:rPr>
          <w:bCs/>
        </w:rPr>
        <w:t>е</w:t>
      </w:r>
      <w:r w:rsidRPr="00B72EAB">
        <w:rPr>
          <w:bCs/>
        </w:rPr>
        <w:t>в</w:t>
      </w:r>
      <w:r>
        <w:rPr>
          <w:bCs/>
        </w:rPr>
        <w:t>а</w:t>
      </w:r>
      <w:r w:rsidRPr="00B72EAB">
        <w:rPr>
          <w:bCs/>
        </w:rPr>
        <w:t>.</w:t>
      </w:r>
    </w:p>
    <w:p w:rsidR="00EB292B" w:rsidRPr="006D7A2F" w:rsidRDefault="00EB292B" w:rsidP="00EB6A0D">
      <w:pPr>
        <w:ind w:firstLine="567"/>
        <w:jc w:val="both"/>
        <w:rPr>
          <w:bCs/>
        </w:rPr>
      </w:pPr>
      <w:r w:rsidRPr="00E8721A">
        <w:rPr>
          <w:lang w:val="ru-RU"/>
        </w:rPr>
        <w:t>Предоставеното авансово финансиране по реда на ДДС 6/ 2011 г. към бюджетни организации за периода е на стойност 78</w:t>
      </w:r>
      <w:r>
        <w:rPr>
          <w:lang w:val="ru-RU"/>
        </w:rPr>
        <w:t>,</w:t>
      </w:r>
      <w:r w:rsidRPr="00E8721A">
        <w:rPr>
          <w:lang w:val="ru-RU"/>
        </w:rPr>
        <w:t>0 млн. лева, а възстановените средства – 46</w:t>
      </w:r>
      <w:r>
        <w:rPr>
          <w:lang w:val="ru-RU"/>
        </w:rPr>
        <w:t>,</w:t>
      </w:r>
      <w:r w:rsidRPr="00E8721A">
        <w:rPr>
          <w:lang w:val="ru-RU"/>
        </w:rPr>
        <w:t>7 млн. лева.</w:t>
      </w:r>
    </w:p>
    <w:p w:rsidR="00EB292B" w:rsidRPr="005C582B" w:rsidRDefault="00EB292B" w:rsidP="00EB6A0D">
      <w:pPr>
        <w:ind w:firstLine="567"/>
        <w:jc w:val="both"/>
        <w:rPr>
          <w:bCs/>
        </w:rPr>
      </w:pPr>
      <w:r w:rsidRPr="008912DE">
        <w:rPr>
          <w:bCs/>
        </w:rPr>
        <w:t xml:space="preserve">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w:t>
      </w:r>
      <w:r w:rsidRPr="005C582B">
        <w:rPr>
          <w:bCs/>
        </w:rPr>
        <w:t>период са в размер на 150</w:t>
      </w:r>
      <w:r>
        <w:rPr>
          <w:bCs/>
        </w:rPr>
        <w:t>,</w:t>
      </w:r>
      <w:r w:rsidRPr="005C582B">
        <w:rPr>
          <w:bCs/>
        </w:rPr>
        <w:t>3 млн. лева.</w:t>
      </w:r>
    </w:p>
    <w:p w:rsidR="00EB292B" w:rsidRPr="005C582B" w:rsidRDefault="00EB292B" w:rsidP="002A7048">
      <w:pPr>
        <w:spacing w:before="120"/>
        <w:ind w:firstLine="567"/>
        <w:jc w:val="both"/>
        <w:rPr>
          <w:b/>
          <w:bCs/>
        </w:rPr>
      </w:pPr>
      <w:r w:rsidRPr="005C582B">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rsidR="00EB292B" w:rsidRPr="005C582B" w:rsidRDefault="00EB292B" w:rsidP="00EB6A0D">
      <w:pPr>
        <w:ind w:firstLine="567"/>
        <w:jc w:val="both"/>
        <w:rPr>
          <w:bCs/>
        </w:rPr>
      </w:pPr>
      <w:r w:rsidRPr="005C582B">
        <w:rPr>
          <w:bCs/>
        </w:rPr>
        <w:t>Получените средства (предварително годишно финансиране за 2023 г., както и предварително финансиране за 2023 г. във връзка с FAST CARE, както и възстановени разходи) от ЕК за периода са в размер на 209</w:t>
      </w:r>
      <w:r>
        <w:rPr>
          <w:bCs/>
        </w:rPr>
        <w:t>,</w:t>
      </w:r>
      <w:r w:rsidRPr="005C582B">
        <w:rPr>
          <w:bCs/>
        </w:rPr>
        <w:t>9 млн. лв. и са разпределени както следва:</w:t>
      </w:r>
    </w:p>
    <w:p w:rsidR="00EB292B" w:rsidRPr="005C582B" w:rsidRDefault="00EB292B" w:rsidP="00EB292B">
      <w:pPr>
        <w:numPr>
          <w:ilvl w:val="0"/>
          <w:numId w:val="11"/>
        </w:numPr>
        <w:tabs>
          <w:tab w:val="clear" w:pos="1101"/>
          <w:tab w:val="num" w:pos="786"/>
        </w:tabs>
        <w:ind w:left="786"/>
        <w:jc w:val="both"/>
        <w:rPr>
          <w:bCs/>
        </w:rPr>
      </w:pPr>
      <w:r w:rsidRPr="005C582B">
        <w:rPr>
          <w:bCs/>
        </w:rPr>
        <w:t>Програма „Развитие на човешките ресурси” 2021-2027 г. – 46</w:t>
      </w:r>
      <w:r>
        <w:rPr>
          <w:bCs/>
        </w:rPr>
        <w:t>,</w:t>
      </w:r>
      <w:r w:rsidRPr="005C582B">
        <w:rPr>
          <w:bCs/>
        </w:rPr>
        <w:t xml:space="preserve">4 млн. лв.;  </w:t>
      </w:r>
    </w:p>
    <w:p w:rsidR="00EB292B" w:rsidRPr="005C582B" w:rsidRDefault="00EB292B" w:rsidP="00EB292B">
      <w:pPr>
        <w:numPr>
          <w:ilvl w:val="0"/>
          <w:numId w:val="11"/>
        </w:numPr>
        <w:tabs>
          <w:tab w:val="clear" w:pos="1101"/>
          <w:tab w:val="num" w:pos="786"/>
        </w:tabs>
        <w:ind w:left="786"/>
        <w:jc w:val="both"/>
        <w:rPr>
          <w:bCs/>
        </w:rPr>
      </w:pPr>
      <w:r w:rsidRPr="005C582B">
        <w:rPr>
          <w:bCs/>
        </w:rPr>
        <w:t>Програма „Храни и основно материално подпомагане” 2021-2027 г. – 13</w:t>
      </w:r>
      <w:r>
        <w:rPr>
          <w:bCs/>
        </w:rPr>
        <w:t>,</w:t>
      </w:r>
      <w:r w:rsidRPr="005C582B">
        <w:rPr>
          <w:bCs/>
        </w:rPr>
        <w:t>6 млн. лв.;</w:t>
      </w:r>
    </w:p>
    <w:p w:rsidR="00EB292B" w:rsidRPr="005C582B" w:rsidRDefault="00EB292B" w:rsidP="00EB292B">
      <w:pPr>
        <w:numPr>
          <w:ilvl w:val="0"/>
          <w:numId w:val="11"/>
        </w:numPr>
        <w:tabs>
          <w:tab w:val="clear" w:pos="1101"/>
          <w:tab w:val="num" w:pos="786"/>
        </w:tabs>
        <w:ind w:left="786"/>
        <w:jc w:val="both"/>
        <w:rPr>
          <w:bCs/>
        </w:rPr>
      </w:pPr>
      <w:r w:rsidRPr="005C582B">
        <w:rPr>
          <w:bCs/>
        </w:rPr>
        <w:t>Програма „Образование” 2021-2027 г. – 15</w:t>
      </w:r>
      <w:r>
        <w:rPr>
          <w:bCs/>
        </w:rPr>
        <w:t>,</w:t>
      </w:r>
      <w:r w:rsidRPr="005C582B">
        <w:rPr>
          <w:bCs/>
        </w:rPr>
        <w:t>4 млн. лв.;</w:t>
      </w:r>
    </w:p>
    <w:p w:rsidR="00EB292B" w:rsidRPr="005C582B" w:rsidRDefault="00EB292B" w:rsidP="00EB292B">
      <w:pPr>
        <w:numPr>
          <w:ilvl w:val="0"/>
          <w:numId w:val="11"/>
        </w:numPr>
        <w:tabs>
          <w:tab w:val="clear" w:pos="1101"/>
          <w:tab w:val="num" w:pos="786"/>
        </w:tabs>
        <w:ind w:left="786"/>
        <w:jc w:val="both"/>
        <w:rPr>
          <w:bCs/>
        </w:rPr>
      </w:pPr>
      <w:r w:rsidRPr="005C582B">
        <w:rPr>
          <w:bCs/>
        </w:rPr>
        <w:t>Програма „Околна среда“ 2021 2027 г. – 29</w:t>
      </w:r>
      <w:r>
        <w:rPr>
          <w:bCs/>
        </w:rPr>
        <w:t>,</w:t>
      </w:r>
      <w:r w:rsidRPr="005C582B">
        <w:rPr>
          <w:bCs/>
        </w:rPr>
        <w:t>9 млн. лв.;</w:t>
      </w:r>
    </w:p>
    <w:p w:rsidR="00EB292B" w:rsidRPr="005C582B" w:rsidRDefault="00EB292B" w:rsidP="00EB292B">
      <w:pPr>
        <w:numPr>
          <w:ilvl w:val="0"/>
          <w:numId w:val="11"/>
        </w:numPr>
        <w:tabs>
          <w:tab w:val="clear" w:pos="1101"/>
          <w:tab w:val="num" w:pos="786"/>
        </w:tabs>
        <w:ind w:left="786"/>
        <w:jc w:val="both"/>
        <w:rPr>
          <w:bCs/>
        </w:rPr>
      </w:pPr>
      <w:r w:rsidRPr="005C582B">
        <w:rPr>
          <w:bCs/>
        </w:rPr>
        <w:t>Програма „Техническа помощ“ 2021 2027 г. – 2</w:t>
      </w:r>
      <w:r>
        <w:rPr>
          <w:bCs/>
        </w:rPr>
        <w:t>,</w:t>
      </w:r>
      <w:r w:rsidRPr="005C582B">
        <w:rPr>
          <w:bCs/>
        </w:rPr>
        <w:t>0 млн. лв.;</w:t>
      </w:r>
    </w:p>
    <w:p w:rsidR="00EB292B" w:rsidRPr="00FC3221" w:rsidRDefault="00EB292B" w:rsidP="00EB292B">
      <w:pPr>
        <w:numPr>
          <w:ilvl w:val="0"/>
          <w:numId w:val="11"/>
        </w:numPr>
        <w:tabs>
          <w:tab w:val="clear" w:pos="1101"/>
          <w:tab w:val="num" w:pos="786"/>
        </w:tabs>
        <w:ind w:left="786"/>
        <w:jc w:val="both"/>
        <w:rPr>
          <w:bCs/>
        </w:rPr>
      </w:pPr>
      <w:r w:rsidRPr="005C582B">
        <w:rPr>
          <w:bCs/>
        </w:rPr>
        <w:t xml:space="preserve">Програма „Конкурентоспособност и иновации в </w:t>
      </w:r>
      <w:r w:rsidRPr="00FC3221">
        <w:rPr>
          <w:bCs/>
        </w:rPr>
        <w:t>предприятията“ 2021 2027 г. – 24</w:t>
      </w:r>
      <w:r>
        <w:rPr>
          <w:bCs/>
        </w:rPr>
        <w:t>,</w:t>
      </w:r>
      <w:r w:rsidRPr="00FC3221">
        <w:rPr>
          <w:bCs/>
        </w:rPr>
        <w:t>0</w:t>
      </w:r>
      <w:r w:rsidR="009D6BBC">
        <w:rPr>
          <w:bCs/>
        </w:rPr>
        <w:t> </w:t>
      </w:r>
      <w:r w:rsidRPr="00FC3221">
        <w:rPr>
          <w:bCs/>
        </w:rPr>
        <w:t>млн.</w:t>
      </w:r>
      <w:r>
        <w:rPr>
          <w:bCs/>
        </w:rPr>
        <w:t> </w:t>
      </w:r>
      <w:r w:rsidRPr="00FC3221">
        <w:rPr>
          <w:bCs/>
        </w:rPr>
        <w:t>лв.;</w:t>
      </w:r>
    </w:p>
    <w:p w:rsidR="00EB292B" w:rsidRPr="00FC3221" w:rsidRDefault="00EB292B" w:rsidP="00EB292B">
      <w:pPr>
        <w:numPr>
          <w:ilvl w:val="0"/>
          <w:numId w:val="11"/>
        </w:numPr>
        <w:tabs>
          <w:tab w:val="clear" w:pos="1101"/>
          <w:tab w:val="num" w:pos="786"/>
        </w:tabs>
        <w:ind w:left="786"/>
        <w:jc w:val="both"/>
        <w:rPr>
          <w:bCs/>
        </w:rPr>
      </w:pPr>
      <w:r w:rsidRPr="00FC3221">
        <w:rPr>
          <w:bCs/>
        </w:rPr>
        <w:t>Програма „Развитие на регионите“ 2021 2027 г. – 29</w:t>
      </w:r>
      <w:r>
        <w:rPr>
          <w:bCs/>
        </w:rPr>
        <w:t>,</w:t>
      </w:r>
      <w:r w:rsidRPr="00FC3221">
        <w:rPr>
          <w:bCs/>
        </w:rPr>
        <w:t>7 млн. лв.;</w:t>
      </w:r>
    </w:p>
    <w:p w:rsidR="00EB292B" w:rsidRPr="00346264" w:rsidRDefault="00EB292B" w:rsidP="00EB292B">
      <w:pPr>
        <w:numPr>
          <w:ilvl w:val="0"/>
          <w:numId w:val="11"/>
        </w:numPr>
        <w:tabs>
          <w:tab w:val="clear" w:pos="1101"/>
          <w:tab w:val="num" w:pos="786"/>
        </w:tabs>
        <w:ind w:left="786"/>
        <w:jc w:val="both"/>
        <w:rPr>
          <w:bCs/>
        </w:rPr>
      </w:pPr>
      <w:r w:rsidRPr="00346264">
        <w:rPr>
          <w:bCs/>
        </w:rPr>
        <w:t>Програма „Научни изследвания, иновации и дигитализация за интелигентна трансформация“ 2021 2027 г. – 17</w:t>
      </w:r>
      <w:r>
        <w:rPr>
          <w:bCs/>
        </w:rPr>
        <w:t>,</w:t>
      </w:r>
      <w:r w:rsidRPr="00346264">
        <w:rPr>
          <w:bCs/>
        </w:rPr>
        <w:t>3 млн. лв.;</w:t>
      </w:r>
    </w:p>
    <w:p w:rsidR="00EB292B" w:rsidRPr="00346264" w:rsidRDefault="00EB292B" w:rsidP="00EB292B">
      <w:pPr>
        <w:numPr>
          <w:ilvl w:val="0"/>
          <w:numId w:val="11"/>
        </w:numPr>
        <w:tabs>
          <w:tab w:val="clear" w:pos="1101"/>
          <w:tab w:val="num" w:pos="786"/>
        </w:tabs>
        <w:ind w:left="786"/>
        <w:jc w:val="both"/>
        <w:rPr>
          <w:bCs/>
        </w:rPr>
      </w:pPr>
      <w:r w:rsidRPr="00346264">
        <w:rPr>
          <w:bCs/>
        </w:rPr>
        <w:t>Програма „Транспортна свързаност“ 2021 2027 г. – 31</w:t>
      </w:r>
      <w:r>
        <w:rPr>
          <w:bCs/>
        </w:rPr>
        <w:t>,</w:t>
      </w:r>
      <w:r w:rsidRPr="00346264">
        <w:rPr>
          <w:bCs/>
        </w:rPr>
        <w:t>6 млн. л</w:t>
      </w:r>
      <w:r>
        <w:rPr>
          <w:bCs/>
        </w:rPr>
        <w:t>е</w:t>
      </w:r>
      <w:r w:rsidRPr="00346264">
        <w:rPr>
          <w:bCs/>
        </w:rPr>
        <w:t>в</w:t>
      </w:r>
      <w:r>
        <w:rPr>
          <w:bCs/>
        </w:rPr>
        <w:t>а</w:t>
      </w:r>
      <w:r w:rsidRPr="00346264">
        <w:rPr>
          <w:bCs/>
        </w:rPr>
        <w:t>.</w:t>
      </w:r>
    </w:p>
    <w:p w:rsidR="00EB292B" w:rsidRPr="00F8204D" w:rsidRDefault="00EB292B" w:rsidP="00EB292B">
      <w:pPr>
        <w:rPr>
          <w:bCs/>
          <w:color w:val="7030A0"/>
        </w:rPr>
      </w:pPr>
    </w:p>
    <w:p w:rsidR="00EB292B" w:rsidRPr="001235EE" w:rsidRDefault="00EB292B" w:rsidP="003862A1">
      <w:pPr>
        <w:ind w:firstLine="567"/>
        <w:jc w:val="both"/>
        <w:rPr>
          <w:bCs/>
        </w:rPr>
      </w:pPr>
      <w:r w:rsidRPr="001235EE">
        <w:rPr>
          <w:bCs/>
        </w:rPr>
        <w:t>Направените разходи за периода са в размер на 548</w:t>
      </w:r>
      <w:r>
        <w:rPr>
          <w:bCs/>
        </w:rPr>
        <w:t>,</w:t>
      </w:r>
      <w:r w:rsidRPr="001235EE">
        <w:rPr>
          <w:bCs/>
        </w:rPr>
        <w:t>1 млн. лв. и са разпределени както следва:</w:t>
      </w:r>
    </w:p>
    <w:p w:rsidR="00EB292B" w:rsidRPr="001235EE" w:rsidRDefault="00EB292B" w:rsidP="00EB292B">
      <w:pPr>
        <w:numPr>
          <w:ilvl w:val="0"/>
          <w:numId w:val="11"/>
        </w:numPr>
        <w:tabs>
          <w:tab w:val="clear" w:pos="1101"/>
          <w:tab w:val="num" w:pos="786"/>
        </w:tabs>
        <w:ind w:left="786"/>
        <w:jc w:val="both"/>
        <w:rPr>
          <w:bCs/>
        </w:rPr>
      </w:pPr>
      <w:r w:rsidRPr="001235EE">
        <w:rPr>
          <w:bCs/>
        </w:rPr>
        <w:t>Програма „Развитие на човешките ресурси” 2021-2027 г. – 68</w:t>
      </w:r>
      <w:r>
        <w:rPr>
          <w:bCs/>
        </w:rPr>
        <w:t>,</w:t>
      </w:r>
      <w:r w:rsidRPr="001235EE">
        <w:rPr>
          <w:bCs/>
        </w:rPr>
        <w:t xml:space="preserve">1 млн. лв.;  </w:t>
      </w:r>
    </w:p>
    <w:p w:rsidR="00EB292B" w:rsidRDefault="00EB292B" w:rsidP="00EB292B">
      <w:pPr>
        <w:numPr>
          <w:ilvl w:val="0"/>
          <w:numId w:val="11"/>
        </w:numPr>
        <w:tabs>
          <w:tab w:val="clear" w:pos="1101"/>
          <w:tab w:val="num" w:pos="786"/>
        </w:tabs>
        <w:ind w:left="786"/>
        <w:jc w:val="both"/>
        <w:rPr>
          <w:bCs/>
        </w:rPr>
      </w:pPr>
      <w:r w:rsidRPr="001235EE">
        <w:rPr>
          <w:bCs/>
        </w:rPr>
        <w:t>Програма „Храни и основно материално подпомагане” 2021-2027 г. – 48</w:t>
      </w:r>
      <w:r>
        <w:rPr>
          <w:bCs/>
        </w:rPr>
        <w:t>,</w:t>
      </w:r>
      <w:r w:rsidRPr="001235EE">
        <w:rPr>
          <w:bCs/>
        </w:rPr>
        <w:t>6 млн. лв.;</w:t>
      </w:r>
    </w:p>
    <w:p w:rsidR="00EB292B" w:rsidRPr="00857804" w:rsidRDefault="00EB292B" w:rsidP="00EB292B">
      <w:pPr>
        <w:numPr>
          <w:ilvl w:val="0"/>
          <w:numId w:val="11"/>
        </w:numPr>
        <w:tabs>
          <w:tab w:val="clear" w:pos="1101"/>
          <w:tab w:val="num" w:pos="786"/>
        </w:tabs>
        <w:ind w:left="786"/>
        <w:jc w:val="both"/>
        <w:rPr>
          <w:bCs/>
        </w:rPr>
      </w:pPr>
      <w:r w:rsidRPr="00857804">
        <w:rPr>
          <w:bCs/>
        </w:rPr>
        <w:t>Програма „Образование” 2021-2027 г. – 0</w:t>
      </w:r>
      <w:r>
        <w:rPr>
          <w:bCs/>
        </w:rPr>
        <w:t>,</w:t>
      </w:r>
      <w:r w:rsidRPr="00857804">
        <w:rPr>
          <w:bCs/>
        </w:rPr>
        <w:t>007 млн. лв.;</w:t>
      </w:r>
    </w:p>
    <w:p w:rsidR="00EB292B" w:rsidRPr="00857804" w:rsidRDefault="00EB292B" w:rsidP="00EB292B">
      <w:pPr>
        <w:numPr>
          <w:ilvl w:val="0"/>
          <w:numId w:val="11"/>
        </w:numPr>
        <w:tabs>
          <w:tab w:val="clear" w:pos="1101"/>
          <w:tab w:val="num" w:pos="786"/>
        </w:tabs>
        <w:ind w:left="786"/>
        <w:jc w:val="both"/>
        <w:rPr>
          <w:bCs/>
        </w:rPr>
      </w:pPr>
      <w:r w:rsidRPr="00857804">
        <w:rPr>
          <w:bCs/>
        </w:rPr>
        <w:t>Програма „Конкурентоспособност и иновации в предприятията“ 2021 2027 г. – 396</w:t>
      </w:r>
      <w:r>
        <w:rPr>
          <w:bCs/>
        </w:rPr>
        <w:t>,</w:t>
      </w:r>
      <w:r w:rsidRPr="00857804">
        <w:rPr>
          <w:bCs/>
        </w:rPr>
        <w:t>1</w:t>
      </w:r>
      <w:r w:rsidR="00120DB2">
        <w:rPr>
          <w:bCs/>
        </w:rPr>
        <w:t> </w:t>
      </w:r>
      <w:r w:rsidRPr="00857804">
        <w:rPr>
          <w:bCs/>
        </w:rPr>
        <w:t>млн.</w:t>
      </w:r>
      <w:r>
        <w:rPr>
          <w:bCs/>
        </w:rPr>
        <w:t> </w:t>
      </w:r>
      <w:r w:rsidRPr="00857804">
        <w:rPr>
          <w:bCs/>
        </w:rPr>
        <w:t>лв. и</w:t>
      </w:r>
    </w:p>
    <w:p w:rsidR="00EB292B" w:rsidRPr="00857804" w:rsidRDefault="00EB292B" w:rsidP="00EB292B">
      <w:pPr>
        <w:numPr>
          <w:ilvl w:val="0"/>
          <w:numId w:val="11"/>
        </w:numPr>
        <w:tabs>
          <w:tab w:val="clear" w:pos="1101"/>
          <w:tab w:val="num" w:pos="786"/>
        </w:tabs>
        <w:ind w:left="786"/>
        <w:jc w:val="both"/>
        <w:rPr>
          <w:bCs/>
        </w:rPr>
      </w:pPr>
      <w:r w:rsidRPr="00857804">
        <w:rPr>
          <w:bCs/>
        </w:rPr>
        <w:t>Програма „Научни изследвания, иновации и дигитализация за интелигентна трансформация“ 2021 2027 г. – 35</w:t>
      </w:r>
      <w:r>
        <w:rPr>
          <w:bCs/>
        </w:rPr>
        <w:t>,</w:t>
      </w:r>
      <w:r w:rsidRPr="00857804">
        <w:rPr>
          <w:bCs/>
        </w:rPr>
        <w:t>2 млн. л</w:t>
      </w:r>
      <w:r>
        <w:rPr>
          <w:bCs/>
        </w:rPr>
        <w:t>е</w:t>
      </w:r>
      <w:r w:rsidRPr="00857804">
        <w:rPr>
          <w:bCs/>
        </w:rPr>
        <w:t>в</w:t>
      </w:r>
      <w:r>
        <w:rPr>
          <w:bCs/>
        </w:rPr>
        <w:t>а</w:t>
      </w:r>
      <w:r w:rsidRPr="00857804">
        <w:rPr>
          <w:bCs/>
        </w:rPr>
        <w:t>.</w:t>
      </w:r>
    </w:p>
    <w:p w:rsidR="00EB292B" w:rsidRPr="00A334F9" w:rsidRDefault="00EB292B" w:rsidP="00EB292B">
      <w:pPr>
        <w:spacing w:before="120"/>
        <w:ind w:firstLine="686"/>
        <w:rPr>
          <w:b/>
          <w:bCs/>
        </w:rPr>
      </w:pPr>
      <w:r w:rsidRPr="00A334F9">
        <w:rPr>
          <w:b/>
          <w:bCs/>
        </w:rPr>
        <w:t>Национален план за възстановяване и устойчивост (НПВУ)</w:t>
      </w:r>
    </w:p>
    <w:p w:rsidR="00EB292B" w:rsidRPr="00A334F9" w:rsidRDefault="00EB292B" w:rsidP="003862A1">
      <w:pPr>
        <w:spacing w:before="120"/>
        <w:ind w:firstLine="567"/>
        <w:jc w:val="both"/>
        <w:rPr>
          <w:bCs/>
        </w:rPr>
      </w:pPr>
      <w:r w:rsidRPr="00A334F9">
        <w:rPr>
          <w:bCs/>
        </w:rPr>
        <w:t>През отчетния период чрез НПВУ бяха извършени разходи и трансфери (нето)</w:t>
      </w:r>
      <w:r w:rsidRPr="00E8721A">
        <w:rPr>
          <w:bCs/>
          <w:lang w:val="ru-RU"/>
        </w:rPr>
        <w:t xml:space="preserve"> </w:t>
      </w:r>
      <w:r w:rsidRPr="00A334F9">
        <w:rPr>
          <w:bCs/>
        </w:rPr>
        <w:t>в размер на 239</w:t>
      </w:r>
      <w:r>
        <w:rPr>
          <w:bCs/>
        </w:rPr>
        <w:t>,</w:t>
      </w:r>
      <w:r w:rsidRPr="00A334F9">
        <w:rPr>
          <w:bCs/>
        </w:rPr>
        <w:t>3 млн. лева.</w:t>
      </w:r>
    </w:p>
    <w:p w:rsidR="00EB292B" w:rsidRPr="00D00A13" w:rsidRDefault="00EB292B" w:rsidP="00EB292B">
      <w:pPr>
        <w:spacing w:before="120"/>
        <w:ind w:firstLine="686"/>
        <w:rPr>
          <w:b/>
          <w:bCs/>
        </w:rPr>
      </w:pPr>
      <w:r w:rsidRPr="00D00A13">
        <w:rPr>
          <w:b/>
          <w:bCs/>
        </w:rPr>
        <w:t xml:space="preserve">Програма ФАР </w:t>
      </w:r>
    </w:p>
    <w:p w:rsidR="00EB292B" w:rsidRPr="00D00A13" w:rsidRDefault="00EB292B" w:rsidP="00EB292B">
      <w:pPr>
        <w:ind w:firstLine="686"/>
        <w:rPr>
          <w:bCs/>
        </w:rPr>
      </w:pPr>
      <w:r w:rsidRPr="00D00A13">
        <w:rPr>
          <w:bCs/>
        </w:rPr>
        <w:t>През отчетния период са възстановени суми от бенефициенти на стойност 0</w:t>
      </w:r>
      <w:r>
        <w:rPr>
          <w:bCs/>
        </w:rPr>
        <w:t>,</w:t>
      </w:r>
      <w:r w:rsidRPr="00D00A13">
        <w:rPr>
          <w:bCs/>
        </w:rPr>
        <w:t xml:space="preserve">01 млн. лева. </w:t>
      </w:r>
    </w:p>
    <w:p w:rsidR="00EB292B" w:rsidRPr="00D00A13" w:rsidRDefault="00EB292B" w:rsidP="00EB292B">
      <w:pPr>
        <w:spacing w:before="120"/>
        <w:ind w:firstLine="686"/>
        <w:rPr>
          <w:b/>
          <w:bCs/>
        </w:rPr>
      </w:pPr>
      <w:r w:rsidRPr="00D00A13">
        <w:rPr>
          <w:b/>
          <w:bCs/>
        </w:rPr>
        <w:t xml:space="preserve">Програма САПАРД </w:t>
      </w:r>
    </w:p>
    <w:p w:rsidR="00EB292B" w:rsidRPr="00D00A13" w:rsidRDefault="00EB292B" w:rsidP="003862A1">
      <w:pPr>
        <w:ind w:firstLine="567"/>
        <w:jc w:val="both"/>
        <w:rPr>
          <w:bCs/>
        </w:rPr>
      </w:pPr>
      <w:r w:rsidRPr="00D00A13">
        <w:rPr>
          <w:bCs/>
        </w:rPr>
        <w:t>През периода са извършени възстановявания от бенефициенти по дългове на стойност 0</w:t>
      </w:r>
      <w:r>
        <w:rPr>
          <w:bCs/>
        </w:rPr>
        <w:t>,</w:t>
      </w:r>
      <w:r w:rsidRPr="00D00A13">
        <w:rPr>
          <w:bCs/>
        </w:rPr>
        <w:t>04</w:t>
      </w:r>
      <w:r w:rsidR="00120DB2">
        <w:rPr>
          <w:bCs/>
        </w:rPr>
        <w:t> </w:t>
      </w:r>
      <w:r w:rsidRPr="00D00A13">
        <w:rPr>
          <w:bCs/>
        </w:rPr>
        <w:t>млн. л</w:t>
      </w:r>
      <w:r>
        <w:rPr>
          <w:bCs/>
        </w:rPr>
        <w:t>е</w:t>
      </w:r>
      <w:r w:rsidRPr="00D00A13">
        <w:rPr>
          <w:bCs/>
        </w:rPr>
        <w:t>в</w:t>
      </w:r>
      <w:r>
        <w:rPr>
          <w:bCs/>
        </w:rPr>
        <w:t>а</w:t>
      </w:r>
      <w:r w:rsidRPr="00D00A13">
        <w:rPr>
          <w:bCs/>
        </w:rPr>
        <w:t>.</w:t>
      </w:r>
    </w:p>
    <w:p w:rsidR="00EB292B" w:rsidRPr="005D45B5" w:rsidRDefault="00EB292B" w:rsidP="00F16853">
      <w:pPr>
        <w:spacing w:before="120"/>
        <w:ind w:firstLine="567"/>
        <w:rPr>
          <w:b/>
          <w:bCs/>
        </w:rPr>
      </w:pPr>
      <w:r w:rsidRPr="005D45B5">
        <w:rPr>
          <w:b/>
          <w:bCs/>
        </w:rPr>
        <w:t>Двустранни програми за трансгранично сътрудничество по външните граници на Европейския съюз 2007 – 2013 г., 2014 – 2020 г. и 2021 – 2027 г.</w:t>
      </w:r>
    </w:p>
    <w:p w:rsidR="00EB292B" w:rsidRPr="005D45B5" w:rsidRDefault="00EB292B" w:rsidP="003862A1">
      <w:pPr>
        <w:ind w:firstLine="567"/>
        <w:jc w:val="both"/>
        <w:rPr>
          <w:bCs/>
        </w:rPr>
      </w:pPr>
      <w:r w:rsidRPr="005D45B5">
        <w:rPr>
          <w:bCs/>
        </w:rPr>
        <w:t>Получените средства към 30.09.2023 г. са на стойност 23</w:t>
      </w:r>
      <w:r>
        <w:rPr>
          <w:bCs/>
        </w:rPr>
        <w:t>,</w:t>
      </w:r>
      <w:r w:rsidRPr="005D45B5">
        <w:rPr>
          <w:bCs/>
        </w:rPr>
        <w:t xml:space="preserve">0 млн. лв., представляващи възстановени разходи от ЕК по ПП 2014-2020 г., постъпили средства за съфинансиране от страните-партньори, както </w:t>
      </w:r>
      <w:r>
        <w:rPr>
          <w:bCs/>
        </w:rPr>
        <w:t xml:space="preserve">и </w:t>
      </w:r>
      <w:r w:rsidRPr="005D45B5">
        <w:rPr>
          <w:bCs/>
        </w:rPr>
        <w:t>разпределени към администратори в чужбина за сметка на средствата, получени от страната-партньор и втори транш за предварително финансиране по ПП 2021-2027 г.</w:t>
      </w:r>
    </w:p>
    <w:p w:rsidR="00EB292B" w:rsidRPr="005D45B5" w:rsidRDefault="00EB292B" w:rsidP="003862A1">
      <w:pPr>
        <w:ind w:firstLine="567"/>
        <w:jc w:val="both"/>
        <w:rPr>
          <w:b/>
          <w:bCs/>
        </w:rPr>
      </w:pPr>
      <w:r w:rsidRPr="005D45B5">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9</w:t>
      </w:r>
      <w:r>
        <w:rPr>
          <w:bCs/>
        </w:rPr>
        <w:t>,</w:t>
      </w:r>
      <w:r w:rsidRPr="005D45B5">
        <w:rPr>
          <w:bCs/>
        </w:rPr>
        <w:t xml:space="preserve">1 млн. лв., включително за плащания към бенефициенти в страната, извършени за сметка на полученото финансиране от страната-партньор по тези програми. </w:t>
      </w:r>
    </w:p>
    <w:p w:rsidR="00EB292B" w:rsidRPr="00235768" w:rsidRDefault="00EB292B" w:rsidP="00EB292B">
      <w:pPr>
        <w:spacing w:before="120"/>
        <w:ind w:firstLine="567"/>
        <w:jc w:val="both"/>
        <w:rPr>
          <w:b/>
          <w:bCs/>
        </w:rPr>
      </w:pPr>
      <w:r w:rsidRPr="00235768">
        <w:rPr>
          <w:b/>
          <w:bCs/>
        </w:rPr>
        <w:t>Финансов механизъм на Европейското икономическо пространство и Норвежки финансов механизъм за периода 2009-2014 г. и 2014-2021 г.</w:t>
      </w:r>
    </w:p>
    <w:p w:rsidR="00EB292B" w:rsidRPr="00235768" w:rsidRDefault="00EB292B" w:rsidP="00EB292B">
      <w:pPr>
        <w:spacing w:before="120"/>
        <w:ind w:firstLine="567"/>
        <w:rPr>
          <w:b/>
          <w:bCs/>
        </w:rPr>
      </w:pPr>
      <w:r w:rsidRPr="00235768">
        <w:rPr>
          <w:bCs/>
        </w:rPr>
        <w:t>Получените средства към 30.06.2023 г. са на стойност 57</w:t>
      </w:r>
      <w:r>
        <w:rPr>
          <w:bCs/>
        </w:rPr>
        <w:t>,</w:t>
      </w:r>
      <w:r w:rsidRPr="00235768">
        <w:rPr>
          <w:bCs/>
        </w:rPr>
        <w:t>1 млн. л</w:t>
      </w:r>
      <w:r>
        <w:rPr>
          <w:bCs/>
        </w:rPr>
        <w:t>е</w:t>
      </w:r>
      <w:r w:rsidRPr="00235768">
        <w:rPr>
          <w:bCs/>
        </w:rPr>
        <w:t>в</w:t>
      </w:r>
      <w:r>
        <w:rPr>
          <w:bCs/>
        </w:rPr>
        <w:t>а</w:t>
      </w:r>
      <w:r w:rsidRPr="00235768">
        <w:rPr>
          <w:bCs/>
        </w:rPr>
        <w:t>.</w:t>
      </w:r>
    </w:p>
    <w:p w:rsidR="00EB292B" w:rsidRPr="00E8721A" w:rsidRDefault="00EB292B" w:rsidP="00EB292B">
      <w:pPr>
        <w:tabs>
          <w:tab w:val="center" w:pos="4153"/>
          <w:tab w:val="left" w:pos="5387"/>
          <w:tab w:val="right" w:pos="8306"/>
        </w:tabs>
        <w:ind w:firstLine="567"/>
        <w:rPr>
          <w:lang w:val="ru-RU"/>
        </w:rPr>
      </w:pPr>
      <w:r w:rsidRPr="00235768">
        <w:rPr>
          <w:bCs/>
        </w:rPr>
        <w:t>Сумата на разходите и трансферите (нето) за периода са на обща стойност 66</w:t>
      </w:r>
      <w:r>
        <w:rPr>
          <w:bCs/>
        </w:rPr>
        <w:t>,</w:t>
      </w:r>
      <w:r w:rsidRPr="00235768">
        <w:rPr>
          <w:bCs/>
        </w:rPr>
        <w:t>7 млн. лева.</w:t>
      </w:r>
    </w:p>
    <w:p w:rsidR="00033525" w:rsidRPr="0059164A" w:rsidRDefault="00033525" w:rsidP="00D71F03">
      <w:pPr>
        <w:ind w:firstLine="708"/>
        <w:jc w:val="both"/>
        <w:rPr>
          <w:bCs/>
          <w:color w:val="0070C0"/>
        </w:rPr>
      </w:pPr>
    </w:p>
    <w:p w:rsidR="00936CD8" w:rsidRPr="00E745C0" w:rsidRDefault="00936CD8" w:rsidP="00936CD8">
      <w:pPr>
        <w:pStyle w:val="Heading1"/>
        <w:numPr>
          <w:ilvl w:val="0"/>
          <w:numId w:val="9"/>
        </w:numPr>
        <w:spacing w:before="360"/>
        <w:ind w:left="533" w:right="-108" w:hanging="391"/>
        <w:jc w:val="both"/>
        <w:rPr>
          <w:sz w:val="24"/>
        </w:rPr>
      </w:pPr>
      <w:r w:rsidRPr="00E745C0">
        <w:rPr>
          <w:sz w:val="24"/>
        </w:rPr>
        <w:t>Бюджети на социално и здравно-осигурителните фондове и бюджети по чл. 13, ал. 2 и ал. 3 на Закона за публичните финанси</w:t>
      </w:r>
    </w:p>
    <w:p w:rsidR="00936CD8" w:rsidRPr="00E745C0" w:rsidRDefault="00936CD8" w:rsidP="00751212">
      <w:pPr>
        <w:pStyle w:val="Heading1"/>
        <w:numPr>
          <w:ilvl w:val="1"/>
          <w:numId w:val="9"/>
        </w:numPr>
        <w:spacing w:before="240"/>
        <w:ind w:left="788" w:right="-108" w:hanging="431"/>
        <w:jc w:val="both"/>
        <w:rPr>
          <w:sz w:val="24"/>
          <w:lang w:val="en-US"/>
        </w:rPr>
      </w:pPr>
      <w:r w:rsidRPr="00E745C0">
        <w:rPr>
          <w:sz w:val="24"/>
        </w:rPr>
        <w:t>Социално и здравно-осигурителни фондове</w:t>
      </w:r>
    </w:p>
    <w:p w:rsidR="00DD564B" w:rsidRPr="00E745C0" w:rsidRDefault="00DD564B" w:rsidP="00DD564B">
      <w:pPr>
        <w:numPr>
          <w:ilvl w:val="1"/>
          <w:numId w:val="6"/>
        </w:numPr>
        <w:spacing w:before="120" w:line="276" w:lineRule="auto"/>
        <w:ind w:left="992" w:hanging="357"/>
        <w:jc w:val="both"/>
        <w:rPr>
          <w:b/>
          <w:bCs/>
        </w:rPr>
      </w:pPr>
      <w:r w:rsidRPr="00E745C0">
        <w:rPr>
          <w:b/>
        </w:rPr>
        <w:t>Държавно обществено осигуряване</w:t>
      </w:r>
    </w:p>
    <w:p w:rsidR="00980BA8" w:rsidRPr="002F20CD" w:rsidRDefault="00980BA8" w:rsidP="00980BA8">
      <w:pPr>
        <w:ind w:firstLine="567"/>
        <w:jc w:val="both"/>
        <w:rPr>
          <w:rFonts w:eastAsiaTheme="minorHAnsi"/>
          <w:color w:val="4F81BD" w:themeColor="accent1"/>
        </w:rPr>
      </w:pPr>
      <w:r w:rsidRPr="005B1C53">
        <w:t xml:space="preserve">Общата сума на </w:t>
      </w:r>
      <w:r w:rsidRPr="005B1C53">
        <w:rPr>
          <w:b/>
        </w:rPr>
        <w:t>приходите, помощите и даренията</w:t>
      </w:r>
      <w:r w:rsidRPr="005B1C53">
        <w:t xml:space="preserve"> по бюджета на Държавното обществено осигуряване (ДОО) към 30.09.202</w:t>
      </w:r>
      <w:r w:rsidRPr="005B1C53">
        <w:rPr>
          <w:lang w:val="ru-RU"/>
        </w:rPr>
        <w:t>3</w:t>
      </w:r>
      <w:r w:rsidRPr="005B1C53">
        <w:t xml:space="preserve"> г. възлиза на </w:t>
      </w:r>
      <w:r w:rsidRPr="005B1C53">
        <w:rPr>
          <w:lang w:val="en-US"/>
        </w:rPr>
        <w:t>8</w:t>
      </w:r>
      <w:r w:rsidRPr="005B1C53">
        <w:t> </w:t>
      </w:r>
      <w:r w:rsidRPr="005B1C53">
        <w:rPr>
          <w:lang w:val="en-US"/>
        </w:rPr>
        <w:t>295</w:t>
      </w:r>
      <w:r w:rsidRPr="005B1C53">
        <w:t>,</w:t>
      </w:r>
      <w:r w:rsidRPr="005B1C53">
        <w:rPr>
          <w:lang w:val="en-US"/>
        </w:rPr>
        <w:t>3</w:t>
      </w:r>
      <w:r w:rsidRPr="005B1C53">
        <w:t xml:space="preserve"> млн. лв. Съпоставени с деветмесечието на 202</w:t>
      </w:r>
      <w:r w:rsidRPr="005B1C53">
        <w:rPr>
          <w:lang w:val="ru-RU"/>
        </w:rPr>
        <w:t>2</w:t>
      </w:r>
      <w:r w:rsidRPr="005B1C53">
        <w:t xml:space="preserve"> г., приходите по бюджета на ДОО нарастват с</w:t>
      </w:r>
      <w:r w:rsidRPr="005B1C53">
        <w:rPr>
          <w:lang w:val="ru-RU"/>
        </w:rPr>
        <w:t xml:space="preserve"> 1 061</w:t>
      </w:r>
      <w:r w:rsidRPr="005B1C53">
        <w:t xml:space="preserve">,1 млн. лв. (14,7 %). </w:t>
      </w:r>
      <w:r>
        <w:t xml:space="preserve">Постъпилите средства представляват 73,9 % спрямо разчетените в Закона за бюджета на Държавното обществено осигуряване за 2023 г. (ЗБДОО за  2023 г.). </w:t>
      </w:r>
      <w:r w:rsidRPr="005B1C53">
        <w:t>Най-голям е делът на приходите от осигурителни вноски (98,</w:t>
      </w:r>
      <w:r w:rsidRPr="005B1C53">
        <w:rPr>
          <w:lang w:val="ru-RU"/>
        </w:rPr>
        <w:t>4</w:t>
      </w:r>
      <w:r w:rsidRPr="005B1C53">
        <w:t xml:space="preserve"> % от общите приходи), които за отчетния период </w:t>
      </w:r>
      <w:r>
        <w:t xml:space="preserve">те </w:t>
      </w:r>
      <w:r w:rsidRPr="005B1C53">
        <w:t xml:space="preserve">са в размер на </w:t>
      </w:r>
      <w:r w:rsidRPr="005B1C53">
        <w:rPr>
          <w:lang w:val="en-US"/>
        </w:rPr>
        <w:t>8</w:t>
      </w:r>
      <w:r w:rsidRPr="005B1C53">
        <w:t> </w:t>
      </w:r>
      <w:r w:rsidRPr="005B1C53">
        <w:rPr>
          <w:lang w:val="en-US"/>
        </w:rPr>
        <w:t>162</w:t>
      </w:r>
      <w:r w:rsidRPr="005B1C53">
        <w:t>,</w:t>
      </w:r>
      <w:r w:rsidRPr="005B1C53">
        <w:rPr>
          <w:lang w:val="en-US"/>
        </w:rPr>
        <w:t>0</w:t>
      </w:r>
      <w:r w:rsidRPr="005B1C53">
        <w:t xml:space="preserve"> млн. лв. </w:t>
      </w:r>
      <w:r>
        <w:t>Приходите от осигурителни вноски към 30.09.2023 г. са 73,7 % от разчетите към ЗБДОО за 2023 г.</w:t>
      </w:r>
    </w:p>
    <w:p w:rsidR="00980BA8" w:rsidRPr="00C813CA" w:rsidRDefault="00980BA8" w:rsidP="00980BA8">
      <w:pPr>
        <w:ind w:firstLine="567"/>
        <w:jc w:val="both"/>
        <w:rPr>
          <w:bCs/>
        </w:rPr>
      </w:pPr>
      <w:r w:rsidRPr="0009205A">
        <w:rPr>
          <w:bCs/>
        </w:rPr>
        <w:t xml:space="preserve">Отчетените неданъчни приходи към края на септември 2023 г. по бюджета на ДОО възлизат на 133,3 млн. лв., в т.ч. 106,1 млн. лв. постъпили средства по чл. 4б, чл. 4в и чл. </w:t>
      </w:r>
      <w:r w:rsidRPr="00C813CA">
        <w:rPr>
          <w:bCs/>
        </w:rPr>
        <w:t>69б от Кодекса за социално осигуряване (КСО)</w:t>
      </w:r>
      <w:r w:rsidRPr="00C813CA">
        <w:t>.</w:t>
      </w:r>
      <w:r w:rsidRPr="00C813CA">
        <w:rPr>
          <w:bCs/>
        </w:rPr>
        <w:t xml:space="preserve"> </w:t>
      </w:r>
    </w:p>
    <w:p w:rsidR="00980BA8" w:rsidRPr="00C813CA" w:rsidRDefault="00980BA8" w:rsidP="00980BA8">
      <w:pPr>
        <w:ind w:firstLine="567"/>
        <w:jc w:val="both"/>
        <w:rPr>
          <w:bCs/>
        </w:rPr>
      </w:pPr>
      <w:r w:rsidRPr="00C813CA">
        <w:rPr>
          <w:bCs/>
        </w:rPr>
        <w:t>Получените трансфери от централния бюджет (вкл. за поети осигурителни вноски) за периода са 7 641,2 млн. лв.</w:t>
      </w:r>
    </w:p>
    <w:p w:rsidR="00980BA8" w:rsidRPr="005F4F24" w:rsidRDefault="00980BA8" w:rsidP="00980BA8">
      <w:pPr>
        <w:tabs>
          <w:tab w:val="num" w:pos="1499"/>
          <w:tab w:val="num" w:pos="2148"/>
        </w:tabs>
        <w:ind w:firstLine="567"/>
        <w:jc w:val="both"/>
        <w:rPr>
          <w:bCs/>
        </w:rPr>
      </w:pPr>
      <w:r w:rsidRPr="009259D6">
        <w:rPr>
          <w:bCs/>
        </w:rPr>
        <w:t xml:space="preserve">Размерът на извършените </w:t>
      </w:r>
      <w:r w:rsidRPr="009259D6">
        <w:rPr>
          <w:b/>
          <w:bCs/>
        </w:rPr>
        <w:t xml:space="preserve">разходи </w:t>
      </w:r>
      <w:r w:rsidRPr="009259D6">
        <w:rPr>
          <w:bCs/>
        </w:rPr>
        <w:t xml:space="preserve">за първите девет месеца на 2023 г. по бюджета на </w:t>
      </w:r>
      <w:r w:rsidRPr="005F4F24">
        <w:rPr>
          <w:bCs/>
        </w:rPr>
        <w:t xml:space="preserve">ДОО е 15 852,4 млн. лв. Спрямо същия период на миналата година, общо разходите по бюджета на ДОО са с 2 949,7 млн. лв. (22,9 %) повече. От структурна гледна точка най-голям относителен дял в общите разходи заемат разходите за пенсии, обезщетения и помощи, изплащани на основание КСО – общо 15 733,8 млн. лв. или 99,3 % от общия размер на разходите за отчетния период. </w:t>
      </w:r>
    </w:p>
    <w:p w:rsidR="00980BA8" w:rsidRPr="001561F9" w:rsidRDefault="00980BA8" w:rsidP="00980BA8">
      <w:pPr>
        <w:tabs>
          <w:tab w:val="num" w:pos="1499"/>
          <w:tab w:val="num" w:pos="2148"/>
        </w:tabs>
        <w:ind w:firstLine="567"/>
        <w:jc w:val="both"/>
        <w:rPr>
          <w:bCs/>
        </w:rPr>
      </w:pPr>
      <w:r w:rsidRPr="005F4F24">
        <w:rPr>
          <w:bCs/>
        </w:rPr>
        <w:t xml:space="preserve">Отчетените разходи за </w:t>
      </w:r>
      <w:r w:rsidRPr="005F4F24">
        <w:rPr>
          <w:b/>
          <w:bCs/>
        </w:rPr>
        <w:t>пенсии</w:t>
      </w:r>
      <w:r w:rsidRPr="005F4F24">
        <w:rPr>
          <w:bCs/>
        </w:rPr>
        <w:t xml:space="preserve"> по бюджета на ДОО към 30.09.2023 г. възлизат на 14 069,8 млн. лв., което е с 2 986,2 млн. лв. повече спрямо първите девет месеца на 2022 г. Основните причини за това са: ефектите от изплащане на увеличените пенсии от 1 юли 2022 г. и от 1 октомври 2022 г., вкл. увеличението на минималната и на максималната пенсии, изплащането на осъвременените с 12 % от 1 юли 2023 г. пенсиите, както и допълнителните еднократни плащания в размер на 70 лв. към пенсиите на всички пенсионери през м. април 2022</w:t>
      </w:r>
      <w:r w:rsidRPr="005F4F24">
        <w:rPr>
          <w:bCs/>
          <w:lang w:val="en-US"/>
        </w:rPr>
        <w:t> </w:t>
      </w:r>
      <w:r w:rsidRPr="005F4F24">
        <w:rPr>
          <w:bCs/>
        </w:rPr>
        <w:t xml:space="preserve">г. и на тези от тях с пенсии до размера на линията на </w:t>
      </w:r>
      <w:r w:rsidRPr="001561F9">
        <w:rPr>
          <w:bCs/>
        </w:rPr>
        <w:t>бедност през април 2023 г.</w:t>
      </w:r>
    </w:p>
    <w:p w:rsidR="00980BA8" w:rsidRPr="002D1ACC" w:rsidRDefault="00980BA8" w:rsidP="00980BA8">
      <w:pPr>
        <w:tabs>
          <w:tab w:val="num" w:pos="1499"/>
          <w:tab w:val="num" w:pos="2148"/>
        </w:tabs>
        <w:ind w:firstLine="567"/>
        <w:jc w:val="both"/>
      </w:pPr>
      <w:r w:rsidRPr="002D1ACC">
        <w:t xml:space="preserve">Отчетените разходи за </w:t>
      </w:r>
      <w:r w:rsidRPr="002D1ACC">
        <w:rPr>
          <w:b/>
        </w:rPr>
        <w:t>краткосрочни обезщетения и помощи по КСО</w:t>
      </w:r>
      <w:r w:rsidRPr="002D1ACC">
        <w:t xml:space="preserve"> са в размер на 1 664,0 млн. лева. Спрямо същия период на миналата година изплатените обезщетения по КСО са със 109,2 млн. лв. (7,0 %) повече.</w:t>
      </w:r>
    </w:p>
    <w:p w:rsidR="00980BA8" w:rsidRPr="00DE6D7A" w:rsidRDefault="00980BA8" w:rsidP="00AA1283">
      <w:pPr>
        <w:numPr>
          <w:ilvl w:val="1"/>
          <w:numId w:val="6"/>
        </w:numPr>
        <w:tabs>
          <w:tab w:val="num" w:pos="709"/>
          <w:tab w:val="left" w:pos="851"/>
          <w:tab w:val="left" w:pos="1134"/>
        </w:tabs>
        <w:spacing w:before="240" w:line="276" w:lineRule="auto"/>
        <w:ind w:left="709" w:hanging="357"/>
        <w:jc w:val="both"/>
        <w:rPr>
          <w:b/>
          <w:bCs/>
        </w:rPr>
      </w:pPr>
      <w:r w:rsidRPr="00DE6D7A">
        <w:rPr>
          <w:b/>
          <w:bCs/>
        </w:rPr>
        <w:t>Национална здравноосигурителна каса</w:t>
      </w:r>
    </w:p>
    <w:p w:rsidR="00980BA8" w:rsidRPr="002F20CD" w:rsidRDefault="00980BA8" w:rsidP="00980BA8">
      <w:pPr>
        <w:ind w:firstLine="567"/>
        <w:jc w:val="both"/>
        <w:rPr>
          <w:color w:val="4F81BD" w:themeColor="accent1"/>
        </w:rPr>
      </w:pPr>
      <w:r w:rsidRPr="00DE6D7A">
        <w:t xml:space="preserve">Общият размер на събраните </w:t>
      </w:r>
      <w:r w:rsidRPr="00DE6D7A">
        <w:rPr>
          <w:b/>
        </w:rPr>
        <w:t>приходи, помощи и дарения</w:t>
      </w:r>
      <w:r w:rsidRPr="00DE6D7A">
        <w:t xml:space="preserve"> по бюджета на НЗОК за първите девет месеца на 2023 г. възлиза на 3 173,5 млн. лв., което е с 387,4 млн. лв.  (13,9 %) повече в сравнение със същия период на предходната година. Постъпилите средства представляват 73,6 % от предвидените в Закона за бюджета на Националната здравноосигурителна каса за 2023 г. приходи. Постъпленията от здравноосигурителни вноски са в размер на 3 149,4 млн. лв., което е с 383,2 млн. лв. повече от деветмесечието на 2022 г. Събраните неданъчни приходи към 30.09.2023</w:t>
      </w:r>
      <w:r w:rsidR="00087924">
        <w:t> </w:t>
      </w:r>
      <w:r w:rsidRPr="00DE6D7A">
        <w:t xml:space="preserve">г. са 24,0 млн. лв., като основната част от тях са приходи от глоби, санкции и наказателни лихви. </w:t>
      </w:r>
    </w:p>
    <w:p w:rsidR="00980BA8" w:rsidRPr="00A56DDF" w:rsidRDefault="00980BA8" w:rsidP="00980BA8">
      <w:pPr>
        <w:ind w:firstLine="567"/>
        <w:jc w:val="both"/>
        <w:rPr>
          <w:lang w:val="ru-RU"/>
        </w:rPr>
      </w:pPr>
      <w:r w:rsidRPr="00A56DDF">
        <w:t>Полученият трансфер от МЗ за</w:t>
      </w:r>
      <w:r w:rsidRPr="00A56DDF">
        <w:rPr>
          <w:szCs w:val="20"/>
        </w:rPr>
        <w:t xml:space="preserve"> финансиране на разходите </w:t>
      </w:r>
      <w:r w:rsidRPr="00A56DDF">
        <w:t xml:space="preserve">за лекарствени продукти – ваксини и дейности по прилагането им по чл. 82, ал. 2, т. 3 от Закона за здравето; за дейности за здравно неосигурени лица, включващи: интензивно лечение, комплексно диспансерно (амбулаторно) наблюдение при пациенти с психиатрични заболявания и </w:t>
      </w:r>
      <w:r w:rsidRPr="004133C4">
        <w:t xml:space="preserve">комплексно диспансерно (амбулаторно) наблюдение при пациенти с кожно-венерически заболявания по чл. 82, ал. 1, т. 1а, 3а и 6б от Закона за здравето, дейности за здравно неосигурени жени по чл. 82, ал. 1, т. 2 от Закона за здравето и за сумите по чл. 37, ал. 6 от Закона за здравното осигуряване, за дейности във връзка с лечение на български граждани в страната или в чужбина съобразно тяхното заболяване, за които не са предвидени други механизми за финансиране или които не могат да бъдат осигурени в страната, както и за медицински изделия, помощни средства, приспособления и </w:t>
      </w:r>
      <w:r w:rsidRPr="00A56DDF">
        <w:t xml:space="preserve">съоръжения за хората с увреждания, извън обхвата на задължителното здравно осигуряване </w:t>
      </w:r>
      <w:r w:rsidRPr="00A56DDF">
        <w:rPr>
          <w:szCs w:val="20"/>
        </w:rPr>
        <w:t xml:space="preserve">за отчетния период </w:t>
      </w:r>
      <w:r w:rsidRPr="00A56DDF">
        <w:rPr>
          <w:szCs w:val="20"/>
          <w:lang w:val="en-US"/>
        </w:rPr>
        <w:t>e</w:t>
      </w:r>
      <w:r w:rsidRPr="00A56DDF">
        <w:rPr>
          <w:szCs w:val="20"/>
        </w:rPr>
        <w:t xml:space="preserve"> в размер на 93,5</w:t>
      </w:r>
      <w:r w:rsidRPr="00A56DDF">
        <w:t xml:space="preserve"> млн. лева.</w:t>
      </w:r>
      <w:r w:rsidRPr="00A56DDF">
        <w:rPr>
          <w:lang w:val="ru-RU"/>
        </w:rPr>
        <w:t xml:space="preserve"> </w:t>
      </w:r>
      <w:r w:rsidRPr="00A56DDF">
        <w:t>В сравнение с деветмесечието на 2022 г. се отчита намаление от 207,9</w:t>
      </w:r>
      <w:r w:rsidR="00087924">
        <w:t> </w:t>
      </w:r>
      <w:r w:rsidRPr="00A56DDF">
        <w:t>млн. лв. поради преустановяване на трансферите за НЗОК от бюджета на Министерството на здравеопазването, предназначени за подкрепа на медицинския персонал за работа при неблагоприятни условия и за поставяне на ваксини срещу COVID-19, след изтичане на срока на извънредна епидемична обстановка.</w:t>
      </w:r>
    </w:p>
    <w:p w:rsidR="00980BA8" w:rsidRPr="00A56DDF" w:rsidRDefault="00980BA8" w:rsidP="00980BA8">
      <w:pPr>
        <w:ind w:firstLine="567"/>
        <w:jc w:val="both"/>
      </w:pPr>
      <w:r w:rsidRPr="00A56DDF">
        <w:t xml:space="preserve">Получените трансфери от централния бюджет (вкл. за поети осигурителни вноски) за периода са 1 779,0 млн. лв. </w:t>
      </w:r>
    </w:p>
    <w:p w:rsidR="00980BA8" w:rsidRPr="00A56DDF" w:rsidRDefault="00980BA8" w:rsidP="00980BA8">
      <w:pPr>
        <w:ind w:firstLine="567"/>
        <w:jc w:val="both"/>
      </w:pPr>
      <w:r w:rsidRPr="00A56DDF">
        <w:t xml:space="preserve">Отчетените </w:t>
      </w:r>
      <w:r w:rsidRPr="00A56DDF">
        <w:rPr>
          <w:b/>
        </w:rPr>
        <w:t>разходи</w:t>
      </w:r>
      <w:r w:rsidRPr="00A56DDF">
        <w:t xml:space="preserve"> към 30.09.2023 г. са в размер на 4 946,7 млн. лв. и нарастват с 587,4</w:t>
      </w:r>
      <w:r w:rsidR="002900F3">
        <w:rPr>
          <w:lang w:val="en-US"/>
        </w:rPr>
        <w:t> </w:t>
      </w:r>
      <w:r w:rsidRPr="00A56DDF">
        <w:t xml:space="preserve">млн. лв. (13,5 %) спрямо същия период на миналата година. </w:t>
      </w:r>
      <w:r>
        <w:t xml:space="preserve">Спрямо годишните </w:t>
      </w:r>
      <w:r w:rsidRPr="00A56DDF">
        <w:t>разчети извършените разходи представляват 70,4 %.</w:t>
      </w:r>
    </w:p>
    <w:p w:rsidR="00980BA8" w:rsidRPr="00A56DDF" w:rsidRDefault="00980BA8" w:rsidP="00980BA8">
      <w:pPr>
        <w:ind w:firstLine="567"/>
        <w:jc w:val="both"/>
      </w:pPr>
      <w:r w:rsidRPr="00A56DDF">
        <w:t>Най-голям относителен дял в общите разходи (96,6 %) заемат здравноосигурителните плащания, които възлизат на 4 778,2 млн. лева. В отделните направления на здравноосигурителни плащания изпълнението на бюджета за деветмесечието на 2023 г. е следното:</w:t>
      </w:r>
    </w:p>
    <w:p w:rsidR="00980BA8" w:rsidRPr="00192EB7" w:rsidRDefault="00980BA8" w:rsidP="00980BA8">
      <w:pPr>
        <w:numPr>
          <w:ilvl w:val="0"/>
          <w:numId w:val="15"/>
        </w:numPr>
        <w:tabs>
          <w:tab w:val="num" w:pos="0"/>
          <w:tab w:val="left" w:pos="720"/>
          <w:tab w:val="left" w:pos="1134"/>
        </w:tabs>
        <w:spacing w:before="120" w:line="276" w:lineRule="auto"/>
        <w:ind w:hanging="6169"/>
        <w:jc w:val="both"/>
        <w:rPr>
          <w:bCs/>
        </w:rPr>
      </w:pPr>
      <w:r w:rsidRPr="00192EB7">
        <w:rPr>
          <w:b/>
          <w:i/>
        </w:rPr>
        <w:t xml:space="preserve">първична </w:t>
      </w:r>
      <w:proofErr w:type="spellStart"/>
      <w:r w:rsidRPr="00192EB7">
        <w:rPr>
          <w:b/>
          <w:i/>
        </w:rPr>
        <w:t>извънболнична</w:t>
      </w:r>
      <w:proofErr w:type="spellEnd"/>
      <w:r w:rsidRPr="00192EB7">
        <w:rPr>
          <w:b/>
          <w:i/>
        </w:rPr>
        <w:t xml:space="preserve"> медицинска помощ</w:t>
      </w:r>
      <w:r w:rsidRPr="00192EB7">
        <w:rPr>
          <w:i/>
        </w:rPr>
        <w:t xml:space="preserve"> –</w:t>
      </w:r>
      <w:r w:rsidRPr="00192EB7">
        <w:t xml:space="preserve"> 259,9 млн. лева;</w:t>
      </w:r>
      <w:r w:rsidRPr="00192EB7">
        <w:rPr>
          <w:bCs/>
        </w:rPr>
        <w:t xml:space="preserve"> </w:t>
      </w:r>
    </w:p>
    <w:p w:rsidR="00980BA8" w:rsidRPr="00192EB7" w:rsidRDefault="00980BA8" w:rsidP="00980BA8">
      <w:pPr>
        <w:numPr>
          <w:ilvl w:val="0"/>
          <w:numId w:val="15"/>
        </w:numPr>
        <w:tabs>
          <w:tab w:val="num" w:pos="0"/>
          <w:tab w:val="left" w:pos="720"/>
          <w:tab w:val="left" w:pos="1134"/>
        </w:tabs>
        <w:spacing w:line="276" w:lineRule="auto"/>
        <w:ind w:hanging="6169"/>
        <w:jc w:val="both"/>
        <w:rPr>
          <w:i/>
        </w:rPr>
      </w:pPr>
      <w:r w:rsidRPr="00192EB7">
        <w:rPr>
          <w:b/>
          <w:i/>
        </w:rPr>
        <w:t xml:space="preserve">специализирана </w:t>
      </w:r>
      <w:proofErr w:type="spellStart"/>
      <w:r w:rsidRPr="00192EB7">
        <w:rPr>
          <w:b/>
          <w:i/>
        </w:rPr>
        <w:t>извънболнична</w:t>
      </w:r>
      <w:proofErr w:type="spellEnd"/>
      <w:r w:rsidRPr="00192EB7">
        <w:rPr>
          <w:b/>
          <w:i/>
        </w:rPr>
        <w:t xml:space="preserve"> медицинска помощ </w:t>
      </w:r>
      <w:r w:rsidRPr="00192EB7">
        <w:t xml:space="preserve"> – 298,8 млн. лева;</w:t>
      </w:r>
    </w:p>
    <w:p w:rsidR="00980BA8" w:rsidRPr="00192EB7" w:rsidRDefault="00980BA8" w:rsidP="00980BA8">
      <w:pPr>
        <w:numPr>
          <w:ilvl w:val="0"/>
          <w:numId w:val="15"/>
        </w:numPr>
        <w:tabs>
          <w:tab w:val="num" w:pos="0"/>
          <w:tab w:val="left" w:pos="720"/>
          <w:tab w:val="left" w:pos="1134"/>
        </w:tabs>
        <w:spacing w:line="276" w:lineRule="auto"/>
        <w:ind w:hanging="6169"/>
        <w:jc w:val="both"/>
        <w:rPr>
          <w:b/>
        </w:rPr>
      </w:pPr>
      <w:r w:rsidRPr="00192EB7">
        <w:rPr>
          <w:b/>
          <w:i/>
        </w:rPr>
        <w:t xml:space="preserve">дентална помощ </w:t>
      </w:r>
      <w:r w:rsidRPr="00192EB7">
        <w:rPr>
          <w:b/>
        </w:rPr>
        <w:t xml:space="preserve">– </w:t>
      </w:r>
      <w:r w:rsidRPr="00192EB7">
        <w:t>189,9 млн. лева;</w:t>
      </w:r>
    </w:p>
    <w:p w:rsidR="00980BA8" w:rsidRPr="00192EB7" w:rsidRDefault="00980BA8" w:rsidP="00980BA8">
      <w:pPr>
        <w:numPr>
          <w:ilvl w:val="0"/>
          <w:numId w:val="15"/>
        </w:numPr>
        <w:tabs>
          <w:tab w:val="num" w:pos="0"/>
          <w:tab w:val="left" w:pos="720"/>
          <w:tab w:val="left" w:pos="1134"/>
        </w:tabs>
        <w:spacing w:line="276" w:lineRule="auto"/>
        <w:ind w:hanging="6169"/>
        <w:jc w:val="both"/>
        <w:rPr>
          <w:b/>
          <w:i/>
        </w:rPr>
      </w:pPr>
      <w:r w:rsidRPr="00192EB7">
        <w:rPr>
          <w:b/>
          <w:i/>
        </w:rPr>
        <w:t xml:space="preserve">медико-диагностична дейност </w:t>
      </w:r>
      <w:r w:rsidRPr="00192EB7">
        <w:rPr>
          <w:b/>
        </w:rPr>
        <w:t xml:space="preserve">– </w:t>
      </w:r>
      <w:r w:rsidRPr="00192EB7">
        <w:t>118,6 млн. лева;</w:t>
      </w:r>
      <w:r w:rsidRPr="00192EB7">
        <w:rPr>
          <w:b/>
          <w:i/>
        </w:rPr>
        <w:t xml:space="preserve"> </w:t>
      </w:r>
    </w:p>
    <w:p w:rsidR="00980BA8" w:rsidRPr="00192EB7" w:rsidRDefault="00980BA8" w:rsidP="00980BA8">
      <w:pPr>
        <w:numPr>
          <w:ilvl w:val="0"/>
          <w:numId w:val="15"/>
        </w:numPr>
        <w:tabs>
          <w:tab w:val="num" w:pos="0"/>
          <w:tab w:val="left" w:pos="1134"/>
        </w:tabs>
        <w:spacing w:line="276" w:lineRule="auto"/>
        <w:ind w:left="1134" w:hanging="425"/>
        <w:jc w:val="both"/>
      </w:pPr>
      <w:r w:rsidRPr="00192EB7">
        <w:rPr>
          <w:b/>
          <w:i/>
        </w:rPr>
        <w:t xml:space="preserve">лекарствени продукти, медицински изделия и диетични храни за домашно лечение на територията на страната  - </w:t>
      </w:r>
      <w:r w:rsidRPr="00192EB7">
        <w:t>781,9 млн. лв.</w:t>
      </w:r>
    </w:p>
    <w:p w:rsidR="00980BA8" w:rsidRPr="00192EB7" w:rsidRDefault="00980BA8" w:rsidP="00980BA8">
      <w:pPr>
        <w:numPr>
          <w:ilvl w:val="0"/>
          <w:numId w:val="15"/>
        </w:numPr>
        <w:tabs>
          <w:tab w:val="num" w:pos="0"/>
          <w:tab w:val="left" w:pos="1134"/>
          <w:tab w:val="num" w:pos="6096"/>
        </w:tabs>
        <w:spacing w:line="276" w:lineRule="auto"/>
        <w:ind w:left="1134" w:hanging="425"/>
        <w:jc w:val="both"/>
      </w:pPr>
      <w:r w:rsidRPr="00192EB7">
        <w:rPr>
          <w:b/>
          <w:i/>
        </w:rPr>
        <w:t xml:space="preserve"> лекарствени продукти за лечение на злокачествени заболявания в условията на болнична медицинска помощ </w:t>
      </w:r>
      <w:r w:rsidRPr="00192EB7">
        <w:t xml:space="preserve"> – 680,6 млн. лева;</w:t>
      </w:r>
    </w:p>
    <w:p w:rsidR="00980BA8" w:rsidRPr="00192EB7" w:rsidRDefault="00980BA8" w:rsidP="00980BA8">
      <w:pPr>
        <w:numPr>
          <w:ilvl w:val="0"/>
          <w:numId w:val="15"/>
        </w:numPr>
        <w:tabs>
          <w:tab w:val="num" w:pos="0"/>
          <w:tab w:val="left" w:pos="720"/>
          <w:tab w:val="num" w:pos="1134"/>
        </w:tabs>
        <w:spacing w:line="276" w:lineRule="auto"/>
        <w:ind w:left="1134" w:hanging="425"/>
        <w:jc w:val="both"/>
      </w:pPr>
      <w:r w:rsidRPr="00192EB7">
        <w:rPr>
          <w:b/>
          <w:i/>
        </w:rPr>
        <w:t>медицински изделия, прилагани в болничната  помощ –</w:t>
      </w:r>
      <w:r w:rsidRPr="00192EB7">
        <w:t xml:space="preserve"> 101,8 млн. лева;</w:t>
      </w:r>
    </w:p>
    <w:p w:rsidR="00980BA8" w:rsidRPr="00192EB7" w:rsidRDefault="00980BA8" w:rsidP="00980BA8">
      <w:pPr>
        <w:numPr>
          <w:ilvl w:val="0"/>
          <w:numId w:val="15"/>
        </w:numPr>
        <w:tabs>
          <w:tab w:val="num" w:pos="0"/>
          <w:tab w:val="left" w:pos="720"/>
          <w:tab w:val="left" w:pos="1134"/>
        </w:tabs>
        <w:spacing w:line="276" w:lineRule="auto"/>
        <w:ind w:hanging="6169"/>
        <w:jc w:val="both"/>
      </w:pPr>
      <w:r w:rsidRPr="00192EB7">
        <w:rPr>
          <w:b/>
          <w:i/>
        </w:rPr>
        <w:t>болнична медицинска помощ –</w:t>
      </w:r>
      <w:r w:rsidRPr="00192EB7">
        <w:t xml:space="preserve"> 2 315,4 млн. лева.</w:t>
      </w:r>
      <w:r w:rsidRPr="00192EB7">
        <w:tab/>
        <w:t xml:space="preserve"> </w:t>
      </w:r>
    </w:p>
    <w:p w:rsidR="00980BA8" w:rsidRPr="00192EB7" w:rsidRDefault="00980BA8" w:rsidP="00980BA8">
      <w:pPr>
        <w:numPr>
          <w:ilvl w:val="0"/>
          <w:numId w:val="15"/>
        </w:numPr>
        <w:tabs>
          <w:tab w:val="num" w:pos="0"/>
          <w:tab w:val="left" w:pos="720"/>
          <w:tab w:val="left" w:pos="1134"/>
        </w:tabs>
        <w:spacing w:line="276" w:lineRule="auto"/>
        <w:ind w:hanging="6169"/>
        <w:jc w:val="both"/>
      </w:pPr>
      <w:r w:rsidRPr="00192EB7">
        <w:rPr>
          <w:b/>
          <w:i/>
        </w:rPr>
        <w:t xml:space="preserve">други здравноосигурителни плащания – </w:t>
      </w:r>
      <w:r w:rsidRPr="00192EB7">
        <w:t>31,3 млн. лева.</w:t>
      </w:r>
    </w:p>
    <w:p w:rsidR="00980BA8" w:rsidRPr="002F20CD" w:rsidRDefault="00980BA8" w:rsidP="00980BA8">
      <w:pPr>
        <w:spacing w:before="120"/>
        <w:ind w:firstLine="567"/>
        <w:jc w:val="both"/>
        <w:rPr>
          <w:color w:val="4F81BD" w:themeColor="accent1"/>
        </w:rPr>
      </w:pPr>
      <w:r w:rsidRPr="004A1FBA">
        <w:t xml:space="preserve">Като здравноосигурителни плащания следва да се третират и преведените 119,4 млн. лв. трансфери по договори за извършване на медицински услуги към бюджетни </w:t>
      </w:r>
      <w:r w:rsidRPr="00135E7D">
        <w:t xml:space="preserve">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w:t>
      </w:r>
      <w:r w:rsidRPr="00135E7D">
        <w:rPr>
          <w:lang w:val="en-US"/>
        </w:rPr>
        <w:t>4</w:t>
      </w:r>
      <w:r w:rsidRPr="00135E7D">
        <w:t> </w:t>
      </w:r>
      <w:r w:rsidRPr="00135E7D">
        <w:rPr>
          <w:lang w:val="en-US"/>
        </w:rPr>
        <w:t>897</w:t>
      </w:r>
      <w:r w:rsidRPr="00135E7D">
        <w:t>,</w:t>
      </w:r>
      <w:r w:rsidRPr="00135E7D">
        <w:rPr>
          <w:lang w:val="en-US"/>
        </w:rPr>
        <w:t>6</w:t>
      </w:r>
      <w:r w:rsidR="00087924">
        <w:t> </w:t>
      </w:r>
      <w:r w:rsidRPr="00135E7D">
        <w:t>млн. лв.</w:t>
      </w:r>
    </w:p>
    <w:p w:rsidR="00980BA8" w:rsidRPr="00F357E4" w:rsidRDefault="00980BA8" w:rsidP="00980BA8">
      <w:pPr>
        <w:ind w:firstLine="567"/>
        <w:jc w:val="both"/>
      </w:pPr>
      <w:r w:rsidRPr="005C64A4">
        <w:t xml:space="preserve">За периода са отчетени плащания в размер на </w:t>
      </w:r>
      <w:r w:rsidRPr="005C64A4">
        <w:rPr>
          <w:lang w:val="en-US"/>
        </w:rPr>
        <w:t>10</w:t>
      </w:r>
      <w:r w:rsidRPr="005C64A4">
        <w:t>0,</w:t>
      </w:r>
      <w:r w:rsidRPr="005C64A4">
        <w:rPr>
          <w:lang w:val="en-US"/>
        </w:rPr>
        <w:t>2</w:t>
      </w:r>
      <w:r w:rsidRPr="005C64A4">
        <w:t xml:space="preserve">  млн. лв. за дейности за </w:t>
      </w:r>
      <w:proofErr w:type="spellStart"/>
      <w:r w:rsidRPr="005C64A4">
        <w:t>здравнонеосигурени</w:t>
      </w:r>
      <w:proofErr w:type="spellEnd"/>
      <w:r w:rsidRPr="005C64A4">
        <w:t xml:space="preserve"> лица, лекарствени продукти, потребителска такса, медицински изделия за хората с увреждания и за лечение на лица до 18 годишна възраст по чл.82, ал.1а, 3 и 6 от Закона за здравето и на лица над 18 годишна възраст по чл.82, ал.1а и 6.</w:t>
      </w:r>
    </w:p>
    <w:p w:rsidR="00980BA8" w:rsidRPr="002F20CD" w:rsidRDefault="00980BA8" w:rsidP="00980BA8">
      <w:pPr>
        <w:ind w:firstLine="567"/>
        <w:jc w:val="both"/>
        <w:rPr>
          <w:color w:val="4F81BD" w:themeColor="accent1"/>
        </w:rPr>
      </w:pPr>
      <w:r w:rsidRPr="00F357E4">
        <w:t>За първите девет месеца на годината са отчетени 67,5 млн. лв. за административни разходи на институцията, които включват разходите за персонал, за текуща издръжка и лихвени плащания. Усвоените средства за административни разходи заемат 1,4 на сто в структурата на общите разходи за отчетния период. Отчетените капиталови разходи за периода възлизат на 0,9</w:t>
      </w:r>
      <w:r w:rsidR="002900F3">
        <w:rPr>
          <w:lang w:val="en-US"/>
        </w:rPr>
        <w:t> </w:t>
      </w:r>
      <w:r w:rsidRPr="00F357E4">
        <w:t>млн. лева.</w:t>
      </w:r>
    </w:p>
    <w:p w:rsidR="00656380" w:rsidRPr="0059164A" w:rsidRDefault="00656380" w:rsidP="002763DB">
      <w:pPr>
        <w:ind w:firstLine="567"/>
        <w:jc w:val="both"/>
        <w:rPr>
          <w:color w:val="0070C0"/>
        </w:rPr>
      </w:pPr>
    </w:p>
    <w:p w:rsidR="00B6120B" w:rsidRPr="00FB3FE2" w:rsidRDefault="00B6120B" w:rsidP="00ED2B9A">
      <w:pPr>
        <w:pStyle w:val="Heading1"/>
        <w:numPr>
          <w:ilvl w:val="1"/>
          <w:numId w:val="9"/>
        </w:numPr>
        <w:spacing w:before="120"/>
        <w:ind w:left="788" w:right="-108" w:hanging="431"/>
        <w:jc w:val="both"/>
        <w:rPr>
          <w:sz w:val="24"/>
        </w:rPr>
      </w:pPr>
      <w:r w:rsidRPr="00FB3FE2">
        <w:rPr>
          <w:sz w:val="24"/>
        </w:rPr>
        <w:t>Общински бюджети</w:t>
      </w:r>
    </w:p>
    <w:p w:rsidR="00750EB3" w:rsidRPr="00FB3FE2" w:rsidRDefault="00750EB3" w:rsidP="00FB3FEE">
      <w:pPr>
        <w:numPr>
          <w:ilvl w:val="0"/>
          <w:numId w:val="27"/>
        </w:numPr>
        <w:tabs>
          <w:tab w:val="left" w:pos="851"/>
        </w:tabs>
        <w:spacing w:before="240" w:line="276" w:lineRule="auto"/>
        <w:ind w:left="533" w:firstLine="34"/>
        <w:jc w:val="both"/>
        <w:rPr>
          <w:b/>
        </w:rPr>
      </w:pPr>
      <w:r w:rsidRPr="00FB3FE2">
        <w:rPr>
          <w:b/>
        </w:rPr>
        <w:t>Приходи</w:t>
      </w:r>
    </w:p>
    <w:p w:rsidR="00A5527F" w:rsidRPr="008729BD" w:rsidRDefault="00A5527F" w:rsidP="0044527B">
      <w:pPr>
        <w:ind w:firstLine="567"/>
        <w:jc w:val="both"/>
      </w:pPr>
      <w:r w:rsidRPr="008729BD">
        <w:rPr>
          <w:b/>
        </w:rPr>
        <w:t>Приходите</w:t>
      </w:r>
      <w:r w:rsidRPr="008729BD">
        <w:t xml:space="preserve"> по бюджетите на общините към 30.09.2023 г. са в размер на 2 562,0 млн. лв., което е със 155,0  млн. лв. повече или ръст от 6,4</w:t>
      </w:r>
      <w:r>
        <w:rPr>
          <w:lang w:val="en-US"/>
        </w:rPr>
        <w:t xml:space="preserve"> </w:t>
      </w:r>
      <w:r w:rsidRPr="008729BD">
        <w:t>% спрямо изпълнението за същия период на 2022</w:t>
      </w:r>
      <w:r w:rsidR="00B30FF5">
        <w:t> </w:t>
      </w:r>
      <w:r w:rsidRPr="008729BD">
        <w:t>г.</w:t>
      </w:r>
    </w:p>
    <w:p w:rsidR="00A5527F" w:rsidRPr="008729BD" w:rsidRDefault="00A5527F" w:rsidP="0044527B">
      <w:pPr>
        <w:ind w:firstLine="567"/>
        <w:jc w:val="both"/>
        <w:rPr>
          <w:i/>
        </w:rPr>
      </w:pPr>
      <w:r w:rsidRPr="008729BD">
        <w:t>Данъчните приходи по общинските бюджети са в размер на 1 096,3 млн. лв. или с 10,6 млн. лв. повече спрямо събраните за същия период на 2022 г. Неданъчните приходи и помощите възлизат на 1 465,7 млн. лв. или с 10,9</w:t>
      </w:r>
      <w:r>
        <w:rPr>
          <w:lang w:val="en-US"/>
        </w:rPr>
        <w:t xml:space="preserve"> </w:t>
      </w:r>
      <w:r w:rsidRPr="008729BD">
        <w:t>% повече спрямо третото тримесечие на предходната година. От имуществени данъци в общинските бюджети към 30.09.2023 г. са постъпили 1 088,6 млн. лв. или 10,7 млн. лв. повече спрямо същия период от миналата година. С най-значителен дял в приходите от имуществени данъци е данъкът върху придобиването на имущество по дарения и възмезден начин – 34,3</w:t>
      </w:r>
      <w:r>
        <w:rPr>
          <w:lang w:val="en-US"/>
        </w:rPr>
        <w:t xml:space="preserve"> </w:t>
      </w:r>
      <w:r w:rsidRPr="008729BD">
        <w:t>%, следват данъкът върху превозните средства – 32,6</w:t>
      </w:r>
      <w:r>
        <w:rPr>
          <w:lang w:val="en-US"/>
        </w:rPr>
        <w:t xml:space="preserve"> </w:t>
      </w:r>
      <w:r w:rsidRPr="008729BD">
        <w:t>%, данъкът върху недвижимите имоти – 31,4</w:t>
      </w:r>
      <w:r>
        <w:rPr>
          <w:lang w:val="en-US"/>
        </w:rPr>
        <w:t> </w:t>
      </w:r>
      <w:r w:rsidRPr="008729BD">
        <w:t>% и туристическият данък – 1,8</w:t>
      </w:r>
      <w:r>
        <w:rPr>
          <w:lang w:val="en-US"/>
        </w:rPr>
        <w:t xml:space="preserve"> </w:t>
      </w:r>
      <w:r w:rsidRPr="008729BD">
        <w:t>%. Към 30.09.2023 г. по бюджетите на общините са постъпили 7,6 млн. лв. от патентен данък и данък върху таксиметров превоз на пътници.</w:t>
      </w:r>
      <w:r w:rsidRPr="008729BD">
        <w:rPr>
          <w:i/>
        </w:rPr>
        <w:t>.</w:t>
      </w:r>
    </w:p>
    <w:p w:rsidR="00A5527F" w:rsidRPr="0059164A" w:rsidRDefault="00A5527F" w:rsidP="0044527B">
      <w:pPr>
        <w:tabs>
          <w:tab w:val="center" w:pos="4153"/>
          <w:tab w:val="right" w:pos="8306"/>
        </w:tabs>
        <w:ind w:firstLine="567"/>
        <w:jc w:val="both"/>
        <w:rPr>
          <w:color w:val="0070C0"/>
        </w:rPr>
      </w:pPr>
      <w:r w:rsidRPr="0024556A">
        <w:t>Общият размер на </w:t>
      </w:r>
      <w:r w:rsidRPr="0024556A">
        <w:rPr>
          <w:i/>
        </w:rPr>
        <w:t>неданъчните приходи</w:t>
      </w:r>
      <w:r w:rsidRPr="0024556A">
        <w:t xml:space="preserve"> по местните бюджети към 30 септември 2023 г. е </w:t>
      </w:r>
      <w:r w:rsidRPr="0024556A">
        <w:rPr>
          <w:lang w:val="ru-RU"/>
        </w:rPr>
        <w:t>1 </w:t>
      </w:r>
      <w:r w:rsidRPr="0024556A">
        <w:t>444,6</w:t>
      </w:r>
      <w:r w:rsidRPr="0024556A">
        <w:rPr>
          <w:lang w:val="ru-RU"/>
        </w:rPr>
        <w:t> </w:t>
      </w:r>
      <w:r w:rsidRPr="0024556A">
        <w:t>млн. лв. </w:t>
      </w:r>
      <w:r w:rsidRPr="00B73744">
        <w:t>Най-голям относителен дял в тях заемат приходите от общински такси (831,2 млн. лв.) или 57,5</w:t>
      </w:r>
      <w:r>
        <w:rPr>
          <w:lang w:val="en-US"/>
        </w:rPr>
        <w:t xml:space="preserve"> </w:t>
      </w:r>
      <w:r w:rsidRPr="00B73744">
        <w:t>%, следват приходите и доходите от собственост (298,3 млн. лв.) – 20,7</w:t>
      </w:r>
      <w:r w:rsidR="00363306">
        <w:rPr>
          <w:lang w:val="en-US"/>
        </w:rPr>
        <w:t> </w:t>
      </w:r>
      <w:r w:rsidRPr="00B73744">
        <w:t>%, постъпленията от продажба на нефинансови активи (221,0 млн. лв.) – 15,3</w:t>
      </w:r>
      <w:r>
        <w:rPr>
          <w:lang w:val="en-US"/>
        </w:rPr>
        <w:t xml:space="preserve"> </w:t>
      </w:r>
      <w:r w:rsidRPr="00B73744">
        <w:t>%, приходите от концесии (59,5 млн. лв.) – 4,1</w:t>
      </w:r>
      <w:r>
        <w:rPr>
          <w:lang w:val="en-US"/>
        </w:rPr>
        <w:t xml:space="preserve"> </w:t>
      </w:r>
      <w:r w:rsidRPr="00B73744">
        <w:t>% и постъпленията от глоби, санкции и наказателни лихви (58,2</w:t>
      </w:r>
      <w:r w:rsidR="00363306">
        <w:rPr>
          <w:lang w:val="en-US"/>
        </w:rPr>
        <w:t> </w:t>
      </w:r>
      <w:r w:rsidRPr="00B73744">
        <w:t>млн. лв.) – 4,0</w:t>
      </w:r>
      <w:r>
        <w:rPr>
          <w:lang w:val="en-US"/>
        </w:rPr>
        <w:t xml:space="preserve"> </w:t>
      </w:r>
      <w:r w:rsidRPr="00B73744">
        <w:t>%. Съпоставени с третото тримесечие на 2022 г. постъпленията от неданъчни приходи са със 138,3 млн. лв. или с 10,6</w:t>
      </w:r>
      <w:r>
        <w:rPr>
          <w:lang w:val="en-US"/>
        </w:rPr>
        <w:t xml:space="preserve"> </w:t>
      </w:r>
      <w:r w:rsidRPr="00B73744">
        <w:t xml:space="preserve">% повече, като най-значителен ръст се наблюдава в постъпленията от продажба на нефинансови активи. </w:t>
      </w:r>
      <w:r w:rsidRPr="0059164A">
        <w:rPr>
          <w:color w:val="0070C0"/>
        </w:rPr>
        <w:t xml:space="preserve"> </w:t>
      </w:r>
    </w:p>
    <w:p w:rsidR="00A5527F" w:rsidRDefault="0044527B" w:rsidP="0044527B">
      <w:pPr>
        <w:tabs>
          <w:tab w:val="center" w:pos="4153"/>
          <w:tab w:val="right" w:pos="8306"/>
        </w:tabs>
        <w:ind w:firstLine="567"/>
        <w:jc w:val="both"/>
        <w:rPr>
          <w:color w:val="0070C0"/>
          <w:lang w:eastAsia="bg-BG"/>
        </w:rPr>
      </w:pPr>
      <w:r>
        <w:rPr>
          <w:color w:val="0070C0"/>
        </w:rPr>
        <w:tab/>
      </w:r>
      <w:r w:rsidR="00A5527F" w:rsidRPr="00B73744">
        <w:t>Към 30.09.2023 г. по общинските бюджети са постъпили 21,1 млн. лв. приходи от помощи и дарения, което с 6,3 млн. лв. повече от размера им през същия период на предходната 2022 година.</w:t>
      </w:r>
      <w:r w:rsidR="00A5527F" w:rsidRPr="0059164A">
        <w:rPr>
          <w:color w:val="0070C0"/>
          <w:lang w:eastAsia="bg-BG"/>
        </w:rPr>
        <w:t xml:space="preserve"> </w:t>
      </w:r>
    </w:p>
    <w:p w:rsidR="00963633" w:rsidRPr="0059164A" w:rsidRDefault="00963633" w:rsidP="0044527B">
      <w:pPr>
        <w:tabs>
          <w:tab w:val="center" w:pos="4153"/>
          <w:tab w:val="right" w:pos="8306"/>
        </w:tabs>
        <w:ind w:firstLine="567"/>
        <w:jc w:val="both"/>
        <w:rPr>
          <w:color w:val="0070C0"/>
          <w:lang w:eastAsia="bg-BG"/>
        </w:rPr>
      </w:pPr>
    </w:p>
    <w:p w:rsidR="00A5527F" w:rsidRPr="001E50AF" w:rsidRDefault="00A5527F" w:rsidP="00A5527F">
      <w:pPr>
        <w:numPr>
          <w:ilvl w:val="0"/>
          <w:numId w:val="27"/>
        </w:numPr>
        <w:tabs>
          <w:tab w:val="left" w:pos="851"/>
        </w:tabs>
        <w:spacing w:before="240" w:line="276" w:lineRule="auto"/>
        <w:ind w:left="533" w:firstLine="34"/>
        <w:jc w:val="both"/>
        <w:rPr>
          <w:b/>
        </w:rPr>
      </w:pPr>
      <w:r w:rsidRPr="005F31CF">
        <w:rPr>
          <w:b/>
        </w:rPr>
        <w:t>Разходи</w:t>
      </w:r>
    </w:p>
    <w:p w:rsidR="00A5527F" w:rsidRPr="001E50AF" w:rsidRDefault="00A5527F" w:rsidP="00A5527F">
      <w:pPr>
        <w:ind w:firstLine="567"/>
        <w:jc w:val="both"/>
      </w:pPr>
      <w:r w:rsidRPr="001E50AF">
        <w:t xml:space="preserve">Към 30.09.2023 г. общините са отчели общо разходи в размер на 8 </w:t>
      </w:r>
      <w:r w:rsidRPr="001E50AF">
        <w:rPr>
          <w:lang w:val="ru-RU"/>
        </w:rPr>
        <w:t>161</w:t>
      </w:r>
      <w:r w:rsidRPr="001E50AF">
        <w:t xml:space="preserve">,4 млн. лв., които са с </w:t>
      </w:r>
      <w:r w:rsidRPr="001E50AF">
        <w:rPr>
          <w:lang w:val="en-US"/>
        </w:rPr>
        <w:t xml:space="preserve">1 </w:t>
      </w:r>
      <w:r w:rsidRPr="001E50AF">
        <w:rPr>
          <w:lang w:val="ru-RU"/>
        </w:rPr>
        <w:t>505</w:t>
      </w:r>
      <w:r w:rsidRPr="001E50AF">
        <w:t>,4 млн. лв. повече спрямо същия период на предходната година.</w:t>
      </w:r>
    </w:p>
    <w:p w:rsidR="00A5527F" w:rsidRPr="0059164A" w:rsidRDefault="00A5527F" w:rsidP="00A5527F">
      <w:pPr>
        <w:jc w:val="both"/>
        <w:rPr>
          <w:color w:val="0070C0"/>
        </w:rPr>
      </w:pPr>
      <w:r w:rsidRPr="001E50AF">
        <w:rPr>
          <w:i/>
        </w:rPr>
        <w:t>Нелихвените разходи</w:t>
      </w:r>
      <w:r w:rsidRPr="001E50AF">
        <w:t xml:space="preserve"> възлизат на </w:t>
      </w:r>
      <w:r w:rsidRPr="001E50AF">
        <w:rPr>
          <w:lang w:eastAsia="bg-BG"/>
        </w:rPr>
        <w:t>8 129,4</w:t>
      </w:r>
      <w:r w:rsidRPr="001E50AF">
        <w:rPr>
          <w:lang w:val="en-US" w:eastAsia="bg-BG"/>
        </w:rPr>
        <w:t xml:space="preserve"> </w:t>
      </w:r>
      <w:r w:rsidRPr="001E50AF">
        <w:t>млн. лв.</w:t>
      </w:r>
      <w:r w:rsidRPr="001E50AF">
        <w:rPr>
          <w:lang w:val="ru-RU"/>
        </w:rPr>
        <w:t xml:space="preserve"> </w:t>
      </w:r>
      <w:r w:rsidRPr="00C755C5">
        <w:rPr>
          <w:lang w:val="ru-RU"/>
        </w:rPr>
        <w:t>С най-голям относителен дял са</w:t>
      </w:r>
      <w:r w:rsidRPr="00C755C5">
        <w:t xml:space="preserve"> разходите за персонал (</w:t>
      </w:r>
      <w:r w:rsidRPr="00C755C5">
        <w:rPr>
          <w:bCs/>
        </w:rPr>
        <w:t>заплати и възнаграждения, други възнаграждения и плащания за персонала и осигурителни вноски), които</w:t>
      </w:r>
      <w:r w:rsidRPr="00C755C5">
        <w:t xml:space="preserve"> са в размер на </w:t>
      </w:r>
      <w:r w:rsidRPr="00C755C5">
        <w:rPr>
          <w:lang w:val="ru-RU"/>
        </w:rPr>
        <w:t>4</w:t>
      </w:r>
      <w:r w:rsidRPr="00C755C5">
        <w:t> </w:t>
      </w:r>
      <w:r w:rsidRPr="00C755C5">
        <w:rPr>
          <w:lang w:val="ru-RU"/>
        </w:rPr>
        <w:t>525</w:t>
      </w:r>
      <w:r w:rsidRPr="00C755C5">
        <w:t xml:space="preserve">,5 млн. лв. – 55,7 %, следвани от  разходите за издръжка </w:t>
      </w:r>
      <w:r w:rsidRPr="00C755C5">
        <w:rPr>
          <w:bCs/>
        </w:rPr>
        <w:t>(вкл. разходи за членски внос и участие в нетърговски организации и дейности, платени данъци, такси и административни санкции), които</w:t>
      </w:r>
      <w:r w:rsidRPr="00C755C5">
        <w:t xml:space="preserve"> са в размер на</w:t>
      </w:r>
      <w:r w:rsidRPr="00C755C5">
        <w:rPr>
          <w:lang w:val="ru-RU"/>
        </w:rPr>
        <w:t xml:space="preserve"> 1 </w:t>
      </w:r>
      <w:r w:rsidRPr="00C755C5">
        <w:t xml:space="preserve">992,9 </w:t>
      </w:r>
      <w:r w:rsidRPr="0007276C">
        <w:t>млн. лв. – 24,5</w:t>
      </w:r>
      <w:r w:rsidR="00363306">
        <w:rPr>
          <w:lang w:val="en-US"/>
        </w:rPr>
        <w:t> </w:t>
      </w:r>
      <w:r w:rsidRPr="0007276C">
        <w:t xml:space="preserve">%. Разходите за субсидии възлизат на 397,5 млн. лв. </w:t>
      </w:r>
      <w:r w:rsidRPr="0007276C">
        <w:rPr>
          <w:lang w:eastAsia="bg-BG"/>
        </w:rPr>
        <w:t>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07276C">
        <w:rPr>
          <w:lang w:val="ru-RU" w:eastAsia="bg-BG"/>
        </w:rPr>
        <w:t xml:space="preserve"> (</w:t>
      </w:r>
      <w:r w:rsidRPr="0007276C">
        <w:rPr>
          <w:lang w:eastAsia="bg-BG"/>
        </w:rPr>
        <w:t>отчитат се в местните дейности</w:t>
      </w:r>
      <w:r w:rsidRPr="0007276C">
        <w:rPr>
          <w:lang w:val="ru-RU" w:eastAsia="bg-BG"/>
        </w:rPr>
        <w:t>)</w:t>
      </w:r>
      <w:r w:rsidRPr="0007276C">
        <w:rPr>
          <w:lang w:eastAsia="bg-BG"/>
        </w:rPr>
        <w:t>.</w:t>
      </w:r>
      <w:r w:rsidRPr="0007276C">
        <w:t xml:space="preserve"> </w:t>
      </w:r>
      <w:r w:rsidRPr="0007276C">
        <w:rPr>
          <w:bCs/>
        </w:rPr>
        <w:t>Социалните разходи (</w:t>
      </w:r>
      <w:r w:rsidRPr="0007276C">
        <w:t xml:space="preserve">текущи трансфери, обезщетения и помощи за домакинствата, </w:t>
      </w:r>
      <w:r w:rsidRPr="0007276C">
        <w:rPr>
          <w:bCs/>
        </w:rPr>
        <w:t>вкл. разходите за стипендии)</w:t>
      </w:r>
      <w:r w:rsidRPr="0007276C">
        <w:t xml:space="preserve"> са в размер на 156,6 млн. лева.</w:t>
      </w:r>
    </w:p>
    <w:p w:rsidR="00A5527F" w:rsidRDefault="00A5527F" w:rsidP="00A5527F">
      <w:pPr>
        <w:widowControl w:val="0"/>
        <w:tabs>
          <w:tab w:val="center" w:pos="4153"/>
          <w:tab w:val="right" w:pos="8306"/>
        </w:tabs>
        <w:ind w:firstLine="567"/>
        <w:jc w:val="both"/>
      </w:pPr>
      <w:r w:rsidRPr="00B73744">
        <w:t>Капиталовите разходи са в размер на 1 056,8 млн. лв., което е с 466,1 млн. лв. (или със 78,9</w:t>
      </w:r>
      <w:r w:rsidR="00363306">
        <w:rPr>
          <w:lang w:val="en-US"/>
        </w:rPr>
        <w:t> </w:t>
      </w:r>
      <w:r w:rsidRPr="00B73744">
        <w:t>%) повече от същия период на миналата година. От общия обем на направените капиталови разходи най-съществен дял. 56,0</w:t>
      </w:r>
      <w:r>
        <w:rPr>
          <w:lang w:val="en-US"/>
        </w:rPr>
        <w:t xml:space="preserve"> </w:t>
      </w:r>
      <w:r w:rsidRPr="00B73744">
        <w:t>% заемат разходите за основен ремонт (592,2 млн. лв.) и за придобиване на ДМА (41,5</w:t>
      </w:r>
      <w:r>
        <w:rPr>
          <w:lang w:val="en-US"/>
        </w:rPr>
        <w:t xml:space="preserve"> </w:t>
      </w:r>
      <w:r w:rsidRPr="00B73744">
        <w:t>% дял, 438,5 млн. лева).</w:t>
      </w:r>
    </w:p>
    <w:p w:rsidR="00A5527F" w:rsidRPr="009F69CF" w:rsidRDefault="00A5527F" w:rsidP="00A5527F">
      <w:pPr>
        <w:widowControl w:val="0"/>
        <w:tabs>
          <w:tab w:val="center" w:pos="4153"/>
          <w:tab w:val="right" w:pos="8306"/>
        </w:tabs>
        <w:ind w:firstLine="567"/>
        <w:jc w:val="both"/>
        <w:rPr>
          <w:color w:val="0070C0"/>
          <w:lang w:val="en-US"/>
        </w:rPr>
      </w:pPr>
      <w:r w:rsidRPr="0007276C">
        <w:rPr>
          <w:i/>
        </w:rPr>
        <w:t xml:space="preserve">Разходите за лихви към </w:t>
      </w:r>
      <w:r w:rsidRPr="0007276C">
        <w:t>30.09. 2023 г. възлизат на 32,0 млн. лв. Към същия период на 2022</w:t>
      </w:r>
      <w:r w:rsidR="00363306">
        <w:rPr>
          <w:lang w:val="en-US"/>
        </w:rPr>
        <w:t> </w:t>
      </w:r>
      <w:r w:rsidRPr="0007276C">
        <w:t xml:space="preserve">г. те са били 25,2 млн. лв. или с 6,8 млн. лв. по-малко. </w:t>
      </w:r>
      <w:r w:rsidRPr="00B73744">
        <w:t>Лихвените плащания към деветмесечието на тази година по заеми от чужбина са в размер на 11,5 млн. лв. (с 0,4 млн. лв. повече в сравнение със същия период на миналата година). По облигационни заеми платените лихви са 1,0 млн. лв., а по други вътрешни заеми към местни лица (банкови кредити, заеми към „ФЛАГ“ ЕАД и към др. местни лица) са 15,7 млн. лв. Отчетените др. лихвени плащания са в размер на 3,7 млн. лв. (в т.ч. 0,3 млн. лв. по заеми към централния бюджет и</w:t>
      </w:r>
      <w:r>
        <w:t xml:space="preserve"> към др. бюджетни организации, </w:t>
      </w:r>
      <w:r w:rsidRPr="00B73744">
        <w:t xml:space="preserve"> 0,2 млн. лв. лихви по финансов лизинг и търговски кредит, а отчетените лих</w:t>
      </w:r>
      <w:r>
        <w:t xml:space="preserve">вени плащания </w:t>
      </w:r>
      <w:r w:rsidRPr="00B73744">
        <w:t xml:space="preserve"> по изпълнителни листове, за забавено изпълнение по сключени договори и др. са в размер на 3,2 млн. лв.</w:t>
      </w:r>
      <w:r>
        <w:rPr>
          <w:lang w:val="en-US"/>
        </w:rPr>
        <w:t>).</w:t>
      </w:r>
    </w:p>
    <w:p w:rsidR="00A5527F" w:rsidRPr="0059164A" w:rsidRDefault="00A5527F" w:rsidP="00A5527F">
      <w:pPr>
        <w:tabs>
          <w:tab w:val="center" w:pos="4153"/>
          <w:tab w:val="right" w:pos="8306"/>
        </w:tabs>
        <w:ind w:firstLine="567"/>
        <w:jc w:val="both"/>
        <w:rPr>
          <w:rFonts w:eastAsia="Calibri"/>
          <w:color w:val="0070C0"/>
          <w:sz w:val="8"/>
        </w:rPr>
      </w:pPr>
      <w:r w:rsidRPr="0059164A">
        <w:rPr>
          <w:color w:val="0070C0"/>
          <w:lang w:eastAsia="bg-BG"/>
        </w:rPr>
        <w:tab/>
      </w:r>
    </w:p>
    <w:p w:rsidR="00A5527F" w:rsidRPr="009F69CF" w:rsidRDefault="00A5527F" w:rsidP="00A5527F">
      <w:pPr>
        <w:numPr>
          <w:ilvl w:val="0"/>
          <w:numId w:val="27"/>
        </w:numPr>
        <w:tabs>
          <w:tab w:val="left" w:pos="851"/>
        </w:tabs>
        <w:spacing w:before="240" w:line="276" w:lineRule="auto"/>
        <w:ind w:left="533" w:firstLine="34"/>
        <w:jc w:val="both"/>
        <w:rPr>
          <w:b/>
        </w:rPr>
      </w:pPr>
      <w:r w:rsidRPr="009F69CF">
        <w:rPr>
          <w:b/>
        </w:rPr>
        <w:t>Финансиране</w:t>
      </w:r>
    </w:p>
    <w:p w:rsidR="00A5527F" w:rsidRPr="0059164A" w:rsidRDefault="00A5527F" w:rsidP="000C3D73">
      <w:pPr>
        <w:ind w:firstLine="567"/>
        <w:jc w:val="both"/>
        <w:rPr>
          <w:color w:val="0070C0"/>
        </w:rPr>
      </w:pPr>
      <w:r w:rsidRPr="009F69CF">
        <w:t>От началото на годината до 30.09.2023 г. по общинските бюджети са получени 58,7 млн. лв. заемни средства от договори с чуждестранни кредитори. Отчетени са от Столична община по проекти</w:t>
      </w:r>
      <w:r w:rsidRPr="009F69CF">
        <w:rPr>
          <w:lang w:val="en-US"/>
        </w:rPr>
        <w:t xml:space="preserve">, </w:t>
      </w:r>
      <w:r w:rsidRPr="009F69CF">
        <w:t>свързани с транспортната свързаност и достъпна среда и изграждане и реконструкция на основни пътни артерии в град София. Изплатените главници от общинските бюджети по външните заеми за същия</w:t>
      </w:r>
      <w:r w:rsidRPr="00B73744">
        <w:t xml:space="preserve"> период са в размер на 30,4 млн. лв. (от Столична община са 25,8 млн. лв., община Бургас – 1 млн. лв.; Варна – 1,8 млн. лв., Пловдив – 1,5 млн. лв. и от община Ловеч са 0,3 млн. лв.).</w:t>
      </w:r>
    </w:p>
    <w:p w:rsidR="00A5527F" w:rsidRPr="00B73744" w:rsidRDefault="00A5527F" w:rsidP="000C3D73">
      <w:pPr>
        <w:pStyle w:val="BodyText"/>
        <w:widowControl w:val="0"/>
        <w:ind w:firstLine="567"/>
      </w:pPr>
      <w:r w:rsidRPr="00B73744">
        <w:t>За отчетния период получените заемни средства от банки в страната са в размер на 123,9</w:t>
      </w:r>
      <w:r w:rsidR="00363306">
        <w:rPr>
          <w:lang w:val="en-US"/>
        </w:rPr>
        <w:t> </w:t>
      </w:r>
      <w:r w:rsidRPr="00B73744">
        <w:t>млн. лв., а от други местни лица са 151,1 млн. лв. (в т.ч. 105,2 млн. лв. от „ФЛАГ“ ЕАД) или общо получените заемни средства са 275,0 млн. лв. Изплатените главници по банкови заеми от страната са 55,5 млн. лв., а по заеми от др. лица са 67,3 млн. лв. (в т.ч. 63,2 млн. лв. към „ФЛАГ“ ЕАД) или общо платените главници са в размер на 122,8 млн. лв. Погашенията за периода по заемите от страната е по-малък от получените средства, поради което нетният размер на операциите по тези заеми е положителен (152,2) млн. лв. За същия период на 2022 г, получените заемни средства от банки в страната и др. местни лица също са били повече от погашенията, но нетният положителен размер по тези заеми е бил значително по-малък (17,9</w:t>
      </w:r>
      <w:r w:rsidR="00363306">
        <w:rPr>
          <w:lang w:val="en-US"/>
        </w:rPr>
        <w:t> </w:t>
      </w:r>
      <w:r w:rsidRPr="00B73744">
        <w:t>млн. лв.).</w:t>
      </w:r>
    </w:p>
    <w:p w:rsidR="00A5527F" w:rsidRDefault="00A5527F" w:rsidP="000C3D73">
      <w:pPr>
        <w:ind w:firstLine="567"/>
        <w:jc w:val="both"/>
      </w:pPr>
      <w:r w:rsidRPr="00B73744">
        <w:t>Погашенията по емитирани през предходни периоди общински ценни книжа са в размер на 27,0 млн. лв. и са отчетени от 8 общини. За отчетния период няма емитиран нов дълг.</w:t>
      </w:r>
      <w:r>
        <w:t xml:space="preserve"> </w:t>
      </w:r>
    </w:p>
    <w:p w:rsidR="00A5527F" w:rsidRPr="00B73744" w:rsidRDefault="00A5527F" w:rsidP="000C3D73">
      <w:pPr>
        <w:ind w:firstLine="567"/>
        <w:jc w:val="both"/>
      </w:pPr>
      <w:r w:rsidRPr="00B73744">
        <w:t>Другото финансиране /нето/ по общинските бюджети към 30.09.2023 г. е 30,3 млн. лв., като съществена част от него представляват отчетените операции по Закона за управление на отпадъците. Нетният размер за периода на задълженията и погашенията по финансов лизинг и търговски кредити, като форми на дълг, е в размер на (-1,0) млн. лв.</w:t>
      </w:r>
    </w:p>
    <w:p w:rsidR="00A5527F" w:rsidRPr="00B73744" w:rsidRDefault="00A5527F" w:rsidP="000C3D73">
      <w:pPr>
        <w:ind w:firstLine="567"/>
        <w:jc w:val="both"/>
      </w:pPr>
      <w:r w:rsidRPr="00B73744">
        <w:t>Нетният размер на събраните средства и извършени плащания от общините за сметка на други бюджети, сметки и фондове е в размер на (-100,5) млн. лв.</w:t>
      </w:r>
    </w:p>
    <w:p w:rsidR="00A5527F" w:rsidRPr="00B73744" w:rsidRDefault="00A5527F" w:rsidP="000C3D73">
      <w:pPr>
        <w:ind w:firstLine="567"/>
        <w:jc w:val="both"/>
      </w:pPr>
      <w:r w:rsidRPr="00B73744">
        <w:t xml:space="preserve">Към 30.09.2023 г. отчетеният от общините нетен размер на операциите по придобиване на дялове, акции и съучастия е в размер на (-5,2) млн. лв. </w:t>
      </w:r>
    </w:p>
    <w:p w:rsidR="00A5527F" w:rsidRPr="00B73744" w:rsidRDefault="00A5527F" w:rsidP="000C3D73">
      <w:pPr>
        <w:ind w:firstLine="567"/>
        <w:jc w:val="both"/>
      </w:pPr>
      <w:r w:rsidRPr="00B73744">
        <w:t>Средствата по общинските бюджети средства от приватизация на дялове, акции и участия за периода са в размер на 1,1 млн. лв.</w:t>
      </w:r>
    </w:p>
    <w:p w:rsidR="00A5527F" w:rsidRPr="00B73744" w:rsidRDefault="00A5527F" w:rsidP="000C3D73">
      <w:pPr>
        <w:ind w:firstLine="567"/>
        <w:jc w:val="both"/>
      </w:pPr>
      <w:r w:rsidRPr="00B73744">
        <w:t>Отчетеният нетен размер по общинските бюджети на възмездната финансова помощ е</w:t>
      </w:r>
      <w:r w:rsidR="00455F76">
        <w:rPr>
          <w:lang w:val="en-US"/>
        </w:rPr>
        <w:t xml:space="preserve"> </w:t>
      </w:r>
      <w:r w:rsidRPr="00B73744">
        <w:t>(-8,7) млн. лв., а на предоставените кредити (-6,0) млн. лв.</w:t>
      </w:r>
    </w:p>
    <w:p w:rsidR="00A5527F" w:rsidRPr="00B73744" w:rsidRDefault="00A5527F" w:rsidP="000C3D73">
      <w:pPr>
        <w:pStyle w:val="BodyText"/>
        <w:widowControl w:val="0"/>
        <w:ind w:firstLine="567"/>
      </w:pPr>
      <w:r w:rsidRPr="00B73744">
        <w:t>Общините отчитат 2 162,0 млн. лв. бюджетен преходен остатък, а наличността към края на третото тримесечие на 2023 г. (по банкови сметки и каса) е в размер на 2 433,1 млн. лв. (със 130,2</w:t>
      </w:r>
      <w:r w:rsidR="00BA173D">
        <w:t> </w:t>
      </w:r>
      <w:r w:rsidRPr="00B73744">
        <w:t xml:space="preserve">млн. лв. повече от същия период на миналата година). Преводите в процес на </w:t>
      </w:r>
      <w:proofErr w:type="spellStart"/>
      <w:r w:rsidRPr="00B73744">
        <w:t>сетълмент</w:t>
      </w:r>
      <w:proofErr w:type="spellEnd"/>
      <w:r w:rsidRPr="00B73744">
        <w:t xml:space="preserve"> са (-31,1) млн. лв. Отчетеният остатък в делегираните от държавата дейности е 1 141,6 млн. лв. (46,9</w:t>
      </w:r>
      <w:r w:rsidR="00BA173D">
        <w:t> </w:t>
      </w:r>
      <w:r w:rsidRPr="00B73744">
        <w:t>%), а 1 291,5 млн. лв. (53,1</w:t>
      </w:r>
      <w:r>
        <w:rPr>
          <w:lang w:val="en-US"/>
        </w:rPr>
        <w:t xml:space="preserve"> </w:t>
      </w:r>
      <w:r w:rsidRPr="00B73744">
        <w:t xml:space="preserve">%) е в местни дейности. </w:t>
      </w:r>
    </w:p>
    <w:p w:rsidR="00A5527F" w:rsidRPr="00B73744" w:rsidRDefault="00A5527F" w:rsidP="000C3D73">
      <w:pPr>
        <w:pStyle w:val="BodyText"/>
        <w:widowControl w:val="0"/>
        <w:ind w:firstLine="567"/>
      </w:pPr>
      <w:r w:rsidRPr="00B73744">
        <w:t xml:space="preserve">Най-голяма наличност (608,8 млн. лв.) към 30.09.2023 г. в </w:t>
      </w:r>
      <w:r w:rsidRPr="001A77DD">
        <w:t>местните</w:t>
      </w:r>
      <w:r w:rsidRPr="00B73744">
        <w:t xml:space="preserve"> дейности е от неизразходвани средства от приходи, помощи и дарения, получени през текущата година, следвани от наличностите, представляващи преходен остатък от минали години (508,0 млн. лв., като в т.ч. 232,8 млн. лв. са от неизразходвани субсидии от минали години).</w:t>
      </w:r>
    </w:p>
    <w:p w:rsidR="00A5527F" w:rsidRPr="0059164A" w:rsidRDefault="00A5527F" w:rsidP="000C3D73">
      <w:pPr>
        <w:ind w:firstLine="567"/>
        <w:jc w:val="both"/>
        <w:rPr>
          <w:color w:val="0070C0"/>
        </w:rPr>
      </w:pPr>
      <w:r w:rsidRPr="00B73744">
        <w:t xml:space="preserve">В </w:t>
      </w:r>
      <w:r w:rsidRPr="001A77DD">
        <w:t>държавните</w:t>
      </w:r>
      <w:r w:rsidRPr="00B73744">
        <w:t xml:space="preserve"> дейности наличността се формира най-вече от получени през текущата година, но неизразходвани субсидии (903,6 млн. лв.), следвани от наличностите, представляващи преходен остатък от минали години (174,2 млн. лв., като в т.ч. 146,2 млн. лв. са от неизразходвани субсидии от минали години).</w:t>
      </w:r>
    </w:p>
    <w:p w:rsidR="002C4D33" w:rsidRPr="0059164A" w:rsidRDefault="002C4D33" w:rsidP="00FD362E">
      <w:pPr>
        <w:pStyle w:val="BodyText"/>
        <w:spacing w:after="120"/>
        <w:ind w:firstLine="567"/>
        <w:rPr>
          <w:color w:val="0070C0"/>
          <w:sz w:val="18"/>
          <w:szCs w:val="12"/>
        </w:rPr>
      </w:pPr>
    </w:p>
    <w:p w:rsidR="00913197" w:rsidRPr="003B106B" w:rsidRDefault="00913197" w:rsidP="00ED2B9A">
      <w:pPr>
        <w:pStyle w:val="Heading1"/>
        <w:numPr>
          <w:ilvl w:val="1"/>
          <w:numId w:val="9"/>
        </w:numPr>
        <w:spacing w:before="120"/>
        <w:ind w:left="788" w:right="-108" w:hanging="431"/>
        <w:jc w:val="both"/>
        <w:rPr>
          <w:sz w:val="24"/>
        </w:rPr>
      </w:pPr>
      <w:bookmarkStart w:id="38" w:name="_Toc109906108"/>
      <w:r w:rsidRPr="003B106B">
        <w:rPr>
          <w:sz w:val="24"/>
        </w:rPr>
        <w:t>Бюджети на Българската национална телевизия, Българското национално радио и Българската телеграфна агенция</w:t>
      </w:r>
      <w:bookmarkEnd w:id="38"/>
      <w:r w:rsidRPr="003B106B">
        <w:rPr>
          <w:sz w:val="24"/>
        </w:rPr>
        <w:t xml:space="preserve"> </w:t>
      </w:r>
    </w:p>
    <w:p w:rsidR="003B106B" w:rsidRPr="00FC7906" w:rsidRDefault="003B106B" w:rsidP="003B106B">
      <w:pPr>
        <w:spacing w:before="240"/>
        <w:ind w:firstLine="567"/>
        <w:jc w:val="both"/>
      </w:pPr>
      <w:r w:rsidRPr="00B271C0">
        <w:rPr>
          <w:b/>
        </w:rPr>
        <w:t xml:space="preserve">Приходите на Българската национална телевизия (БНТ) </w:t>
      </w:r>
      <w:r w:rsidRPr="00B271C0">
        <w:t>към 30.09.202</w:t>
      </w:r>
      <w:r w:rsidRPr="00B271C0">
        <w:rPr>
          <w:lang w:val="ru-RU"/>
        </w:rPr>
        <w:t>3</w:t>
      </w:r>
      <w:r w:rsidRPr="00B271C0">
        <w:t xml:space="preserve"> г. са в </w:t>
      </w:r>
      <w:r w:rsidRPr="00FC7906">
        <w:t>размер на 9,7 млн. лв. и са с 2,8 млн. лв. повече спрямо отчетените приходи за деветмесечието на предходната година. Спрямо годишните разчети изпълнението на приходите е 96,6 %.  Отчетените приходи са постъпления от продажба на услуги, стоки и продукция (реклама, технически услуги, продажба на програми, приходи от почивно дело, приходи от участия в предизборни форми), наеми на имущество и др.</w:t>
      </w:r>
    </w:p>
    <w:p w:rsidR="003B106B" w:rsidRPr="00FC7906" w:rsidRDefault="003B106B" w:rsidP="003B106B">
      <w:pPr>
        <w:ind w:firstLine="561"/>
        <w:jc w:val="both"/>
      </w:pPr>
      <w:r w:rsidRPr="00FC7906">
        <w:t xml:space="preserve">Отчетените </w:t>
      </w:r>
      <w:r w:rsidRPr="00FC7906">
        <w:rPr>
          <w:b/>
        </w:rPr>
        <w:t>разходи</w:t>
      </w:r>
      <w:r w:rsidRPr="00FC7906">
        <w:t xml:space="preserve"> </w:t>
      </w:r>
      <w:r w:rsidRPr="00FC7906">
        <w:rPr>
          <w:b/>
        </w:rPr>
        <w:t>на БНТ</w:t>
      </w:r>
      <w:r w:rsidRPr="00FC7906">
        <w:t xml:space="preserve"> към 30.09.2023 г. са в размер на 66,3 млн. лв. и надвишават отчетените за същия период на предходната година с 0,7 млн. лв.</w:t>
      </w:r>
      <w:r>
        <w:t xml:space="preserve"> Спрямо разчетите към закона изпълнението на разходите е 67,6 %.</w:t>
      </w:r>
      <w:r w:rsidRPr="00FC7906">
        <w:t xml:space="preserve"> </w:t>
      </w:r>
      <w:r w:rsidRPr="007D53E7">
        <w:rPr>
          <w:szCs w:val="20"/>
        </w:rPr>
        <w:t>Българската национална телевизия съставя, изпълнява, приключва и отчита бюджет, съгласно чл. 70, ал. 1 от Закона за радиото и телевизията (ЗРТ). За периода са отчетени 56,7 млн. лв. текущи разходи и 9,5 млн. лв. капиталови разходи. Общият размер на отчетените текущи разходи включва: 29,6 млн. лв. разходи за персонал и 27,2 млн. лв. разходи за издръжка (вкл. разходи за членски внос, платени данъци, такси и административни санкции). Отчетените разходи за персонал представляват 52,1% от отчетените текущи разходи</w:t>
      </w:r>
      <w:r w:rsidRPr="00FC7906">
        <w:rPr>
          <w:szCs w:val="20"/>
        </w:rPr>
        <w:t xml:space="preserve">. </w:t>
      </w:r>
      <w:r w:rsidRPr="007D53E7">
        <w:rPr>
          <w:szCs w:val="20"/>
        </w:rPr>
        <w:t>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w:t>
      </w:r>
      <w:r>
        <w:rPr>
          <w:szCs w:val="20"/>
          <w:lang w:val="en-US"/>
        </w:rPr>
        <w:t xml:space="preserve"> </w:t>
      </w:r>
      <w:r w:rsidRPr="007D53E7">
        <w:rPr>
          <w:szCs w:val="20"/>
        </w:rPr>
        <w:t xml:space="preserve">В разпределението  на разходите по бюджета на обществената медия е включен преходния остатък за 2022 г. (съгл. чл. 70, ал. 6 от ЗРТ) в размер на 1,7 млн. лв. </w:t>
      </w:r>
    </w:p>
    <w:p w:rsidR="003B106B" w:rsidRPr="00333F31" w:rsidRDefault="003B106B" w:rsidP="003B106B">
      <w:pPr>
        <w:pStyle w:val="Title"/>
        <w:ind w:firstLine="567"/>
        <w:jc w:val="both"/>
        <w:rPr>
          <w:b w:val="0"/>
        </w:rPr>
      </w:pPr>
      <w:r w:rsidRPr="00191804">
        <w:rPr>
          <w:b w:val="0"/>
        </w:rPr>
        <w:t xml:space="preserve">Бюджетните взаимоотношения на БНТ с централния бюджет </w:t>
      </w:r>
      <w:r>
        <w:rPr>
          <w:b w:val="0"/>
        </w:rPr>
        <w:t>са</w:t>
      </w:r>
      <w:r w:rsidRPr="00191804">
        <w:rPr>
          <w:b w:val="0"/>
        </w:rPr>
        <w:t xml:space="preserve">  89,1 млн. лв., в т.ч.: 86,2</w:t>
      </w:r>
      <w:r w:rsidR="006248CA">
        <w:rPr>
          <w:b w:val="0"/>
        </w:rPr>
        <w:t> </w:t>
      </w:r>
      <w:r w:rsidRPr="00191804">
        <w:rPr>
          <w:b w:val="0"/>
        </w:rPr>
        <w:t>млн. лв. съгласно чл. 49, т. 2 от ЗДБРБ за 2023 г. и 2,8 млн. лв. одобрени допълнителни трансфери съгласно ПМС № 108 от 2023 г., ПМС № 118 от 2023 г. и ПМС № 128 от 2023 г.</w:t>
      </w:r>
      <w:r>
        <w:rPr>
          <w:lang w:val="en-US"/>
        </w:rPr>
        <w:t xml:space="preserve"> </w:t>
      </w:r>
      <w:r w:rsidRPr="00BF7EAE">
        <w:rPr>
          <w:b w:val="0"/>
        </w:rPr>
        <w:t xml:space="preserve">Към 30.09.2023 г. е отчетен </w:t>
      </w:r>
      <w:r w:rsidRPr="00BF7EAE">
        <w:t>трансфер от централния бюджет</w:t>
      </w:r>
      <w:r w:rsidRPr="00BF7EAE">
        <w:rPr>
          <w:b w:val="0"/>
        </w:rPr>
        <w:t xml:space="preserve"> в размер на 61</w:t>
      </w:r>
      <w:r>
        <w:rPr>
          <w:b w:val="0"/>
        </w:rPr>
        <w:t>,1 млн. лв.</w:t>
      </w:r>
    </w:p>
    <w:p w:rsidR="003B106B" w:rsidRPr="0059164A" w:rsidRDefault="003B106B" w:rsidP="003B106B">
      <w:pPr>
        <w:pStyle w:val="Title"/>
        <w:spacing w:before="120"/>
        <w:ind w:firstLine="567"/>
        <w:jc w:val="both"/>
        <w:rPr>
          <w:color w:val="0070C0"/>
        </w:rPr>
      </w:pPr>
      <w:r w:rsidRPr="006269B9">
        <w:t xml:space="preserve">Приходите по бюджета на Българското национално радио (БНР) </w:t>
      </w:r>
      <w:r w:rsidRPr="006269B9">
        <w:rPr>
          <w:b w:val="0"/>
        </w:rPr>
        <w:t>към 30.09.2023 г. са в размер на 1,4 млн. лв. и са с 0,3 млн. лв. повече спрямо отчетените приходи за първите девет месеца на предходната година. Спрямо годишния разчет изпълнението е 79,3 %. 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наеми на имущество, глоби, санкции и наказателни лихви,  помощи и дарения от страната.</w:t>
      </w:r>
    </w:p>
    <w:p w:rsidR="003B106B" w:rsidRPr="00434324" w:rsidRDefault="003B106B" w:rsidP="003B106B">
      <w:pPr>
        <w:ind w:firstLine="567"/>
        <w:jc w:val="both"/>
        <w:rPr>
          <w:szCs w:val="20"/>
        </w:rPr>
      </w:pPr>
      <w:r w:rsidRPr="006269B9">
        <w:rPr>
          <w:szCs w:val="20"/>
        </w:rPr>
        <w:t xml:space="preserve">Изпълнението на </w:t>
      </w:r>
      <w:r w:rsidRPr="006269B9">
        <w:rPr>
          <w:b/>
          <w:szCs w:val="20"/>
        </w:rPr>
        <w:t>разходите</w:t>
      </w:r>
      <w:r w:rsidRPr="006269B9">
        <w:rPr>
          <w:szCs w:val="20"/>
        </w:rPr>
        <w:t xml:space="preserve"> </w:t>
      </w:r>
      <w:r w:rsidRPr="006269B9">
        <w:rPr>
          <w:b/>
          <w:szCs w:val="20"/>
        </w:rPr>
        <w:t>по бюджета на</w:t>
      </w:r>
      <w:r w:rsidRPr="006269B9">
        <w:rPr>
          <w:szCs w:val="20"/>
        </w:rPr>
        <w:t xml:space="preserve"> </w:t>
      </w:r>
      <w:r w:rsidRPr="006269B9">
        <w:rPr>
          <w:b/>
          <w:szCs w:val="20"/>
        </w:rPr>
        <w:t xml:space="preserve">БНР </w:t>
      </w:r>
      <w:r w:rsidRPr="006269B9">
        <w:rPr>
          <w:szCs w:val="20"/>
        </w:rPr>
        <w:t xml:space="preserve">възлиза на 44,5 млн. лв. като надвишава отчетените за същия период на предходната година разходи с 5,6 млн. лв. Спрямо разчетите </w:t>
      </w:r>
      <w:r>
        <w:rPr>
          <w:szCs w:val="20"/>
        </w:rPr>
        <w:t>към ЗДБРБ за 2023 г.</w:t>
      </w:r>
      <w:r w:rsidRPr="006269B9">
        <w:rPr>
          <w:szCs w:val="20"/>
        </w:rPr>
        <w:t xml:space="preserve"> изпълнението е 67,5 %. </w:t>
      </w:r>
      <w:r w:rsidRPr="007D53E7">
        <w:rPr>
          <w:szCs w:val="20"/>
        </w:rPr>
        <w:t>Българското национално радио съставя, изпълнява, приключва и отчита бюджет, съгласно чл. 70, ал. 1 от Закона за радиото и телевизията (ЗРТ). За периода са отчетени 40,4 млн. лв. текущи разходи и 4,1 млн. лв. капиталови разходи. Общият размер на отчетените текущи разходи включва: 25,6 млн. лв. разходи за персонал и 14,8 млн. лв. разходи за издръжка (вкл. разходи за членски внос, платени данъци, такси и административни санкции). Отчетените разходи за персонал представляват 63,3% от отчетените текущи разходи.</w:t>
      </w:r>
      <w:r w:rsidRPr="00434324">
        <w:rPr>
          <w:szCs w:val="20"/>
        </w:rPr>
        <w:t xml:space="preserve">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w:t>
      </w:r>
      <w:r w:rsidRPr="007D53E7">
        <w:rPr>
          <w:szCs w:val="20"/>
        </w:rPr>
        <w:t>В разпределението  на разходите по бюджета на БНР е включен преходния остатък за 2022 г. (съгл. чл. 70, ал. 6 от ЗРТ) в размер на 5,0 млн. лв.</w:t>
      </w:r>
      <w:r>
        <w:rPr>
          <w:szCs w:val="20"/>
        </w:rPr>
        <w:t xml:space="preserve"> </w:t>
      </w:r>
    </w:p>
    <w:p w:rsidR="003B106B" w:rsidRPr="007D53E7" w:rsidRDefault="003B106B" w:rsidP="001400F3">
      <w:pPr>
        <w:ind w:firstLine="567"/>
        <w:jc w:val="both"/>
        <w:rPr>
          <w:szCs w:val="20"/>
        </w:rPr>
      </w:pPr>
      <w:r w:rsidRPr="000C586A">
        <w:t xml:space="preserve">За периода е отчетен </w:t>
      </w:r>
      <w:r w:rsidRPr="000C586A">
        <w:rPr>
          <w:b/>
        </w:rPr>
        <w:t>трансфер от централния бюджет</w:t>
      </w:r>
      <w:r w:rsidRPr="000C586A">
        <w:t xml:space="preserve"> в размер на 41,4 млн. лв., </w:t>
      </w:r>
      <w:r w:rsidRPr="007D53E7">
        <w:rPr>
          <w:szCs w:val="20"/>
        </w:rPr>
        <w:t>или 70,1% от размера на определените със ЗДБРБ за 2023 г. бюджетните взаимоотношения на БНР с централния бюджет.</w:t>
      </w:r>
    </w:p>
    <w:p w:rsidR="003B106B" w:rsidRPr="0059164A" w:rsidRDefault="003B106B" w:rsidP="003B106B">
      <w:pPr>
        <w:spacing w:before="120"/>
        <w:ind w:firstLine="567"/>
        <w:jc w:val="both"/>
        <w:rPr>
          <w:b/>
          <w:color w:val="0070C0"/>
          <w:szCs w:val="20"/>
        </w:rPr>
      </w:pPr>
      <w:r w:rsidRPr="00333F31">
        <w:rPr>
          <w:b/>
          <w:szCs w:val="20"/>
        </w:rPr>
        <w:t xml:space="preserve">Приходите на </w:t>
      </w:r>
      <w:r w:rsidRPr="00333F31">
        <w:rPr>
          <w:b/>
        </w:rPr>
        <w:t>Българската телеграфна агенция (БТА)</w:t>
      </w:r>
      <w:r w:rsidRPr="00333F31">
        <w:t xml:space="preserve"> </w:t>
      </w:r>
      <w:r w:rsidRPr="00333F31">
        <w:rPr>
          <w:szCs w:val="20"/>
        </w:rPr>
        <w:t>към 30.09.2023 г. са в размер на 0,6 млн. лв</w:t>
      </w:r>
      <w:r w:rsidRPr="00333F31">
        <w:t xml:space="preserve">. и са основно от </w:t>
      </w:r>
      <w:r w:rsidRPr="007D53E7">
        <w:rPr>
          <w:szCs w:val="20"/>
        </w:rPr>
        <w:t>продажба на услуги, стоки и продукция (реклама, технически услуги, продажба на продукция), наеми на имущество и др.</w:t>
      </w:r>
      <w:r>
        <w:rPr>
          <w:szCs w:val="20"/>
        </w:rPr>
        <w:t xml:space="preserve"> </w:t>
      </w:r>
      <w:r w:rsidRPr="00333F31">
        <w:t>Приходите са с 0,04 млн. лв. повече от реализираните през същия период на миналата година</w:t>
      </w:r>
      <w:r w:rsidRPr="0059164A">
        <w:rPr>
          <w:color w:val="0070C0"/>
        </w:rPr>
        <w:t>.</w:t>
      </w:r>
      <w:r w:rsidRPr="0059164A">
        <w:rPr>
          <w:color w:val="0070C0"/>
          <w:szCs w:val="20"/>
        </w:rPr>
        <w:t xml:space="preserve"> </w:t>
      </w:r>
    </w:p>
    <w:p w:rsidR="003B106B" w:rsidRPr="0059164A" w:rsidRDefault="003B106B" w:rsidP="003B106B">
      <w:pPr>
        <w:ind w:firstLine="567"/>
        <w:jc w:val="both"/>
        <w:rPr>
          <w:color w:val="0070C0"/>
          <w:szCs w:val="20"/>
        </w:rPr>
      </w:pPr>
      <w:r w:rsidRPr="007D53E7">
        <w:t>Българската телеграфна агенция съставя, изпълнява, приключва и отчита бюджет, съгласно чл. 19, ал. 1 от Закона за Българска телеграфна агенция (ЗБТА). За периода са отчетени 8,</w:t>
      </w:r>
      <w:r>
        <w:t>6</w:t>
      </w:r>
      <w:r w:rsidRPr="007D53E7">
        <w:t xml:space="preserve"> млн. лв. текущи разходи и 0,8 млн. лв. капиталови разходи. Общият размер на отчетените текущи разходи включва: 6,3 млн. лв. разходи за персонал и 2,</w:t>
      </w:r>
      <w:r>
        <w:t>3</w:t>
      </w:r>
      <w:r w:rsidRPr="007D53E7">
        <w:t xml:space="preserve"> млн. лв. разходи за издръжка (вкл. разходи за членски внос, платени данъци, такси и административни санкции). Отчетените разходи за персонал представляват </w:t>
      </w:r>
      <w:r>
        <w:t>73</w:t>
      </w:r>
      <w:r w:rsidRPr="007D53E7">
        <w:t>,</w:t>
      </w:r>
      <w:r>
        <w:t xml:space="preserve">5 </w:t>
      </w:r>
      <w:r w:rsidRPr="007D53E7">
        <w:t>% от отчетените текущи разходи</w:t>
      </w:r>
      <w:r>
        <w:t xml:space="preserve">. </w:t>
      </w:r>
      <w:r w:rsidRPr="007D53E7">
        <w:t>В разпределението на разходите по бюджета на агенцията е включен преходния остатък за 2022 г. (съгл. чл. 20, ал. 3 от ЗБТА) в размер на 3,5 млн. лв.</w:t>
      </w:r>
    </w:p>
    <w:p w:rsidR="003B106B" w:rsidRPr="00333F31" w:rsidRDefault="003B106B" w:rsidP="003B106B">
      <w:pPr>
        <w:ind w:firstLine="567"/>
        <w:jc w:val="both"/>
        <w:rPr>
          <w:szCs w:val="20"/>
        </w:rPr>
      </w:pPr>
      <w:r w:rsidRPr="00333F31">
        <w:rPr>
          <w:szCs w:val="20"/>
        </w:rPr>
        <w:t xml:space="preserve">За периода </w:t>
      </w:r>
      <w:r w:rsidRPr="00333F31">
        <w:rPr>
          <w:b/>
          <w:szCs w:val="20"/>
        </w:rPr>
        <w:t>трансфер</w:t>
      </w:r>
      <w:r>
        <w:rPr>
          <w:b/>
          <w:szCs w:val="20"/>
        </w:rPr>
        <w:t>а</w:t>
      </w:r>
      <w:r w:rsidRPr="00333F31">
        <w:rPr>
          <w:b/>
          <w:szCs w:val="20"/>
        </w:rPr>
        <w:t xml:space="preserve"> от централния бюджет</w:t>
      </w:r>
      <w:r w:rsidRPr="00333F31">
        <w:rPr>
          <w:szCs w:val="20"/>
        </w:rPr>
        <w:t xml:space="preserve"> е в размер на 7,6 млн. лева.</w:t>
      </w:r>
    </w:p>
    <w:p w:rsidR="007C1025" w:rsidRPr="0059164A" w:rsidRDefault="007C1025" w:rsidP="007C1025">
      <w:pPr>
        <w:ind w:firstLine="567"/>
        <w:jc w:val="both"/>
        <w:rPr>
          <w:color w:val="0070C0"/>
          <w:szCs w:val="20"/>
        </w:rPr>
      </w:pPr>
    </w:p>
    <w:p w:rsidR="00446778" w:rsidRPr="0059164A" w:rsidRDefault="00446778" w:rsidP="007C1025">
      <w:pPr>
        <w:pStyle w:val="Title"/>
        <w:jc w:val="both"/>
        <w:rPr>
          <w:color w:val="0070C0"/>
        </w:rPr>
      </w:pPr>
    </w:p>
    <w:p w:rsidR="00446778" w:rsidRPr="0059164A" w:rsidRDefault="00446778" w:rsidP="007C1025">
      <w:pPr>
        <w:pStyle w:val="Title"/>
        <w:jc w:val="both"/>
        <w:rPr>
          <w:color w:val="0070C0"/>
        </w:rPr>
      </w:pPr>
    </w:p>
    <w:p w:rsidR="00001ABF" w:rsidRPr="00F548B6" w:rsidRDefault="00001ABF" w:rsidP="007C1025">
      <w:pPr>
        <w:pStyle w:val="Title"/>
        <w:jc w:val="both"/>
      </w:pPr>
    </w:p>
    <w:p w:rsidR="007C1025" w:rsidRPr="00F548B6" w:rsidRDefault="007C1025" w:rsidP="007C1025">
      <w:pPr>
        <w:pStyle w:val="Title"/>
        <w:jc w:val="both"/>
      </w:pPr>
      <w:r w:rsidRPr="00F548B6">
        <w:t xml:space="preserve">Министерство на финансите, </w:t>
      </w:r>
      <w:r w:rsidR="00F548B6" w:rsidRPr="00F548B6">
        <w:t xml:space="preserve">ноември </w:t>
      </w:r>
      <w:r w:rsidRPr="00F548B6">
        <w:t>202</w:t>
      </w:r>
      <w:r w:rsidR="005E5002" w:rsidRPr="00F548B6">
        <w:t>3</w:t>
      </w:r>
      <w:r w:rsidRPr="00F548B6">
        <w:t xml:space="preserve"> г.</w:t>
      </w:r>
    </w:p>
    <w:p w:rsidR="0050598A" w:rsidRPr="0059164A" w:rsidRDefault="0050598A" w:rsidP="0050598A">
      <w:pPr>
        <w:pStyle w:val="Title"/>
        <w:jc w:val="both"/>
        <w:rPr>
          <w:color w:val="0070C0"/>
        </w:rPr>
      </w:pPr>
    </w:p>
    <w:p w:rsidR="0050598A" w:rsidRPr="0059164A" w:rsidRDefault="0050598A" w:rsidP="0050598A">
      <w:pPr>
        <w:pStyle w:val="Title"/>
        <w:jc w:val="both"/>
        <w:rPr>
          <w:color w:val="0070C0"/>
        </w:rPr>
      </w:pPr>
    </w:p>
    <w:sectPr w:rsidR="0050598A" w:rsidRPr="0059164A" w:rsidSect="00033525">
      <w:footerReference w:type="even" r:id="rId9"/>
      <w:footerReference w:type="default" r:id="rId10"/>
      <w:endnotePr>
        <w:numFmt w:val="decimal"/>
      </w:endnotePr>
      <w:type w:val="continuous"/>
      <w:pgSz w:w="11906" w:h="16838"/>
      <w:pgMar w:top="709" w:right="849"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9C" w:rsidRDefault="00B9199C">
      <w:r>
        <w:separator/>
      </w:r>
    </w:p>
  </w:endnote>
  <w:endnote w:type="continuationSeparator" w:id="0">
    <w:p w:rsidR="00B9199C" w:rsidRDefault="00B9199C">
      <w:r>
        <w:continuationSeparator/>
      </w:r>
    </w:p>
  </w:endnote>
  <w:endnote w:type="continuationNotice" w:id="1">
    <w:p w:rsidR="00B9199C" w:rsidRDefault="00B91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ngs">
    <w:altName w:val="Yu Gothic UI"/>
    <w:charset w:val="80"/>
    <w:family w:val="roman"/>
    <w:pitch w:val="default"/>
    <w:sig w:usb0="00000000" w:usb1="0000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52" w:rsidRDefault="00C65952"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5952" w:rsidRDefault="00C65952"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52" w:rsidRDefault="00C65952"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22856">
      <w:rPr>
        <w:rStyle w:val="PageNumber"/>
        <w:noProof/>
      </w:rPr>
      <w:t>21</w:t>
    </w:r>
    <w:r>
      <w:rPr>
        <w:rStyle w:val="PageNumber"/>
      </w:rPr>
      <w:fldChar w:fldCharType="end"/>
    </w:r>
  </w:p>
  <w:p w:rsidR="00C65952" w:rsidRDefault="00C65952"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9C" w:rsidRDefault="00B9199C">
      <w:r>
        <w:separator/>
      </w:r>
    </w:p>
  </w:footnote>
  <w:footnote w:type="continuationSeparator" w:id="0">
    <w:p w:rsidR="00B9199C" w:rsidRDefault="00B9199C">
      <w:r>
        <w:continuationSeparator/>
      </w:r>
    </w:p>
  </w:footnote>
  <w:footnote w:type="continuationNotice" w:id="1">
    <w:p w:rsidR="00B9199C" w:rsidRDefault="00B9199C"/>
  </w:footnote>
  <w:footnote w:id="2">
    <w:p w:rsidR="00C65952" w:rsidRDefault="00C65952" w:rsidP="00FC6222">
      <w:pPr>
        <w:pStyle w:val="FootnoteText"/>
      </w:pPr>
      <w:r>
        <w:rPr>
          <w:rStyle w:val="FootnoteReference"/>
          <w:lang w:val="bg-BG"/>
        </w:rPr>
        <w:t>[1]</w:t>
      </w:r>
      <w:r>
        <w:rPr>
          <w:lang w:val="bg-BG"/>
        </w:rPr>
        <w:t xml:space="preserve"> Базисната инфлация включва услуги и неенергийни промишлени стоки.</w:t>
      </w:r>
    </w:p>
  </w:footnote>
  <w:footnote w:id="3">
    <w:p w:rsidR="00C65952" w:rsidRPr="007D18FE" w:rsidRDefault="00C65952"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 xml:space="preserve">Обхваща държавния бюджет и бюджетите на общините, </w:t>
      </w:r>
      <w:proofErr w:type="spellStart"/>
      <w:r w:rsidRPr="007D18FE">
        <w:rPr>
          <w:sz w:val="18"/>
          <w:szCs w:val="18"/>
          <w:lang w:val="bg-BG"/>
        </w:rPr>
        <w:t>социалноосигурителните</w:t>
      </w:r>
      <w:proofErr w:type="spellEnd"/>
      <w:r w:rsidRPr="007D18FE">
        <w:rPr>
          <w:sz w:val="18"/>
          <w:szCs w:val="18"/>
          <w:lang w:val="bg-BG"/>
        </w:rPr>
        <w:t xml:space="preserve"> фондове, ДВУ, БАН, БНР, БНТ, БТА, бюджетите по чл.1</w:t>
      </w:r>
      <w:r>
        <w:rPr>
          <w:sz w:val="18"/>
          <w:szCs w:val="18"/>
          <w:lang w:val="bg-BG"/>
        </w:rPr>
        <w:t>3</w:t>
      </w:r>
      <w:r w:rsidRPr="007D18FE">
        <w:rPr>
          <w:sz w:val="18"/>
          <w:szCs w:val="18"/>
          <w:lang w:val="bg-BG"/>
        </w:rPr>
        <w:t>,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4">
    <w:p w:rsidR="00C65952" w:rsidRPr="007D18FE" w:rsidRDefault="00C65952" w:rsidP="0010424C">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5">
    <w:p w:rsidR="00C65952" w:rsidRPr="00D13ABE" w:rsidRDefault="00C65952" w:rsidP="00222173">
      <w:pPr>
        <w:pStyle w:val="FootnoteText"/>
        <w:rPr>
          <w:lang w:val="bg-BG"/>
        </w:rPr>
      </w:pPr>
      <w:r w:rsidRPr="004304BD">
        <w:rPr>
          <w:rStyle w:val="FootnoteReference"/>
        </w:rPr>
        <w:footnoteRef/>
      </w:r>
      <w:r w:rsidRPr="004304BD">
        <w:rPr>
          <w:lang w:val="bg-BG"/>
        </w:rPr>
        <w:t xml:space="preserve"> </w:t>
      </w:r>
      <w:r w:rsidRPr="004304BD">
        <w:rPr>
          <w:sz w:val="18"/>
          <w:szCs w:val="18"/>
          <w:lang w:val="bg-BG"/>
        </w:rPr>
        <w:t>Разчети към ЗДБРБ за 2023 г. (</w:t>
      </w:r>
      <w:proofErr w:type="spellStart"/>
      <w:r w:rsidRPr="004304BD">
        <w:rPr>
          <w:sz w:val="18"/>
          <w:szCs w:val="18"/>
          <w:lang w:val="bg-BG"/>
        </w:rPr>
        <w:t>oбн</w:t>
      </w:r>
      <w:proofErr w:type="spellEnd"/>
      <w:r w:rsidRPr="004304BD">
        <w:rPr>
          <w:sz w:val="18"/>
          <w:szCs w:val="18"/>
          <w:lang w:val="bg-BG"/>
        </w:rPr>
        <w:t>., ДВ., бр. 66 от 01.08.2023 г.).</w:t>
      </w:r>
    </w:p>
  </w:footnote>
  <w:footnote w:id="6">
    <w:p w:rsidR="00C65952" w:rsidRPr="00B711F0" w:rsidRDefault="00C65952" w:rsidP="00B711F0">
      <w:pPr>
        <w:pStyle w:val="FootnoteText"/>
        <w:jc w:val="both"/>
        <w:rPr>
          <w:lang w:val="bg-BG"/>
        </w:rPr>
      </w:pPr>
      <w:r w:rsidRPr="00B711F0">
        <w:rPr>
          <w:rStyle w:val="FootnoteReference"/>
          <w:lang w:val="bg-BG"/>
        </w:rPr>
        <w:footnoteRef/>
      </w:r>
      <w:r w:rsidRPr="00B711F0">
        <w:rPr>
          <w:lang w:val="bg-BG"/>
        </w:rPr>
        <w:t xml:space="preserve"> </w:t>
      </w:r>
      <w:r w:rsidRPr="00B711F0">
        <w:rPr>
          <w:rFonts w:eastAsia="Calibri"/>
          <w:sz w:val="18"/>
          <w:lang w:val="bg-BG"/>
        </w:rPr>
        <w:t>При съпоставката със същия период на предходната година следва да се отчете базов ефект при приходите от други данъци от постъпващи от началото на 2023 г. целеви вноски във Фонд "Сигурност на електроенергийната система" (ФСЕС) от производителите и търговците на електрическа енергия, в изпълнение на § 8 от ПЗР на Закона за прилагане на разпоредби на ЗДБРБ за 2022 г., ЗБДОО за 2022 г. и ЗБНЗОК за 2022 г., респективно § 3 от ПЗР на ЗДБРБ за 2023 г., както и от приходи от задължителна временна солидарна вноска за генерираните свръхпечалби, съгласно чл. 14 от Регламент (ЕС) 2022/1854 на Съвета от 6 октомври 2022 г. относно спешна намеса за справяне с високите цени на енергията, които започнаха да постъпват от декември 2022 г</w:t>
      </w:r>
      <w:r w:rsidRPr="00B711F0">
        <w:rPr>
          <w:sz w:val="18"/>
          <w:lang w:val="bg-BG"/>
        </w:rPr>
        <w:t>.</w:t>
      </w:r>
    </w:p>
  </w:footnote>
  <w:footnote w:id="7">
    <w:p w:rsidR="00C65952" w:rsidRPr="00C1149B" w:rsidRDefault="00C65952" w:rsidP="00C1149B">
      <w:pPr>
        <w:pStyle w:val="FootnoteText"/>
        <w:jc w:val="both"/>
        <w:rPr>
          <w:sz w:val="18"/>
          <w:szCs w:val="18"/>
          <w:lang w:val="bg-BG"/>
        </w:rPr>
      </w:pPr>
      <w:r w:rsidRPr="00C1149B">
        <w:rPr>
          <w:rStyle w:val="FootnoteReference"/>
          <w:lang w:val="bg-BG"/>
        </w:rPr>
        <w:footnoteRef/>
      </w:r>
      <w:r w:rsidRPr="00C1149B">
        <w:rPr>
          <w:lang w:val="bg-BG"/>
        </w:rPr>
        <w:t xml:space="preserve"> </w:t>
      </w:r>
      <w:r w:rsidRPr="00C1149B">
        <w:rPr>
          <w:sz w:val="18"/>
          <w:szCs w:val="18"/>
          <w:lang w:val="bg-BG"/>
        </w:rPr>
        <w:t xml:space="preserve">За периода юли – декември 2022 г. в изпълнение на разпоредбата на §24 от ПЗР на ЗДБРБ за 2022 г. в частта на неданъчните приходи по бюджета на ФСЕС постъпиха целеви вноски в размер на 3,2 млрд. лв., с които се финансира изплащането на компенсации към небитовите крайни клиенти на електрическа енергия по §23 от ПЗР на ЗДБРБ за 2022 г. в частта на разходите за субсидии за нефинансови предприятия. Към края на септември 2022 г. постъпленията, респективно разходите, бяха в размер на 2,1 млрд. лв. Поради обстоятелството, че към края на септември 2023 г. няма постъпили целеви вноски, респективно извършени плащания за компенсации, при съпоставката със същия период на предходната година в частта на неданъчните приходи и разходите за субсидии за нефинансови предприятия следва да се отчете базов ефект от действащото законодателство през 2022 г. и 2023 г.  </w:t>
      </w:r>
    </w:p>
  </w:footnote>
  <w:footnote w:id="8">
    <w:p w:rsidR="00C65952" w:rsidRPr="00E74802" w:rsidRDefault="00C65952" w:rsidP="0010424C">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9">
    <w:p w:rsidR="00C65952" w:rsidRPr="006440AB" w:rsidRDefault="00C65952" w:rsidP="00222173">
      <w:pPr>
        <w:pStyle w:val="FootnoteText"/>
        <w:rPr>
          <w:lang w:val="bg-BG"/>
        </w:rPr>
      </w:pPr>
      <w:r w:rsidRPr="006440AB">
        <w:rPr>
          <w:rStyle w:val="FootnoteReference"/>
          <w:lang w:val="bg-BG"/>
        </w:rPr>
        <w:footnoteRef/>
      </w:r>
      <w:r w:rsidRPr="006440AB">
        <w:rPr>
          <w:lang w:val="bg-BG"/>
        </w:rPr>
        <w:t xml:space="preserve"> </w:t>
      </w:r>
      <w:r w:rsidRPr="006440AB">
        <w:rPr>
          <w:sz w:val="18"/>
          <w:szCs w:val="16"/>
          <w:lang w:val="bg-BG"/>
        </w:rPr>
        <w:t>Държавният бюджет включва централен бюджет, бюджетите на НС, съдебната власт, министерствата и ведомствата.</w:t>
      </w:r>
    </w:p>
  </w:footnote>
  <w:footnote w:id="10">
    <w:p w:rsidR="00C65952" w:rsidRPr="006440AB" w:rsidRDefault="00C65952" w:rsidP="000F0BD7">
      <w:pPr>
        <w:pStyle w:val="FootnoteText"/>
        <w:jc w:val="both"/>
        <w:rPr>
          <w:sz w:val="18"/>
          <w:szCs w:val="18"/>
          <w:lang w:val="bg-BG"/>
        </w:rPr>
      </w:pPr>
      <w:r w:rsidRPr="006440AB">
        <w:rPr>
          <w:rStyle w:val="FootnoteReference"/>
          <w:lang w:val="bg-BG"/>
        </w:rPr>
        <w:footnoteRef/>
      </w:r>
      <w:r w:rsidRPr="006440AB">
        <w:rPr>
          <w:sz w:val="18"/>
          <w:szCs w:val="18"/>
          <w:lang w:val="bg-BG"/>
        </w:rPr>
        <w:t xml:space="preserve"> Поради извършено закръгление в млн. лв., някои сумарни позиции в Таблица № 1 и в текста не се изчерпват от съставните им числа.</w:t>
      </w:r>
    </w:p>
  </w:footnote>
  <w:footnote w:id="11">
    <w:p w:rsidR="00C65952" w:rsidRPr="006440AB" w:rsidRDefault="00C65952" w:rsidP="000F0BD7">
      <w:pPr>
        <w:pStyle w:val="FootnoteText"/>
        <w:jc w:val="both"/>
        <w:rPr>
          <w:sz w:val="18"/>
          <w:szCs w:val="18"/>
          <w:lang w:val="bg-BG"/>
        </w:rPr>
      </w:pPr>
      <w:r w:rsidRPr="006440AB">
        <w:rPr>
          <w:rStyle w:val="FootnoteReference"/>
          <w:lang w:val="bg-BG"/>
        </w:rPr>
        <w:footnoteRef/>
      </w:r>
      <w:r w:rsidRPr="006440AB">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2A64D70"/>
    <w:multiLevelType w:val="hybridMultilevel"/>
    <w:tmpl w:val="F85C9BE4"/>
    <w:lvl w:ilvl="0" w:tplc="982A2DA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76429A2"/>
    <w:multiLevelType w:val="hybridMultilevel"/>
    <w:tmpl w:val="E4D08A9A"/>
    <w:lvl w:ilvl="0" w:tplc="0402000D">
      <w:start w:val="1"/>
      <w:numFmt w:val="bullet"/>
      <w:lvlText w:val=""/>
      <w:lvlJc w:val="left"/>
      <w:pPr>
        <w:ind w:left="5676" w:hanging="360"/>
      </w:pPr>
      <w:rPr>
        <w:rFonts w:ascii="Wingdings" w:hAnsi="Wingdings" w:hint="default"/>
      </w:rPr>
    </w:lvl>
    <w:lvl w:ilvl="1" w:tplc="04020003" w:tentative="1">
      <w:start w:val="1"/>
      <w:numFmt w:val="bullet"/>
      <w:lvlText w:val="o"/>
      <w:lvlJc w:val="left"/>
      <w:pPr>
        <w:ind w:left="6396" w:hanging="360"/>
      </w:pPr>
      <w:rPr>
        <w:rFonts w:ascii="Courier New" w:hAnsi="Courier New" w:cs="Courier New" w:hint="default"/>
      </w:rPr>
    </w:lvl>
    <w:lvl w:ilvl="2" w:tplc="04020005" w:tentative="1">
      <w:start w:val="1"/>
      <w:numFmt w:val="bullet"/>
      <w:lvlText w:val=""/>
      <w:lvlJc w:val="left"/>
      <w:pPr>
        <w:ind w:left="7116" w:hanging="360"/>
      </w:pPr>
      <w:rPr>
        <w:rFonts w:ascii="Wingdings" w:hAnsi="Wingdings" w:hint="default"/>
      </w:rPr>
    </w:lvl>
    <w:lvl w:ilvl="3" w:tplc="04020001" w:tentative="1">
      <w:start w:val="1"/>
      <w:numFmt w:val="bullet"/>
      <w:lvlText w:val=""/>
      <w:lvlJc w:val="left"/>
      <w:pPr>
        <w:ind w:left="7836" w:hanging="360"/>
      </w:pPr>
      <w:rPr>
        <w:rFonts w:ascii="Symbol" w:hAnsi="Symbol" w:hint="default"/>
      </w:rPr>
    </w:lvl>
    <w:lvl w:ilvl="4" w:tplc="04020003" w:tentative="1">
      <w:start w:val="1"/>
      <w:numFmt w:val="bullet"/>
      <w:lvlText w:val="o"/>
      <w:lvlJc w:val="left"/>
      <w:pPr>
        <w:ind w:left="8556" w:hanging="360"/>
      </w:pPr>
      <w:rPr>
        <w:rFonts w:ascii="Courier New" w:hAnsi="Courier New" w:cs="Courier New" w:hint="default"/>
      </w:rPr>
    </w:lvl>
    <w:lvl w:ilvl="5" w:tplc="04020005" w:tentative="1">
      <w:start w:val="1"/>
      <w:numFmt w:val="bullet"/>
      <w:lvlText w:val=""/>
      <w:lvlJc w:val="left"/>
      <w:pPr>
        <w:ind w:left="9276" w:hanging="360"/>
      </w:pPr>
      <w:rPr>
        <w:rFonts w:ascii="Wingdings" w:hAnsi="Wingdings" w:hint="default"/>
      </w:rPr>
    </w:lvl>
    <w:lvl w:ilvl="6" w:tplc="04020001" w:tentative="1">
      <w:start w:val="1"/>
      <w:numFmt w:val="bullet"/>
      <w:lvlText w:val=""/>
      <w:lvlJc w:val="left"/>
      <w:pPr>
        <w:ind w:left="9996" w:hanging="360"/>
      </w:pPr>
      <w:rPr>
        <w:rFonts w:ascii="Symbol" w:hAnsi="Symbol" w:hint="default"/>
      </w:rPr>
    </w:lvl>
    <w:lvl w:ilvl="7" w:tplc="04020003" w:tentative="1">
      <w:start w:val="1"/>
      <w:numFmt w:val="bullet"/>
      <w:lvlText w:val="o"/>
      <w:lvlJc w:val="left"/>
      <w:pPr>
        <w:ind w:left="10716" w:hanging="360"/>
      </w:pPr>
      <w:rPr>
        <w:rFonts w:ascii="Courier New" w:hAnsi="Courier New" w:cs="Courier New" w:hint="default"/>
      </w:rPr>
    </w:lvl>
    <w:lvl w:ilvl="8" w:tplc="04020005" w:tentative="1">
      <w:start w:val="1"/>
      <w:numFmt w:val="bullet"/>
      <w:lvlText w:val=""/>
      <w:lvlJc w:val="left"/>
      <w:pPr>
        <w:ind w:left="11436" w:hanging="360"/>
      </w:pPr>
      <w:rPr>
        <w:rFonts w:ascii="Wingdings" w:hAnsi="Wingdings" w:hint="default"/>
      </w:rPr>
    </w:lvl>
  </w:abstractNum>
  <w:abstractNum w:abstractNumId="4" w15:restartNumberingAfterBreak="0">
    <w:nsid w:val="0B2125B4"/>
    <w:multiLevelType w:val="multilevel"/>
    <w:tmpl w:val="7D5224AA"/>
    <w:lvl w:ilvl="0">
      <w:numFmt w:val="bullet"/>
      <w:lvlText w:val="-"/>
      <w:lvlJc w:val="left"/>
      <w:pPr>
        <w:ind w:left="-32767" w:hanging="32486"/>
      </w:pPr>
      <w:rPr>
        <w:rFonts w:ascii="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236CB"/>
    <w:multiLevelType w:val="hybridMultilevel"/>
    <w:tmpl w:val="9C5CF38C"/>
    <w:lvl w:ilvl="0" w:tplc="EF3EE33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2"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5" w15:restartNumberingAfterBreak="0">
    <w:nsid w:val="491C773E"/>
    <w:multiLevelType w:val="hybridMultilevel"/>
    <w:tmpl w:val="95184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14DC7"/>
    <w:multiLevelType w:val="hybridMultilevel"/>
    <w:tmpl w:val="0612223A"/>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3"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37F5E06"/>
    <w:multiLevelType w:val="hybridMultilevel"/>
    <w:tmpl w:val="18803A0C"/>
    <w:lvl w:ilvl="0" w:tplc="F934C166">
      <w:numFmt w:val="bullet"/>
      <w:lvlText w:val="-"/>
      <w:lvlJc w:val="left"/>
      <w:pPr>
        <w:ind w:left="898" w:hanging="360"/>
      </w:pPr>
      <w:rPr>
        <w:rFonts w:ascii="Times New Roman" w:eastAsia="Times New Roman" w:hAnsi="Times New Roman" w:cs="Times New Roman" w:hint="default"/>
      </w:rPr>
    </w:lvl>
    <w:lvl w:ilvl="1" w:tplc="04020003" w:tentative="1">
      <w:start w:val="1"/>
      <w:numFmt w:val="bullet"/>
      <w:lvlText w:val="o"/>
      <w:lvlJc w:val="left"/>
      <w:pPr>
        <w:ind w:left="1618" w:hanging="360"/>
      </w:pPr>
      <w:rPr>
        <w:rFonts w:ascii="Courier New" w:hAnsi="Courier New" w:cs="Courier New" w:hint="default"/>
      </w:rPr>
    </w:lvl>
    <w:lvl w:ilvl="2" w:tplc="04020005" w:tentative="1">
      <w:start w:val="1"/>
      <w:numFmt w:val="bullet"/>
      <w:lvlText w:val=""/>
      <w:lvlJc w:val="left"/>
      <w:pPr>
        <w:ind w:left="2338" w:hanging="360"/>
      </w:pPr>
      <w:rPr>
        <w:rFonts w:ascii="Wingdings" w:hAnsi="Wingdings" w:hint="default"/>
      </w:rPr>
    </w:lvl>
    <w:lvl w:ilvl="3" w:tplc="04020001" w:tentative="1">
      <w:start w:val="1"/>
      <w:numFmt w:val="bullet"/>
      <w:lvlText w:val=""/>
      <w:lvlJc w:val="left"/>
      <w:pPr>
        <w:ind w:left="3058" w:hanging="360"/>
      </w:pPr>
      <w:rPr>
        <w:rFonts w:ascii="Symbol" w:hAnsi="Symbol" w:hint="default"/>
      </w:rPr>
    </w:lvl>
    <w:lvl w:ilvl="4" w:tplc="04020003" w:tentative="1">
      <w:start w:val="1"/>
      <w:numFmt w:val="bullet"/>
      <w:lvlText w:val="o"/>
      <w:lvlJc w:val="left"/>
      <w:pPr>
        <w:ind w:left="3778" w:hanging="360"/>
      </w:pPr>
      <w:rPr>
        <w:rFonts w:ascii="Courier New" w:hAnsi="Courier New" w:cs="Courier New" w:hint="default"/>
      </w:rPr>
    </w:lvl>
    <w:lvl w:ilvl="5" w:tplc="04020005" w:tentative="1">
      <w:start w:val="1"/>
      <w:numFmt w:val="bullet"/>
      <w:lvlText w:val=""/>
      <w:lvlJc w:val="left"/>
      <w:pPr>
        <w:ind w:left="4498" w:hanging="360"/>
      </w:pPr>
      <w:rPr>
        <w:rFonts w:ascii="Wingdings" w:hAnsi="Wingdings" w:hint="default"/>
      </w:rPr>
    </w:lvl>
    <w:lvl w:ilvl="6" w:tplc="04020001" w:tentative="1">
      <w:start w:val="1"/>
      <w:numFmt w:val="bullet"/>
      <w:lvlText w:val=""/>
      <w:lvlJc w:val="left"/>
      <w:pPr>
        <w:ind w:left="5218" w:hanging="360"/>
      </w:pPr>
      <w:rPr>
        <w:rFonts w:ascii="Symbol" w:hAnsi="Symbol" w:hint="default"/>
      </w:rPr>
    </w:lvl>
    <w:lvl w:ilvl="7" w:tplc="04020003" w:tentative="1">
      <w:start w:val="1"/>
      <w:numFmt w:val="bullet"/>
      <w:lvlText w:val="o"/>
      <w:lvlJc w:val="left"/>
      <w:pPr>
        <w:ind w:left="5938" w:hanging="360"/>
      </w:pPr>
      <w:rPr>
        <w:rFonts w:ascii="Courier New" w:hAnsi="Courier New" w:cs="Courier New" w:hint="default"/>
      </w:rPr>
    </w:lvl>
    <w:lvl w:ilvl="8" w:tplc="04020005" w:tentative="1">
      <w:start w:val="1"/>
      <w:numFmt w:val="bullet"/>
      <w:lvlText w:val=""/>
      <w:lvlJc w:val="left"/>
      <w:pPr>
        <w:ind w:left="6658" w:hanging="360"/>
      </w:pPr>
      <w:rPr>
        <w:rFonts w:ascii="Wingdings" w:hAnsi="Wingdings" w:hint="default"/>
      </w:rPr>
    </w:lvl>
  </w:abstractNum>
  <w:abstractNum w:abstractNumId="25"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6"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1"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3"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4"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28"/>
  </w:num>
  <w:num w:numId="4">
    <w:abstractNumId w:val="9"/>
  </w:num>
  <w:num w:numId="5">
    <w:abstractNumId w:val="31"/>
  </w:num>
  <w:num w:numId="6">
    <w:abstractNumId w:val="20"/>
  </w:num>
  <w:num w:numId="7">
    <w:abstractNumId w:val="26"/>
  </w:num>
  <w:num w:numId="8">
    <w:abstractNumId w:val="18"/>
  </w:num>
  <w:num w:numId="9">
    <w:abstractNumId w:val="33"/>
  </w:num>
  <w:num w:numId="10">
    <w:abstractNumId w:val="27"/>
  </w:num>
  <w:num w:numId="11">
    <w:abstractNumId w:val="25"/>
  </w:num>
  <w:num w:numId="12">
    <w:abstractNumId w:val="35"/>
  </w:num>
  <w:num w:numId="13">
    <w:abstractNumId w:val="34"/>
  </w:num>
  <w:num w:numId="14">
    <w:abstractNumId w:val="29"/>
  </w:num>
  <w:num w:numId="15">
    <w:abstractNumId w:val="16"/>
  </w:num>
  <w:num w:numId="16">
    <w:abstractNumId w:val="7"/>
  </w:num>
  <w:num w:numId="17">
    <w:abstractNumId w:val="8"/>
  </w:num>
  <w:num w:numId="18">
    <w:abstractNumId w:val="17"/>
  </w:num>
  <w:num w:numId="19">
    <w:abstractNumId w:val="22"/>
  </w:num>
  <w:num w:numId="20">
    <w:abstractNumId w:val="30"/>
  </w:num>
  <w:num w:numId="21">
    <w:abstractNumId w:val="23"/>
  </w:num>
  <w:num w:numId="22">
    <w:abstractNumId w:val="13"/>
  </w:num>
  <w:num w:numId="23">
    <w:abstractNumId w:val="0"/>
  </w:num>
  <w:num w:numId="24">
    <w:abstractNumId w:val="2"/>
  </w:num>
  <w:num w:numId="25">
    <w:abstractNumId w:val="32"/>
  </w:num>
  <w:num w:numId="26">
    <w:abstractNumId w:val="21"/>
  </w:num>
  <w:num w:numId="27">
    <w:abstractNumId w:val="6"/>
  </w:num>
  <w:num w:numId="28">
    <w:abstractNumId w:val="12"/>
  </w:num>
  <w:num w:numId="29">
    <w:abstractNumId w:val="19"/>
  </w:num>
  <w:num w:numId="30">
    <w:abstractNumId w:val="11"/>
  </w:num>
  <w:num w:numId="31">
    <w:abstractNumId w:val="1"/>
  </w:num>
  <w:num w:numId="32">
    <w:abstractNumId w:val="15"/>
  </w:num>
  <w:num w:numId="33">
    <w:abstractNumId w:val="4"/>
  </w:num>
  <w:num w:numId="34">
    <w:abstractNumId w:val="24"/>
  </w:num>
  <w:num w:numId="35">
    <w:abstractNumId w:val="10"/>
  </w:num>
  <w:num w:numId="36">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EF0"/>
    <w:rsid w:val="00000FE1"/>
    <w:rsid w:val="000010D2"/>
    <w:rsid w:val="00001580"/>
    <w:rsid w:val="000016BE"/>
    <w:rsid w:val="00001ABF"/>
    <w:rsid w:val="00001CF0"/>
    <w:rsid w:val="00002BD7"/>
    <w:rsid w:val="00002D9C"/>
    <w:rsid w:val="00003489"/>
    <w:rsid w:val="00003B52"/>
    <w:rsid w:val="00004264"/>
    <w:rsid w:val="00005544"/>
    <w:rsid w:val="00005A85"/>
    <w:rsid w:val="000063FC"/>
    <w:rsid w:val="000065C6"/>
    <w:rsid w:val="0000691E"/>
    <w:rsid w:val="00006956"/>
    <w:rsid w:val="00006A56"/>
    <w:rsid w:val="00006EBC"/>
    <w:rsid w:val="00007F94"/>
    <w:rsid w:val="000111D3"/>
    <w:rsid w:val="00011383"/>
    <w:rsid w:val="000119C6"/>
    <w:rsid w:val="000122E0"/>
    <w:rsid w:val="00012431"/>
    <w:rsid w:val="00012533"/>
    <w:rsid w:val="000126AC"/>
    <w:rsid w:val="0001276F"/>
    <w:rsid w:val="00012AE6"/>
    <w:rsid w:val="00012C07"/>
    <w:rsid w:val="0001332F"/>
    <w:rsid w:val="0001356B"/>
    <w:rsid w:val="00013677"/>
    <w:rsid w:val="00013B93"/>
    <w:rsid w:val="00013C59"/>
    <w:rsid w:val="000146EA"/>
    <w:rsid w:val="000158A2"/>
    <w:rsid w:val="00015C0F"/>
    <w:rsid w:val="00015D5B"/>
    <w:rsid w:val="0001664B"/>
    <w:rsid w:val="00017412"/>
    <w:rsid w:val="000175C7"/>
    <w:rsid w:val="000178CA"/>
    <w:rsid w:val="00017EA1"/>
    <w:rsid w:val="0002050E"/>
    <w:rsid w:val="000215BD"/>
    <w:rsid w:val="00021A5F"/>
    <w:rsid w:val="000221B7"/>
    <w:rsid w:val="00022856"/>
    <w:rsid w:val="000229E1"/>
    <w:rsid w:val="00022CAC"/>
    <w:rsid w:val="00022D9E"/>
    <w:rsid w:val="00023244"/>
    <w:rsid w:val="0002351F"/>
    <w:rsid w:val="00023BF6"/>
    <w:rsid w:val="00023D31"/>
    <w:rsid w:val="00024065"/>
    <w:rsid w:val="0002444B"/>
    <w:rsid w:val="0002477E"/>
    <w:rsid w:val="0002478B"/>
    <w:rsid w:val="000249B9"/>
    <w:rsid w:val="000252F3"/>
    <w:rsid w:val="000256B4"/>
    <w:rsid w:val="00025953"/>
    <w:rsid w:val="00025F45"/>
    <w:rsid w:val="000262DF"/>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2B7F"/>
    <w:rsid w:val="00033525"/>
    <w:rsid w:val="00033590"/>
    <w:rsid w:val="00033ACB"/>
    <w:rsid w:val="000340ED"/>
    <w:rsid w:val="00034135"/>
    <w:rsid w:val="00034396"/>
    <w:rsid w:val="00034FE3"/>
    <w:rsid w:val="0003586B"/>
    <w:rsid w:val="000359FA"/>
    <w:rsid w:val="0003621F"/>
    <w:rsid w:val="000363A8"/>
    <w:rsid w:val="0003685F"/>
    <w:rsid w:val="000369D6"/>
    <w:rsid w:val="00036A1B"/>
    <w:rsid w:val="00037141"/>
    <w:rsid w:val="000377BC"/>
    <w:rsid w:val="000378DC"/>
    <w:rsid w:val="00040164"/>
    <w:rsid w:val="000406B2"/>
    <w:rsid w:val="0004080C"/>
    <w:rsid w:val="0004098D"/>
    <w:rsid w:val="00040C20"/>
    <w:rsid w:val="000411D9"/>
    <w:rsid w:val="00041338"/>
    <w:rsid w:val="00042634"/>
    <w:rsid w:val="00042853"/>
    <w:rsid w:val="00042C9E"/>
    <w:rsid w:val="00042E57"/>
    <w:rsid w:val="0004338F"/>
    <w:rsid w:val="000436DD"/>
    <w:rsid w:val="000439F5"/>
    <w:rsid w:val="00043AA0"/>
    <w:rsid w:val="00043AB2"/>
    <w:rsid w:val="00043E35"/>
    <w:rsid w:val="00043E3A"/>
    <w:rsid w:val="00044147"/>
    <w:rsid w:val="0004426E"/>
    <w:rsid w:val="00044273"/>
    <w:rsid w:val="0004481C"/>
    <w:rsid w:val="00045116"/>
    <w:rsid w:val="00045688"/>
    <w:rsid w:val="000458F0"/>
    <w:rsid w:val="000465FC"/>
    <w:rsid w:val="0004753C"/>
    <w:rsid w:val="000500CE"/>
    <w:rsid w:val="0005066A"/>
    <w:rsid w:val="00050A1B"/>
    <w:rsid w:val="00051E5E"/>
    <w:rsid w:val="00052449"/>
    <w:rsid w:val="00052485"/>
    <w:rsid w:val="0005284D"/>
    <w:rsid w:val="00052B23"/>
    <w:rsid w:val="00052C5C"/>
    <w:rsid w:val="00053B0F"/>
    <w:rsid w:val="00053C71"/>
    <w:rsid w:val="00053D51"/>
    <w:rsid w:val="00054555"/>
    <w:rsid w:val="000546BF"/>
    <w:rsid w:val="000548B8"/>
    <w:rsid w:val="00054CE2"/>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315"/>
    <w:rsid w:val="00062A61"/>
    <w:rsid w:val="00062A78"/>
    <w:rsid w:val="00063093"/>
    <w:rsid w:val="00063235"/>
    <w:rsid w:val="00063248"/>
    <w:rsid w:val="00063C56"/>
    <w:rsid w:val="00063CF1"/>
    <w:rsid w:val="00063E15"/>
    <w:rsid w:val="000642B9"/>
    <w:rsid w:val="00064472"/>
    <w:rsid w:val="0006477A"/>
    <w:rsid w:val="00064AF3"/>
    <w:rsid w:val="00064C44"/>
    <w:rsid w:val="00064E39"/>
    <w:rsid w:val="00064F71"/>
    <w:rsid w:val="0006584F"/>
    <w:rsid w:val="00065A46"/>
    <w:rsid w:val="00065DF8"/>
    <w:rsid w:val="000663D1"/>
    <w:rsid w:val="000666C0"/>
    <w:rsid w:val="00066EED"/>
    <w:rsid w:val="00067283"/>
    <w:rsid w:val="00067469"/>
    <w:rsid w:val="0006785C"/>
    <w:rsid w:val="0007007C"/>
    <w:rsid w:val="0007047E"/>
    <w:rsid w:val="000709C1"/>
    <w:rsid w:val="00070A97"/>
    <w:rsid w:val="00071C3B"/>
    <w:rsid w:val="00071F12"/>
    <w:rsid w:val="0007251B"/>
    <w:rsid w:val="00072C4F"/>
    <w:rsid w:val="00072D22"/>
    <w:rsid w:val="00073108"/>
    <w:rsid w:val="00073DF5"/>
    <w:rsid w:val="00074744"/>
    <w:rsid w:val="00074B7D"/>
    <w:rsid w:val="000751C1"/>
    <w:rsid w:val="00075256"/>
    <w:rsid w:val="0007526B"/>
    <w:rsid w:val="000756FB"/>
    <w:rsid w:val="000768B3"/>
    <w:rsid w:val="00076B59"/>
    <w:rsid w:val="000801C8"/>
    <w:rsid w:val="00080AB2"/>
    <w:rsid w:val="00080EF5"/>
    <w:rsid w:val="0008155D"/>
    <w:rsid w:val="0008165A"/>
    <w:rsid w:val="000819F9"/>
    <w:rsid w:val="00081AFD"/>
    <w:rsid w:val="00082392"/>
    <w:rsid w:val="00082679"/>
    <w:rsid w:val="000827A4"/>
    <w:rsid w:val="000829EB"/>
    <w:rsid w:val="00082BD9"/>
    <w:rsid w:val="00082F40"/>
    <w:rsid w:val="0008327E"/>
    <w:rsid w:val="000832E5"/>
    <w:rsid w:val="000833A2"/>
    <w:rsid w:val="0008357F"/>
    <w:rsid w:val="000853B1"/>
    <w:rsid w:val="00085704"/>
    <w:rsid w:val="00085734"/>
    <w:rsid w:val="00085B96"/>
    <w:rsid w:val="00085E01"/>
    <w:rsid w:val="00085E1A"/>
    <w:rsid w:val="00086A8E"/>
    <w:rsid w:val="00086FA7"/>
    <w:rsid w:val="00087295"/>
    <w:rsid w:val="0008745A"/>
    <w:rsid w:val="000878C4"/>
    <w:rsid w:val="00087924"/>
    <w:rsid w:val="00087ED6"/>
    <w:rsid w:val="0009002F"/>
    <w:rsid w:val="000900E3"/>
    <w:rsid w:val="000901EA"/>
    <w:rsid w:val="000902B5"/>
    <w:rsid w:val="00090D1D"/>
    <w:rsid w:val="00091196"/>
    <w:rsid w:val="00091BCE"/>
    <w:rsid w:val="000931C8"/>
    <w:rsid w:val="000937AB"/>
    <w:rsid w:val="000937E0"/>
    <w:rsid w:val="00093CFC"/>
    <w:rsid w:val="00093F6F"/>
    <w:rsid w:val="000943E4"/>
    <w:rsid w:val="000949D3"/>
    <w:rsid w:val="00094A6C"/>
    <w:rsid w:val="00094A78"/>
    <w:rsid w:val="00095164"/>
    <w:rsid w:val="0009519B"/>
    <w:rsid w:val="000959DC"/>
    <w:rsid w:val="00095EF0"/>
    <w:rsid w:val="0009743A"/>
    <w:rsid w:val="00097C52"/>
    <w:rsid w:val="000A052A"/>
    <w:rsid w:val="000A09BA"/>
    <w:rsid w:val="000A10E1"/>
    <w:rsid w:val="000A301B"/>
    <w:rsid w:val="000A3426"/>
    <w:rsid w:val="000A3F57"/>
    <w:rsid w:val="000A4432"/>
    <w:rsid w:val="000A5B32"/>
    <w:rsid w:val="000A6E4D"/>
    <w:rsid w:val="000A7446"/>
    <w:rsid w:val="000A7841"/>
    <w:rsid w:val="000B0616"/>
    <w:rsid w:val="000B0815"/>
    <w:rsid w:val="000B09E5"/>
    <w:rsid w:val="000B0BED"/>
    <w:rsid w:val="000B0CE6"/>
    <w:rsid w:val="000B11FB"/>
    <w:rsid w:val="000B175F"/>
    <w:rsid w:val="000B1A24"/>
    <w:rsid w:val="000B1E59"/>
    <w:rsid w:val="000B25CC"/>
    <w:rsid w:val="000B2CBE"/>
    <w:rsid w:val="000B330C"/>
    <w:rsid w:val="000B460F"/>
    <w:rsid w:val="000B474D"/>
    <w:rsid w:val="000B49EE"/>
    <w:rsid w:val="000B5123"/>
    <w:rsid w:val="000B52FA"/>
    <w:rsid w:val="000B5F1E"/>
    <w:rsid w:val="000B62C7"/>
    <w:rsid w:val="000B64BA"/>
    <w:rsid w:val="000B67EA"/>
    <w:rsid w:val="000B6D3A"/>
    <w:rsid w:val="000B7234"/>
    <w:rsid w:val="000B7447"/>
    <w:rsid w:val="000B75C1"/>
    <w:rsid w:val="000B7C4F"/>
    <w:rsid w:val="000B7E66"/>
    <w:rsid w:val="000C019B"/>
    <w:rsid w:val="000C06FE"/>
    <w:rsid w:val="000C0A44"/>
    <w:rsid w:val="000C0FA1"/>
    <w:rsid w:val="000C13A5"/>
    <w:rsid w:val="000C244E"/>
    <w:rsid w:val="000C2FAC"/>
    <w:rsid w:val="000C3451"/>
    <w:rsid w:val="000C3D73"/>
    <w:rsid w:val="000C4760"/>
    <w:rsid w:val="000C4CBB"/>
    <w:rsid w:val="000C56B9"/>
    <w:rsid w:val="000C5ACF"/>
    <w:rsid w:val="000C5C6D"/>
    <w:rsid w:val="000C6079"/>
    <w:rsid w:val="000C6742"/>
    <w:rsid w:val="000C69AE"/>
    <w:rsid w:val="000C6CB5"/>
    <w:rsid w:val="000C6CF3"/>
    <w:rsid w:val="000C6EFE"/>
    <w:rsid w:val="000C72DC"/>
    <w:rsid w:val="000C7303"/>
    <w:rsid w:val="000C736E"/>
    <w:rsid w:val="000C75A5"/>
    <w:rsid w:val="000C75DD"/>
    <w:rsid w:val="000C773E"/>
    <w:rsid w:val="000C7BB6"/>
    <w:rsid w:val="000D01A6"/>
    <w:rsid w:val="000D0538"/>
    <w:rsid w:val="000D06A6"/>
    <w:rsid w:val="000D0AB1"/>
    <w:rsid w:val="000D0EA5"/>
    <w:rsid w:val="000D13E1"/>
    <w:rsid w:val="000D23F8"/>
    <w:rsid w:val="000D2516"/>
    <w:rsid w:val="000D26D5"/>
    <w:rsid w:val="000D2B33"/>
    <w:rsid w:val="000D2BE7"/>
    <w:rsid w:val="000D3407"/>
    <w:rsid w:val="000D3942"/>
    <w:rsid w:val="000D3FA7"/>
    <w:rsid w:val="000D4203"/>
    <w:rsid w:val="000D46FD"/>
    <w:rsid w:val="000D46FF"/>
    <w:rsid w:val="000D49F5"/>
    <w:rsid w:val="000D4BEB"/>
    <w:rsid w:val="000D4CF8"/>
    <w:rsid w:val="000D5449"/>
    <w:rsid w:val="000D5722"/>
    <w:rsid w:val="000D5EE2"/>
    <w:rsid w:val="000D6D92"/>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2BF2"/>
    <w:rsid w:val="000E39DF"/>
    <w:rsid w:val="000E3BA7"/>
    <w:rsid w:val="000E3CDC"/>
    <w:rsid w:val="000E4599"/>
    <w:rsid w:val="000E4CFE"/>
    <w:rsid w:val="000E4EB4"/>
    <w:rsid w:val="000E5205"/>
    <w:rsid w:val="000E5295"/>
    <w:rsid w:val="000E5483"/>
    <w:rsid w:val="000E5EE9"/>
    <w:rsid w:val="000E632B"/>
    <w:rsid w:val="000E6968"/>
    <w:rsid w:val="000E69D1"/>
    <w:rsid w:val="000E76B3"/>
    <w:rsid w:val="000E773D"/>
    <w:rsid w:val="000F04F4"/>
    <w:rsid w:val="000F0BD7"/>
    <w:rsid w:val="000F1488"/>
    <w:rsid w:val="000F1EB1"/>
    <w:rsid w:val="000F26DE"/>
    <w:rsid w:val="000F32E9"/>
    <w:rsid w:val="000F3534"/>
    <w:rsid w:val="000F3A6E"/>
    <w:rsid w:val="000F3EA1"/>
    <w:rsid w:val="000F4571"/>
    <w:rsid w:val="000F47A8"/>
    <w:rsid w:val="000F4AE4"/>
    <w:rsid w:val="000F4DCA"/>
    <w:rsid w:val="000F5080"/>
    <w:rsid w:val="000F57CC"/>
    <w:rsid w:val="000F5EC6"/>
    <w:rsid w:val="000F5EF4"/>
    <w:rsid w:val="000F5F76"/>
    <w:rsid w:val="000F68AF"/>
    <w:rsid w:val="000F6975"/>
    <w:rsid w:val="000F6B35"/>
    <w:rsid w:val="0010026D"/>
    <w:rsid w:val="0010055E"/>
    <w:rsid w:val="001006E1"/>
    <w:rsid w:val="00100931"/>
    <w:rsid w:val="00100CE5"/>
    <w:rsid w:val="00100D97"/>
    <w:rsid w:val="001011A4"/>
    <w:rsid w:val="00101301"/>
    <w:rsid w:val="001017B7"/>
    <w:rsid w:val="00101B1C"/>
    <w:rsid w:val="00101D61"/>
    <w:rsid w:val="0010212B"/>
    <w:rsid w:val="00102523"/>
    <w:rsid w:val="0010261A"/>
    <w:rsid w:val="00102869"/>
    <w:rsid w:val="001028F7"/>
    <w:rsid w:val="00102BA6"/>
    <w:rsid w:val="0010358B"/>
    <w:rsid w:val="00103BC3"/>
    <w:rsid w:val="0010424C"/>
    <w:rsid w:val="00104331"/>
    <w:rsid w:val="001046B0"/>
    <w:rsid w:val="00104BB5"/>
    <w:rsid w:val="00104ED0"/>
    <w:rsid w:val="0010539A"/>
    <w:rsid w:val="001053A6"/>
    <w:rsid w:val="00106009"/>
    <w:rsid w:val="00106081"/>
    <w:rsid w:val="0010649F"/>
    <w:rsid w:val="0010683E"/>
    <w:rsid w:val="00106E64"/>
    <w:rsid w:val="00107065"/>
    <w:rsid w:val="00107258"/>
    <w:rsid w:val="0010743D"/>
    <w:rsid w:val="00107498"/>
    <w:rsid w:val="001077FA"/>
    <w:rsid w:val="00107C9F"/>
    <w:rsid w:val="00107F93"/>
    <w:rsid w:val="00110E74"/>
    <w:rsid w:val="0011244D"/>
    <w:rsid w:val="00112882"/>
    <w:rsid w:val="00112CAC"/>
    <w:rsid w:val="00112E96"/>
    <w:rsid w:val="00113FD8"/>
    <w:rsid w:val="00114D25"/>
    <w:rsid w:val="00114D27"/>
    <w:rsid w:val="00114DE5"/>
    <w:rsid w:val="00116AF1"/>
    <w:rsid w:val="00116D77"/>
    <w:rsid w:val="001173BA"/>
    <w:rsid w:val="001179C1"/>
    <w:rsid w:val="00117A49"/>
    <w:rsid w:val="00117C68"/>
    <w:rsid w:val="00117CA6"/>
    <w:rsid w:val="001202E6"/>
    <w:rsid w:val="00120BC1"/>
    <w:rsid w:val="00120CC7"/>
    <w:rsid w:val="00120DB2"/>
    <w:rsid w:val="00121946"/>
    <w:rsid w:val="00122BBB"/>
    <w:rsid w:val="00122F3A"/>
    <w:rsid w:val="00122FCA"/>
    <w:rsid w:val="00123862"/>
    <w:rsid w:val="00123B59"/>
    <w:rsid w:val="00123CED"/>
    <w:rsid w:val="00123E2A"/>
    <w:rsid w:val="00124548"/>
    <w:rsid w:val="00124777"/>
    <w:rsid w:val="00124FAC"/>
    <w:rsid w:val="00124FB9"/>
    <w:rsid w:val="00125B7A"/>
    <w:rsid w:val="001260AA"/>
    <w:rsid w:val="001264C3"/>
    <w:rsid w:val="00126707"/>
    <w:rsid w:val="00126805"/>
    <w:rsid w:val="001269AE"/>
    <w:rsid w:val="00127D25"/>
    <w:rsid w:val="001301B6"/>
    <w:rsid w:val="001305A6"/>
    <w:rsid w:val="00131B05"/>
    <w:rsid w:val="00132423"/>
    <w:rsid w:val="00132AD1"/>
    <w:rsid w:val="00132CE0"/>
    <w:rsid w:val="00133013"/>
    <w:rsid w:val="00133033"/>
    <w:rsid w:val="0013308F"/>
    <w:rsid w:val="00133183"/>
    <w:rsid w:val="00133478"/>
    <w:rsid w:val="00133644"/>
    <w:rsid w:val="001342F2"/>
    <w:rsid w:val="0013522E"/>
    <w:rsid w:val="0013588C"/>
    <w:rsid w:val="00135A23"/>
    <w:rsid w:val="00135E92"/>
    <w:rsid w:val="00136893"/>
    <w:rsid w:val="00136C08"/>
    <w:rsid w:val="00136DA4"/>
    <w:rsid w:val="001371FA"/>
    <w:rsid w:val="0013776C"/>
    <w:rsid w:val="001400F3"/>
    <w:rsid w:val="00140F18"/>
    <w:rsid w:val="00140F61"/>
    <w:rsid w:val="0014108F"/>
    <w:rsid w:val="00141B03"/>
    <w:rsid w:val="001423F5"/>
    <w:rsid w:val="00142979"/>
    <w:rsid w:val="00142ABD"/>
    <w:rsid w:val="00142EDB"/>
    <w:rsid w:val="00143002"/>
    <w:rsid w:val="001434EA"/>
    <w:rsid w:val="00143814"/>
    <w:rsid w:val="001445AC"/>
    <w:rsid w:val="00144B67"/>
    <w:rsid w:val="00144BF2"/>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672"/>
    <w:rsid w:val="001528EE"/>
    <w:rsid w:val="00152B9C"/>
    <w:rsid w:val="00153077"/>
    <w:rsid w:val="001535F3"/>
    <w:rsid w:val="00153CA6"/>
    <w:rsid w:val="00153DF3"/>
    <w:rsid w:val="00154247"/>
    <w:rsid w:val="001543D7"/>
    <w:rsid w:val="00154B29"/>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F90"/>
    <w:rsid w:val="001623A2"/>
    <w:rsid w:val="00162F68"/>
    <w:rsid w:val="00163645"/>
    <w:rsid w:val="00164220"/>
    <w:rsid w:val="001643F8"/>
    <w:rsid w:val="00164961"/>
    <w:rsid w:val="00164FAD"/>
    <w:rsid w:val="0016560A"/>
    <w:rsid w:val="00165DB5"/>
    <w:rsid w:val="00165FF0"/>
    <w:rsid w:val="00166023"/>
    <w:rsid w:val="001663F9"/>
    <w:rsid w:val="001668BD"/>
    <w:rsid w:val="001671E2"/>
    <w:rsid w:val="0017086C"/>
    <w:rsid w:val="00170EFE"/>
    <w:rsid w:val="00171333"/>
    <w:rsid w:val="00171F8E"/>
    <w:rsid w:val="0017216E"/>
    <w:rsid w:val="001721EA"/>
    <w:rsid w:val="0017293F"/>
    <w:rsid w:val="00172AEE"/>
    <w:rsid w:val="00173987"/>
    <w:rsid w:val="00173C2D"/>
    <w:rsid w:val="00174441"/>
    <w:rsid w:val="0017483F"/>
    <w:rsid w:val="00174C24"/>
    <w:rsid w:val="0017545F"/>
    <w:rsid w:val="00175494"/>
    <w:rsid w:val="00175539"/>
    <w:rsid w:val="00175890"/>
    <w:rsid w:val="00175E50"/>
    <w:rsid w:val="00176340"/>
    <w:rsid w:val="00176403"/>
    <w:rsid w:val="00176AE7"/>
    <w:rsid w:val="00176CB6"/>
    <w:rsid w:val="00176E98"/>
    <w:rsid w:val="00177307"/>
    <w:rsid w:val="00180811"/>
    <w:rsid w:val="001808E6"/>
    <w:rsid w:val="00180AEF"/>
    <w:rsid w:val="0018154E"/>
    <w:rsid w:val="00181857"/>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091"/>
    <w:rsid w:val="00184502"/>
    <w:rsid w:val="0018452B"/>
    <w:rsid w:val="001845D5"/>
    <w:rsid w:val="001846D1"/>
    <w:rsid w:val="00184DF2"/>
    <w:rsid w:val="001850C5"/>
    <w:rsid w:val="0018526D"/>
    <w:rsid w:val="001858CD"/>
    <w:rsid w:val="00185A12"/>
    <w:rsid w:val="00185BF6"/>
    <w:rsid w:val="00185D08"/>
    <w:rsid w:val="00186536"/>
    <w:rsid w:val="001869BB"/>
    <w:rsid w:val="00186C81"/>
    <w:rsid w:val="00186DF9"/>
    <w:rsid w:val="00187AC9"/>
    <w:rsid w:val="00187C31"/>
    <w:rsid w:val="00190983"/>
    <w:rsid w:val="0019151C"/>
    <w:rsid w:val="00191AA6"/>
    <w:rsid w:val="00191AB6"/>
    <w:rsid w:val="00191B55"/>
    <w:rsid w:val="00191EC8"/>
    <w:rsid w:val="00191F79"/>
    <w:rsid w:val="0019213B"/>
    <w:rsid w:val="0019232E"/>
    <w:rsid w:val="0019239F"/>
    <w:rsid w:val="001924F6"/>
    <w:rsid w:val="00192CDB"/>
    <w:rsid w:val="00192F6E"/>
    <w:rsid w:val="00193D9B"/>
    <w:rsid w:val="00193F20"/>
    <w:rsid w:val="0019413C"/>
    <w:rsid w:val="001941E4"/>
    <w:rsid w:val="00194AF7"/>
    <w:rsid w:val="00194C1F"/>
    <w:rsid w:val="001953AC"/>
    <w:rsid w:val="00195517"/>
    <w:rsid w:val="00195B15"/>
    <w:rsid w:val="00195BE8"/>
    <w:rsid w:val="00195CF2"/>
    <w:rsid w:val="00195E11"/>
    <w:rsid w:val="00195F99"/>
    <w:rsid w:val="00195FB3"/>
    <w:rsid w:val="001965AA"/>
    <w:rsid w:val="0019667B"/>
    <w:rsid w:val="001968E4"/>
    <w:rsid w:val="001971AE"/>
    <w:rsid w:val="00197278"/>
    <w:rsid w:val="00197392"/>
    <w:rsid w:val="00197764"/>
    <w:rsid w:val="00197EC3"/>
    <w:rsid w:val="00197FB1"/>
    <w:rsid w:val="001A0601"/>
    <w:rsid w:val="001A0BB0"/>
    <w:rsid w:val="001A1837"/>
    <w:rsid w:val="001A1C51"/>
    <w:rsid w:val="001A236F"/>
    <w:rsid w:val="001A28BA"/>
    <w:rsid w:val="001A3051"/>
    <w:rsid w:val="001A3387"/>
    <w:rsid w:val="001A4493"/>
    <w:rsid w:val="001A4589"/>
    <w:rsid w:val="001A5350"/>
    <w:rsid w:val="001A5398"/>
    <w:rsid w:val="001A5553"/>
    <w:rsid w:val="001A59AF"/>
    <w:rsid w:val="001A6777"/>
    <w:rsid w:val="001A6D21"/>
    <w:rsid w:val="001A718A"/>
    <w:rsid w:val="001A718F"/>
    <w:rsid w:val="001A75B9"/>
    <w:rsid w:val="001A7DC2"/>
    <w:rsid w:val="001B09A8"/>
    <w:rsid w:val="001B0A90"/>
    <w:rsid w:val="001B18C3"/>
    <w:rsid w:val="001B1C70"/>
    <w:rsid w:val="001B20E4"/>
    <w:rsid w:val="001B2D1F"/>
    <w:rsid w:val="001B2FCD"/>
    <w:rsid w:val="001B3285"/>
    <w:rsid w:val="001B370A"/>
    <w:rsid w:val="001B39DD"/>
    <w:rsid w:val="001B3BA9"/>
    <w:rsid w:val="001B3E1C"/>
    <w:rsid w:val="001B4165"/>
    <w:rsid w:val="001B427B"/>
    <w:rsid w:val="001B44DB"/>
    <w:rsid w:val="001B4640"/>
    <w:rsid w:val="001B5EA6"/>
    <w:rsid w:val="001B72FB"/>
    <w:rsid w:val="001C0277"/>
    <w:rsid w:val="001C0F05"/>
    <w:rsid w:val="001C110F"/>
    <w:rsid w:val="001C129D"/>
    <w:rsid w:val="001C15B0"/>
    <w:rsid w:val="001C1A52"/>
    <w:rsid w:val="001C239A"/>
    <w:rsid w:val="001C2EE5"/>
    <w:rsid w:val="001C395A"/>
    <w:rsid w:val="001C3A25"/>
    <w:rsid w:val="001C486C"/>
    <w:rsid w:val="001C4B35"/>
    <w:rsid w:val="001C4CCF"/>
    <w:rsid w:val="001C501A"/>
    <w:rsid w:val="001C5CC2"/>
    <w:rsid w:val="001C61DB"/>
    <w:rsid w:val="001C6573"/>
    <w:rsid w:val="001C6BA6"/>
    <w:rsid w:val="001C726D"/>
    <w:rsid w:val="001C78CA"/>
    <w:rsid w:val="001D01FB"/>
    <w:rsid w:val="001D0221"/>
    <w:rsid w:val="001D03BA"/>
    <w:rsid w:val="001D13AD"/>
    <w:rsid w:val="001D15E5"/>
    <w:rsid w:val="001D2381"/>
    <w:rsid w:val="001D29EA"/>
    <w:rsid w:val="001D2AFB"/>
    <w:rsid w:val="001D2CE9"/>
    <w:rsid w:val="001D34AF"/>
    <w:rsid w:val="001D3E63"/>
    <w:rsid w:val="001D40DA"/>
    <w:rsid w:val="001D419F"/>
    <w:rsid w:val="001D43D0"/>
    <w:rsid w:val="001D516B"/>
    <w:rsid w:val="001D5A4E"/>
    <w:rsid w:val="001D5D9A"/>
    <w:rsid w:val="001D6081"/>
    <w:rsid w:val="001D6B29"/>
    <w:rsid w:val="001D6F2E"/>
    <w:rsid w:val="001D71BC"/>
    <w:rsid w:val="001D7346"/>
    <w:rsid w:val="001D755A"/>
    <w:rsid w:val="001E0367"/>
    <w:rsid w:val="001E094C"/>
    <w:rsid w:val="001E0FF6"/>
    <w:rsid w:val="001E11E2"/>
    <w:rsid w:val="001E11F6"/>
    <w:rsid w:val="001E1857"/>
    <w:rsid w:val="001E2231"/>
    <w:rsid w:val="001E27FB"/>
    <w:rsid w:val="001E2B1A"/>
    <w:rsid w:val="001E2FB8"/>
    <w:rsid w:val="001E3485"/>
    <w:rsid w:val="001E373E"/>
    <w:rsid w:val="001E3753"/>
    <w:rsid w:val="001E383E"/>
    <w:rsid w:val="001E4011"/>
    <w:rsid w:val="001E4060"/>
    <w:rsid w:val="001E4456"/>
    <w:rsid w:val="001E44C8"/>
    <w:rsid w:val="001E4518"/>
    <w:rsid w:val="001E467A"/>
    <w:rsid w:val="001E4E88"/>
    <w:rsid w:val="001E4FFF"/>
    <w:rsid w:val="001E5747"/>
    <w:rsid w:val="001E5BEE"/>
    <w:rsid w:val="001E619D"/>
    <w:rsid w:val="001E6889"/>
    <w:rsid w:val="001E68EE"/>
    <w:rsid w:val="001E751C"/>
    <w:rsid w:val="001E77C4"/>
    <w:rsid w:val="001E7EA4"/>
    <w:rsid w:val="001F00B7"/>
    <w:rsid w:val="001F1092"/>
    <w:rsid w:val="001F18AA"/>
    <w:rsid w:val="001F1E88"/>
    <w:rsid w:val="001F200A"/>
    <w:rsid w:val="001F2337"/>
    <w:rsid w:val="001F2FB5"/>
    <w:rsid w:val="001F367C"/>
    <w:rsid w:val="001F4EB9"/>
    <w:rsid w:val="001F4FD4"/>
    <w:rsid w:val="001F4FDB"/>
    <w:rsid w:val="001F540A"/>
    <w:rsid w:val="001F58AB"/>
    <w:rsid w:val="001F5D2F"/>
    <w:rsid w:val="001F5E20"/>
    <w:rsid w:val="001F5FA3"/>
    <w:rsid w:val="001F60AC"/>
    <w:rsid w:val="001F6E1E"/>
    <w:rsid w:val="001F6F0C"/>
    <w:rsid w:val="001F73E9"/>
    <w:rsid w:val="001F74B9"/>
    <w:rsid w:val="001F7F82"/>
    <w:rsid w:val="002002AA"/>
    <w:rsid w:val="002003C3"/>
    <w:rsid w:val="00200D50"/>
    <w:rsid w:val="002019D1"/>
    <w:rsid w:val="00201E8F"/>
    <w:rsid w:val="002023B3"/>
    <w:rsid w:val="00202CDB"/>
    <w:rsid w:val="00203052"/>
    <w:rsid w:val="0020342F"/>
    <w:rsid w:val="002034CC"/>
    <w:rsid w:val="00204381"/>
    <w:rsid w:val="002045FE"/>
    <w:rsid w:val="00204779"/>
    <w:rsid w:val="00204799"/>
    <w:rsid w:val="00204B8D"/>
    <w:rsid w:val="00204EBE"/>
    <w:rsid w:val="002051EA"/>
    <w:rsid w:val="00205B05"/>
    <w:rsid w:val="002060C2"/>
    <w:rsid w:val="00206D91"/>
    <w:rsid w:val="00207674"/>
    <w:rsid w:val="002076D5"/>
    <w:rsid w:val="00207C9E"/>
    <w:rsid w:val="002111F3"/>
    <w:rsid w:val="002117F4"/>
    <w:rsid w:val="002118E8"/>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2CBD"/>
    <w:rsid w:val="00223892"/>
    <w:rsid w:val="00223940"/>
    <w:rsid w:val="00223F09"/>
    <w:rsid w:val="002245C8"/>
    <w:rsid w:val="0022465E"/>
    <w:rsid w:val="00224A58"/>
    <w:rsid w:val="00225164"/>
    <w:rsid w:val="00225168"/>
    <w:rsid w:val="0023041D"/>
    <w:rsid w:val="00231057"/>
    <w:rsid w:val="00231363"/>
    <w:rsid w:val="00231385"/>
    <w:rsid w:val="002316E9"/>
    <w:rsid w:val="0023269D"/>
    <w:rsid w:val="002326C1"/>
    <w:rsid w:val="00232A8A"/>
    <w:rsid w:val="00233032"/>
    <w:rsid w:val="002332F7"/>
    <w:rsid w:val="00233986"/>
    <w:rsid w:val="00233D50"/>
    <w:rsid w:val="00234372"/>
    <w:rsid w:val="002346A5"/>
    <w:rsid w:val="002346FD"/>
    <w:rsid w:val="00234798"/>
    <w:rsid w:val="00236146"/>
    <w:rsid w:val="00240C3D"/>
    <w:rsid w:val="00240D9B"/>
    <w:rsid w:val="002413A5"/>
    <w:rsid w:val="00241466"/>
    <w:rsid w:val="00241F56"/>
    <w:rsid w:val="002421FC"/>
    <w:rsid w:val="00242676"/>
    <w:rsid w:val="002433B0"/>
    <w:rsid w:val="00243641"/>
    <w:rsid w:val="00243BE3"/>
    <w:rsid w:val="0024415B"/>
    <w:rsid w:val="00244642"/>
    <w:rsid w:val="00244D15"/>
    <w:rsid w:val="00244E1B"/>
    <w:rsid w:val="00245445"/>
    <w:rsid w:val="00245474"/>
    <w:rsid w:val="002462FC"/>
    <w:rsid w:val="00246417"/>
    <w:rsid w:val="00246916"/>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2F17"/>
    <w:rsid w:val="00253194"/>
    <w:rsid w:val="0025359A"/>
    <w:rsid w:val="002539F9"/>
    <w:rsid w:val="00253D47"/>
    <w:rsid w:val="002545AB"/>
    <w:rsid w:val="00254667"/>
    <w:rsid w:val="0025469B"/>
    <w:rsid w:val="00254BBE"/>
    <w:rsid w:val="00254DAC"/>
    <w:rsid w:val="00254F00"/>
    <w:rsid w:val="00255101"/>
    <w:rsid w:val="002553EF"/>
    <w:rsid w:val="0025556C"/>
    <w:rsid w:val="002555A1"/>
    <w:rsid w:val="002557F9"/>
    <w:rsid w:val="002559EF"/>
    <w:rsid w:val="0025637F"/>
    <w:rsid w:val="002567D3"/>
    <w:rsid w:val="00256C8E"/>
    <w:rsid w:val="00256E58"/>
    <w:rsid w:val="002572C6"/>
    <w:rsid w:val="00257669"/>
    <w:rsid w:val="00257837"/>
    <w:rsid w:val="00257A26"/>
    <w:rsid w:val="00257C58"/>
    <w:rsid w:val="002605A7"/>
    <w:rsid w:val="00260847"/>
    <w:rsid w:val="00261653"/>
    <w:rsid w:val="0026189C"/>
    <w:rsid w:val="002622CC"/>
    <w:rsid w:val="00262391"/>
    <w:rsid w:val="0026368D"/>
    <w:rsid w:val="00263A27"/>
    <w:rsid w:val="0026424C"/>
    <w:rsid w:val="002642FC"/>
    <w:rsid w:val="0026495C"/>
    <w:rsid w:val="0026544D"/>
    <w:rsid w:val="00265FB5"/>
    <w:rsid w:val="00266AF5"/>
    <w:rsid w:val="00266D04"/>
    <w:rsid w:val="002672C4"/>
    <w:rsid w:val="002674FC"/>
    <w:rsid w:val="00267867"/>
    <w:rsid w:val="002701ED"/>
    <w:rsid w:val="0027076E"/>
    <w:rsid w:val="00270FD8"/>
    <w:rsid w:val="002715E5"/>
    <w:rsid w:val="00271642"/>
    <w:rsid w:val="00271A30"/>
    <w:rsid w:val="00271AF4"/>
    <w:rsid w:val="00272747"/>
    <w:rsid w:val="00272812"/>
    <w:rsid w:val="00273557"/>
    <w:rsid w:val="00273AF1"/>
    <w:rsid w:val="00273EB1"/>
    <w:rsid w:val="002742C4"/>
    <w:rsid w:val="002744A6"/>
    <w:rsid w:val="002745D1"/>
    <w:rsid w:val="0027478C"/>
    <w:rsid w:val="002747FE"/>
    <w:rsid w:val="002749F4"/>
    <w:rsid w:val="00274CEA"/>
    <w:rsid w:val="00275441"/>
    <w:rsid w:val="00275BE1"/>
    <w:rsid w:val="002763DB"/>
    <w:rsid w:val="00276E87"/>
    <w:rsid w:val="00277842"/>
    <w:rsid w:val="00277E99"/>
    <w:rsid w:val="00280101"/>
    <w:rsid w:val="00280569"/>
    <w:rsid w:val="0028159B"/>
    <w:rsid w:val="002822BC"/>
    <w:rsid w:val="00282934"/>
    <w:rsid w:val="00283343"/>
    <w:rsid w:val="00283475"/>
    <w:rsid w:val="0028376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6C29"/>
    <w:rsid w:val="00287643"/>
    <w:rsid w:val="00287F6C"/>
    <w:rsid w:val="002900F3"/>
    <w:rsid w:val="00290163"/>
    <w:rsid w:val="002907AE"/>
    <w:rsid w:val="002907DC"/>
    <w:rsid w:val="00290876"/>
    <w:rsid w:val="00290C55"/>
    <w:rsid w:val="00290EE6"/>
    <w:rsid w:val="00291FA2"/>
    <w:rsid w:val="0029281E"/>
    <w:rsid w:val="00292884"/>
    <w:rsid w:val="00292971"/>
    <w:rsid w:val="00292EC1"/>
    <w:rsid w:val="00293051"/>
    <w:rsid w:val="00293385"/>
    <w:rsid w:val="0029338A"/>
    <w:rsid w:val="002939EB"/>
    <w:rsid w:val="00293D1E"/>
    <w:rsid w:val="00294726"/>
    <w:rsid w:val="0029481A"/>
    <w:rsid w:val="00294B02"/>
    <w:rsid w:val="00294C99"/>
    <w:rsid w:val="00294D83"/>
    <w:rsid w:val="00295917"/>
    <w:rsid w:val="0029593D"/>
    <w:rsid w:val="00295C97"/>
    <w:rsid w:val="002961BB"/>
    <w:rsid w:val="002968B1"/>
    <w:rsid w:val="002968FE"/>
    <w:rsid w:val="00296AE1"/>
    <w:rsid w:val="00296F46"/>
    <w:rsid w:val="0029717D"/>
    <w:rsid w:val="00297C07"/>
    <w:rsid w:val="002A1277"/>
    <w:rsid w:val="002A1772"/>
    <w:rsid w:val="002A204B"/>
    <w:rsid w:val="002A2161"/>
    <w:rsid w:val="002A29F2"/>
    <w:rsid w:val="002A3BD8"/>
    <w:rsid w:val="002A3C2E"/>
    <w:rsid w:val="002A4706"/>
    <w:rsid w:val="002A4845"/>
    <w:rsid w:val="002A4F45"/>
    <w:rsid w:val="002A50A9"/>
    <w:rsid w:val="002A5F57"/>
    <w:rsid w:val="002A6CBF"/>
    <w:rsid w:val="002A6D63"/>
    <w:rsid w:val="002A7048"/>
    <w:rsid w:val="002A70B7"/>
    <w:rsid w:val="002A748F"/>
    <w:rsid w:val="002B0238"/>
    <w:rsid w:val="002B02E8"/>
    <w:rsid w:val="002B0384"/>
    <w:rsid w:val="002B1377"/>
    <w:rsid w:val="002B14CD"/>
    <w:rsid w:val="002B2304"/>
    <w:rsid w:val="002B25B2"/>
    <w:rsid w:val="002B25DE"/>
    <w:rsid w:val="002B2668"/>
    <w:rsid w:val="002B2B8E"/>
    <w:rsid w:val="002B2EF8"/>
    <w:rsid w:val="002B323C"/>
    <w:rsid w:val="002B3244"/>
    <w:rsid w:val="002B3E0D"/>
    <w:rsid w:val="002B3E89"/>
    <w:rsid w:val="002B484C"/>
    <w:rsid w:val="002B4D3E"/>
    <w:rsid w:val="002B5227"/>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2D9"/>
    <w:rsid w:val="002C18B7"/>
    <w:rsid w:val="002C1B26"/>
    <w:rsid w:val="002C1F28"/>
    <w:rsid w:val="002C23BF"/>
    <w:rsid w:val="002C24D7"/>
    <w:rsid w:val="002C286D"/>
    <w:rsid w:val="002C2CAC"/>
    <w:rsid w:val="002C2F4E"/>
    <w:rsid w:val="002C30BA"/>
    <w:rsid w:val="002C33B7"/>
    <w:rsid w:val="002C3578"/>
    <w:rsid w:val="002C3AD2"/>
    <w:rsid w:val="002C3ED6"/>
    <w:rsid w:val="002C418B"/>
    <w:rsid w:val="002C4201"/>
    <w:rsid w:val="002C468E"/>
    <w:rsid w:val="002C4D33"/>
    <w:rsid w:val="002C522A"/>
    <w:rsid w:val="002C6075"/>
    <w:rsid w:val="002C64F3"/>
    <w:rsid w:val="002C6996"/>
    <w:rsid w:val="002C69F6"/>
    <w:rsid w:val="002C6C5B"/>
    <w:rsid w:val="002C7537"/>
    <w:rsid w:val="002D00C7"/>
    <w:rsid w:val="002D030C"/>
    <w:rsid w:val="002D0399"/>
    <w:rsid w:val="002D0882"/>
    <w:rsid w:val="002D0CBD"/>
    <w:rsid w:val="002D1067"/>
    <w:rsid w:val="002D11C6"/>
    <w:rsid w:val="002D1252"/>
    <w:rsid w:val="002D17E3"/>
    <w:rsid w:val="002D2739"/>
    <w:rsid w:val="002D2B07"/>
    <w:rsid w:val="002D2CAE"/>
    <w:rsid w:val="002D2DC4"/>
    <w:rsid w:val="002D2FA5"/>
    <w:rsid w:val="002D31D9"/>
    <w:rsid w:val="002D3AE3"/>
    <w:rsid w:val="002D3F6E"/>
    <w:rsid w:val="002D3FB5"/>
    <w:rsid w:val="002D4760"/>
    <w:rsid w:val="002D516B"/>
    <w:rsid w:val="002D51C1"/>
    <w:rsid w:val="002D527A"/>
    <w:rsid w:val="002D5811"/>
    <w:rsid w:val="002D5FBC"/>
    <w:rsid w:val="002D6978"/>
    <w:rsid w:val="002D6A0C"/>
    <w:rsid w:val="002D6A9D"/>
    <w:rsid w:val="002D72DE"/>
    <w:rsid w:val="002D7651"/>
    <w:rsid w:val="002D7BAD"/>
    <w:rsid w:val="002D7BFC"/>
    <w:rsid w:val="002E029F"/>
    <w:rsid w:val="002E090F"/>
    <w:rsid w:val="002E0E3A"/>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3EF"/>
    <w:rsid w:val="002F0511"/>
    <w:rsid w:val="002F0637"/>
    <w:rsid w:val="002F094A"/>
    <w:rsid w:val="002F0E98"/>
    <w:rsid w:val="002F1617"/>
    <w:rsid w:val="002F209C"/>
    <w:rsid w:val="002F2AA4"/>
    <w:rsid w:val="002F37A8"/>
    <w:rsid w:val="002F37D0"/>
    <w:rsid w:val="002F3E25"/>
    <w:rsid w:val="002F4243"/>
    <w:rsid w:val="002F49EC"/>
    <w:rsid w:val="002F4E32"/>
    <w:rsid w:val="002F5021"/>
    <w:rsid w:val="002F50A5"/>
    <w:rsid w:val="002F50FC"/>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6E2"/>
    <w:rsid w:val="00301C17"/>
    <w:rsid w:val="00301E6A"/>
    <w:rsid w:val="00301FBA"/>
    <w:rsid w:val="00302CD2"/>
    <w:rsid w:val="00302D9D"/>
    <w:rsid w:val="0030300D"/>
    <w:rsid w:val="00303208"/>
    <w:rsid w:val="00303427"/>
    <w:rsid w:val="0030350B"/>
    <w:rsid w:val="00303543"/>
    <w:rsid w:val="00303716"/>
    <w:rsid w:val="00303B0B"/>
    <w:rsid w:val="00303BB4"/>
    <w:rsid w:val="00304129"/>
    <w:rsid w:val="00304177"/>
    <w:rsid w:val="00304DDA"/>
    <w:rsid w:val="00304E0B"/>
    <w:rsid w:val="00304EE1"/>
    <w:rsid w:val="00305CF4"/>
    <w:rsid w:val="00305F56"/>
    <w:rsid w:val="003064E1"/>
    <w:rsid w:val="00306DB1"/>
    <w:rsid w:val="00307064"/>
    <w:rsid w:val="00307759"/>
    <w:rsid w:val="00307BFD"/>
    <w:rsid w:val="00307CF9"/>
    <w:rsid w:val="00307E09"/>
    <w:rsid w:val="00307E4B"/>
    <w:rsid w:val="00307F21"/>
    <w:rsid w:val="00310430"/>
    <w:rsid w:val="003114FA"/>
    <w:rsid w:val="00311BEA"/>
    <w:rsid w:val="00311D79"/>
    <w:rsid w:val="00312B38"/>
    <w:rsid w:val="00313799"/>
    <w:rsid w:val="00313907"/>
    <w:rsid w:val="00313A44"/>
    <w:rsid w:val="00313E37"/>
    <w:rsid w:val="00314D1E"/>
    <w:rsid w:val="00315073"/>
    <w:rsid w:val="00315206"/>
    <w:rsid w:val="00315241"/>
    <w:rsid w:val="003153BB"/>
    <w:rsid w:val="003159D9"/>
    <w:rsid w:val="0031729F"/>
    <w:rsid w:val="003174F8"/>
    <w:rsid w:val="003175E9"/>
    <w:rsid w:val="00317FD8"/>
    <w:rsid w:val="00320487"/>
    <w:rsid w:val="003204FD"/>
    <w:rsid w:val="00320B2A"/>
    <w:rsid w:val="00320F20"/>
    <w:rsid w:val="00320F88"/>
    <w:rsid w:val="00321558"/>
    <w:rsid w:val="00321743"/>
    <w:rsid w:val="00322176"/>
    <w:rsid w:val="00322BE4"/>
    <w:rsid w:val="00322F9A"/>
    <w:rsid w:val="00322FA8"/>
    <w:rsid w:val="0032450A"/>
    <w:rsid w:val="00324C8C"/>
    <w:rsid w:val="00324DD1"/>
    <w:rsid w:val="00325472"/>
    <w:rsid w:val="00325769"/>
    <w:rsid w:val="00325AC3"/>
    <w:rsid w:val="00326155"/>
    <w:rsid w:val="0032616B"/>
    <w:rsid w:val="00326B55"/>
    <w:rsid w:val="003271C5"/>
    <w:rsid w:val="00327425"/>
    <w:rsid w:val="00330509"/>
    <w:rsid w:val="003308A9"/>
    <w:rsid w:val="00330C3B"/>
    <w:rsid w:val="0033105F"/>
    <w:rsid w:val="003310A7"/>
    <w:rsid w:val="003311C5"/>
    <w:rsid w:val="00331432"/>
    <w:rsid w:val="00331492"/>
    <w:rsid w:val="00331D03"/>
    <w:rsid w:val="00332972"/>
    <w:rsid w:val="00332FF3"/>
    <w:rsid w:val="0033309B"/>
    <w:rsid w:val="00333789"/>
    <w:rsid w:val="00333B5E"/>
    <w:rsid w:val="00334087"/>
    <w:rsid w:val="0033470F"/>
    <w:rsid w:val="00334766"/>
    <w:rsid w:val="00334776"/>
    <w:rsid w:val="00334B36"/>
    <w:rsid w:val="00334E1E"/>
    <w:rsid w:val="003352CE"/>
    <w:rsid w:val="00335348"/>
    <w:rsid w:val="00335F25"/>
    <w:rsid w:val="00336631"/>
    <w:rsid w:val="003368A9"/>
    <w:rsid w:val="00337244"/>
    <w:rsid w:val="0033756B"/>
    <w:rsid w:val="00337793"/>
    <w:rsid w:val="00337851"/>
    <w:rsid w:val="00337863"/>
    <w:rsid w:val="00337CA7"/>
    <w:rsid w:val="00340786"/>
    <w:rsid w:val="00340CE0"/>
    <w:rsid w:val="00341500"/>
    <w:rsid w:val="003418A7"/>
    <w:rsid w:val="00342205"/>
    <w:rsid w:val="003423EB"/>
    <w:rsid w:val="003429F1"/>
    <w:rsid w:val="00342B71"/>
    <w:rsid w:val="00342EDD"/>
    <w:rsid w:val="0034309B"/>
    <w:rsid w:val="00343737"/>
    <w:rsid w:val="00344117"/>
    <w:rsid w:val="00344353"/>
    <w:rsid w:val="00344B38"/>
    <w:rsid w:val="00344F04"/>
    <w:rsid w:val="0034521D"/>
    <w:rsid w:val="003459AC"/>
    <w:rsid w:val="00345FA1"/>
    <w:rsid w:val="003464BD"/>
    <w:rsid w:val="00346D46"/>
    <w:rsid w:val="00346E32"/>
    <w:rsid w:val="0034755B"/>
    <w:rsid w:val="00347A59"/>
    <w:rsid w:val="00347EC1"/>
    <w:rsid w:val="00350336"/>
    <w:rsid w:val="00350EF3"/>
    <w:rsid w:val="00351513"/>
    <w:rsid w:val="00351BD9"/>
    <w:rsid w:val="00351D96"/>
    <w:rsid w:val="00352C2B"/>
    <w:rsid w:val="00352F76"/>
    <w:rsid w:val="0035338B"/>
    <w:rsid w:val="003533A4"/>
    <w:rsid w:val="0035368F"/>
    <w:rsid w:val="00354E8D"/>
    <w:rsid w:val="0035525B"/>
    <w:rsid w:val="003554A7"/>
    <w:rsid w:val="00355C2D"/>
    <w:rsid w:val="00355C89"/>
    <w:rsid w:val="00356698"/>
    <w:rsid w:val="003566BC"/>
    <w:rsid w:val="00356CE8"/>
    <w:rsid w:val="00357974"/>
    <w:rsid w:val="003579F2"/>
    <w:rsid w:val="003579F9"/>
    <w:rsid w:val="00360058"/>
    <w:rsid w:val="00360470"/>
    <w:rsid w:val="00360BE6"/>
    <w:rsid w:val="00360D78"/>
    <w:rsid w:val="00361524"/>
    <w:rsid w:val="003615A7"/>
    <w:rsid w:val="00361EAF"/>
    <w:rsid w:val="00361FC7"/>
    <w:rsid w:val="00362463"/>
    <w:rsid w:val="0036257D"/>
    <w:rsid w:val="003628B0"/>
    <w:rsid w:val="00363014"/>
    <w:rsid w:val="0036316C"/>
    <w:rsid w:val="00363306"/>
    <w:rsid w:val="00363315"/>
    <w:rsid w:val="0036333F"/>
    <w:rsid w:val="003636BA"/>
    <w:rsid w:val="003637A5"/>
    <w:rsid w:val="00363C1A"/>
    <w:rsid w:val="00363E99"/>
    <w:rsid w:val="00364563"/>
    <w:rsid w:val="00364580"/>
    <w:rsid w:val="00364D6E"/>
    <w:rsid w:val="00365690"/>
    <w:rsid w:val="0036577B"/>
    <w:rsid w:val="00365959"/>
    <w:rsid w:val="00366ACD"/>
    <w:rsid w:val="00367033"/>
    <w:rsid w:val="003674D9"/>
    <w:rsid w:val="00367850"/>
    <w:rsid w:val="0037017F"/>
    <w:rsid w:val="00370192"/>
    <w:rsid w:val="00370377"/>
    <w:rsid w:val="00370CE8"/>
    <w:rsid w:val="00371321"/>
    <w:rsid w:val="00371384"/>
    <w:rsid w:val="00371EEF"/>
    <w:rsid w:val="00372965"/>
    <w:rsid w:val="00372C6F"/>
    <w:rsid w:val="00373A0B"/>
    <w:rsid w:val="00373E32"/>
    <w:rsid w:val="0037459F"/>
    <w:rsid w:val="003748CB"/>
    <w:rsid w:val="00374CB3"/>
    <w:rsid w:val="00375136"/>
    <w:rsid w:val="00375A02"/>
    <w:rsid w:val="00375C31"/>
    <w:rsid w:val="00376467"/>
    <w:rsid w:val="00376A38"/>
    <w:rsid w:val="00377580"/>
    <w:rsid w:val="00377E04"/>
    <w:rsid w:val="00377FA0"/>
    <w:rsid w:val="00380210"/>
    <w:rsid w:val="00380F3E"/>
    <w:rsid w:val="00380F49"/>
    <w:rsid w:val="003810AB"/>
    <w:rsid w:val="00381745"/>
    <w:rsid w:val="00381764"/>
    <w:rsid w:val="00382167"/>
    <w:rsid w:val="003823D5"/>
    <w:rsid w:val="00382926"/>
    <w:rsid w:val="0038300C"/>
    <w:rsid w:val="0038363F"/>
    <w:rsid w:val="00383E33"/>
    <w:rsid w:val="003849E0"/>
    <w:rsid w:val="00384DDA"/>
    <w:rsid w:val="00385316"/>
    <w:rsid w:val="00385328"/>
    <w:rsid w:val="003854E9"/>
    <w:rsid w:val="0038577D"/>
    <w:rsid w:val="00385BBA"/>
    <w:rsid w:val="00385C8A"/>
    <w:rsid w:val="003862A1"/>
    <w:rsid w:val="00386827"/>
    <w:rsid w:val="00386BAA"/>
    <w:rsid w:val="0038746F"/>
    <w:rsid w:val="003878ED"/>
    <w:rsid w:val="00387FF5"/>
    <w:rsid w:val="00390575"/>
    <w:rsid w:val="003906CD"/>
    <w:rsid w:val="00391125"/>
    <w:rsid w:val="0039136E"/>
    <w:rsid w:val="003913BD"/>
    <w:rsid w:val="00391F0E"/>
    <w:rsid w:val="003922B1"/>
    <w:rsid w:val="0039296F"/>
    <w:rsid w:val="00392AFB"/>
    <w:rsid w:val="003930B5"/>
    <w:rsid w:val="0039334A"/>
    <w:rsid w:val="00393394"/>
    <w:rsid w:val="00393468"/>
    <w:rsid w:val="00393585"/>
    <w:rsid w:val="003935B9"/>
    <w:rsid w:val="003935CB"/>
    <w:rsid w:val="00395CCF"/>
    <w:rsid w:val="00396338"/>
    <w:rsid w:val="00396749"/>
    <w:rsid w:val="003967B0"/>
    <w:rsid w:val="00396958"/>
    <w:rsid w:val="00396B1E"/>
    <w:rsid w:val="00396BCA"/>
    <w:rsid w:val="00396E17"/>
    <w:rsid w:val="0039723A"/>
    <w:rsid w:val="00397280"/>
    <w:rsid w:val="003973DD"/>
    <w:rsid w:val="003A06C5"/>
    <w:rsid w:val="003A0890"/>
    <w:rsid w:val="003A0A29"/>
    <w:rsid w:val="003A0C97"/>
    <w:rsid w:val="003A1AF7"/>
    <w:rsid w:val="003A221F"/>
    <w:rsid w:val="003A257E"/>
    <w:rsid w:val="003A25F4"/>
    <w:rsid w:val="003A295A"/>
    <w:rsid w:val="003A3159"/>
    <w:rsid w:val="003A39C7"/>
    <w:rsid w:val="003A3A4D"/>
    <w:rsid w:val="003A3AC4"/>
    <w:rsid w:val="003A3D0E"/>
    <w:rsid w:val="003A3D9A"/>
    <w:rsid w:val="003A409D"/>
    <w:rsid w:val="003A4129"/>
    <w:rsid w:val="003A420E"/>
    <w:rsid w:val="003A4801"/>
    <w:rsid w:val="003A48A3"/>
    <w:rsid w:val="003A4AAF"/>
    <w:rsid w:val="003A4B2E"/>
    <w:rsid w:val="003A54BC"/>
    <w:rsid w:val="003A5737"/>
    <w:rsid w:val="003A589B"/>
    <w:rsid w:val="003A58AF"/>
    <w:rsid w:val="003A7236"/>
    <w:rsid w:val="003A7911"/>
    <w:rsid w:val="003B019B"/>
    <w:rsid w:val="003B01E4"/>
    <w:rsid w:val="003B088E"/>
    <w:rsid w:val="003B1014"/>
    <w:rsid w:val="003B106B"/>
    <w:rsid w:val="003B1EA1"/>
    <w:rsid w:val="003B1F25"/>
    <w:rsid w:val="003B27DF"/>
    <w:rsid w:val="003B2E07"/>
    <w:rsid w:val="003B3656"/>
    <w:rsid w:val="003B3951"/>
    <w:rsid w:val="003B3BDF"/>
    <w:rsid w:val="003B44AF"/>
    <w:rsid w:val="003B46C7"/>
    <w:rsid w:val="003B4719"/>
    <w:rsid w:val="003B4787"/>
    <w:rsid w:val="003B4F0C"/>
    <w:rsid w:val="003B50BA"/>
    <w:rsid w:val="003B5452"/>
    <w:rsid w:val="003B5717"/>
    <w:rsid w:val="003B5B2E"/>
    <w:rsid w:val="003B5CAF"/>
    <w:rsid w:val="003B5EA5"/>
    <w:rsid w:val="003B6166"/>
    <w:rsid w:val="003B64E5"/>
    <w:rsid w:val="003B6534"/>
    <w:rsid w:val="003B6927"/>
    <w:rsid w:val="003B696F"/>
    <w:rsid w:val="003B6D41"/>
    <w:rsid w:val="003B76CE"/>
    <w:rsid w:val="003B7749"/>
    <w:rsid w:val="003B7C7B"/>
    <w:rsid w:val="003B7CA4"/>
    <w:rsid w:val="003C0E58"/>
    <w:rsid w:val="003C14B1"/>
    <w:rsid w:val="003C1591"/>
    <w:rsid w:val="003C199E"/>
    <w:rsid w:val="003C2280"/>
    <w:rsid w:val="003C2AA7"/>
    <w:rsid w:val="003C2F47"/>
    <w:rsid w:val="003C3846"/>
    <w:rsid w:val="003C38C8"/>
    <w:rsid w:val="003C44D1"/>
    <w:rsid w:val="003C4733"/>
    <w:rsid w:val="003C4F06"/>
    <w:rsid w:val="003C5A14"/>
    <w:rsid w:val="003C5D9C"/>
    <w:rsid w:val="003C5DE7"/>
    <w:rsid w:val="003C6080"/>
    <w:rsid w:val="003C634A"/>
    <w:rsid w:val="003C6592"/>
    <w:rsid w:val="003C667C"/>
    <w:rsid w:val="003C7335"/>
    <w:rsid w:val="003C7651"/>
    <w:rsid w:val="003C7879"/>
    <w:rsid w:val="003C79DB"/>
    <w:rsid w:val="003D029E"/>
    <w:rsid w:val="003D067C"/>
    <w:rsid w:val="003D0906"/>
    <w:rsid w:val="003D13D8"/>
    <w:rsid w:val="003D140A"/>
    <w:rsid w:val="003D15B7"/>
    <w:rsid w:val="003D15ED"/>
    <w:rsid w:val="003D1608"/>
    <w:rsid w:val="003D20E1"/>
    <w:rsid w:val="003D2486"/>
    <w:rsid w:val="003D295A"/>
    <w:rsid w:val="003D2A35"/>
    <w:rsid w:val="003D321B"/>
    <w:rsid w:val="003D35FA"/>
    <w:rsid w:val="003D39EF"/>
    <w:rsid w:val="003D41BA"/>
    <w:rsid w:val="003D41C7"/>
    <w:rsid w:val="003D420B"/>
    <w:rsid w:val="003D45E1"/>
    <w:rsid w:val="003D4CC1"/>
    <w:rsid w:val="003D529E"/>
    <w:rsid w:val="003D5427"/>
    <w:rsid w:val="003D6474"/>
    <w:rsid w:val="003D664F"/>
    <w:rsid w:val="003D6670"/>
    <w:rsid w:val="003D6A09"/>
    <w:rsid w:val="003D6F67"/>
    <w:rsid w:val="003D707F"/>
    <w:rsid w:val="003D71D5"/>
    <w:rsid w:val="003D74EF"/>
    <w:rsid w:val="003D7671"/>
    <w:rsid w:val="003D7C9F"/>
    <w:rsid w:val="003E0CAF"/>
    <w:rsid w:val="003E1122"/>
    <w:rsid w:val="003E1207"/>
    <w:rsid w:val="003E12C9"/>
    <w:rsid w:val="003E1604"/>
    <w:rsid w:val="003E1766"/>
    <w:rsid w:val="003E18F5"/>
    <w:rsid w:val="003E1A61"/>
    <w:rsid w:val="003E21C5"/>
    <w:rsid w:val="003E279B"/>
    <w:rsid w:val="003E2AB7"/>
    <w:rsid w:val="003E2F36"/>
    <w:rsid w:val="003E2FB3"/>
    <w:rsid w:val="003E37A0"/>
    <w:rsid w:val="003E393E"/>
    <w:rsid w:val="003E3CFE"/>
    <w:rsid w:val="003E4066"/>
    <w:rsid w:val="003E4AE0"/>
    <w:rsid w:val="003E507E"/>
    <w:rsid w:val="003E5394"/>
    <w:rsid w:val="003E678B"/>
    <w:rsid w:val="003E6CCA"/>
    <w:rsid w:val="003E6D93"/>
    <w:rsid w:val="003E73AA"/>
    <w:rsid w:val="003E76C6"/>
    <w:rsid w:val="003F0186"/>
    <w:rsid w:val="003F038A"/>
    <w:rsid w:val="003F0555"/>
    <w:rsid w:val="003F09E9"/>
    <w:rsid w:val="003F0D0F"/>
    <w:rsid w:val="003F11D8"/>
    <w:rsid w:val="003F1222"/>
    <w:rsid w:val="003F1303"/>
    <w:rsid w:val="003F1AAC"/>
    <w:rsid w:val="003F1C6D"/>
    <w:rsid w:val="003F1D12"/>
    <w:rsid w:val="003F1E3F"/>
    <w:rsid w:val="003F1ECD"/>
    <w:rsid w:val="003F2C12"/>
    <w:rsid w:val="003F3195"/>
    <w:rsid w:val="003F32A8"/>
    <w:rsid w:val="003F34C4"/>
    <w:rsid w:val="003F3673"/>
    <w:rsid w:val="003F3760"/>
    <w:rsid w:val="003F465F"/>
    <w:rsid w:val="003F47AB"/>
    <w:rsid w:val="003F47D1"/>
    <w:rsid w:val="003F4B6C"/>
    <w:rsid w:val="003F4DAF"/>
    <w:rsid w:val="003F5A39"/>
    <w:rsid w:val="003F5EE6"/>
    <w:rsid w:val="003F6039"/>
    <w:rsid w:val="003F67D7"/>
    <w:rsid w:val="003F7144"/>
    <w:rsid w:val="003F74EF"/>
    <w:rsid w:val="00400195"/>
    <w:rsid w:val="00400758"/>
    <w:rsid w:val="00400A77"/>
    <w:rsid w:val="00401262"/>
    <w:rsid w:val="00401B6E"/>
    <w:rsid w:val="0040291B"/>
    <w:rsid w:val="00404123"/>
    <w:rsid w:val="00404550"/>
    <w:rsid w:val="00404B91"/>
    <w:rsid w:val="00404BB2"/>
    <w:rsid w:val="0040541F"/>
    <w:rsid w:val="00405424"/>
    <w:rsid w:val="00405C8A"/>
    <w:rsid w:val="00406889"/>
    <w:rsid w:val="00406DEE"/>
    <w:rsid w:val="00406E48"/>
    <w:rsid w:val="004072DC"/>
    <w:rsid w:val="00407C6C"/>
    <w:rsid w:val="00410081"/>
    <w:rsid w:val="00410502"/>
    <w:rsid w:val="00410971"/>
    <w:rsid w:val="00410E96"/>
    <w:rsid w:val="00410F5C"/>
    <w:rsid w:val="00411C1D"/>
    <w:rsid w:val="00411FD7"/>
    <w:rsid w:val="0041213F"/>
    <w:rsid w:val="0041242B"/>
    <w:rsid w:val="00412A04"/>
    <w:rsid w:val="00412C22"/>
    <w:rsid w:val="00412C54"/>
    <w:rsid w:val="00412DB7"/>
    <w:rsid w:val="0041307A"/>
    <w:rsid w:val="00413397"/>
    <w:rsid w:val="00413D02"/>
    <w:rsid w:val="00413DF7"/>
    <w:rsid w:val="004141EF"/>
    <w:rsid w:val="00414721"/>
    <w:rsid w:val="00414FC0"/>
    <w:rsid w:val="004150A8"/>
    <w:rsid w:val="0041538F"/>
    <w:rsid w:val="004158E1"/>
    <w:rsid w:val="00415B20"/>
    <w:rsid w:val="00417B00"/>
    <w:rsid w:val="00417D0F"/>
    <w:rsid w:val="00417E9B"/>
    <w:rsid w:val="00417ECD"/>
    <w:rsid w:val="0042007E"/>
    <w:rsid w:val="00420473"/>
    <w:rsid w:val="00420694"/>
    <w:rsid w:val="00420703"/>
    <w:rsid w:val="0042081E"/>
    <w:rsid w:val="00420E0C"/>
    <w:rsid w:val="00421989"/>
    <w:rsid w:val="00421C02"/>
    <w:rsid w:val="00422163"/>
    <w:rsid w:val="00422B00"/>
    <w:rsid w:val="00422F9A"/>
    <w:rsid w:val="0042331A"/>
    <w:rsid w:val="00423479"/>
    <w:rsid w:val="00424B49"/>
    <w:rsid w:val="00424BC0"/>
    <w:rsid w:val="00424CD9"/>
    <w:rsid w:val="00424EE9"/>
    <w:rsid w:val="00425365"/>
    <w:rsid w:val="00425A9F"/>
    <w:rsid w:val="00425C82"/>
    <w:rsid w:val="004261C5"/>
    <w:rsid w:val="004267BD"/>
    <w:rsid w:val="00426D00"/>
    <w:rsid w:val="00427071"/>
    <w:rsid w:val="00427AC9"/>
    <w:rsid w:val="00427DF3"/>
    <w:rsid w:val="0043000A"/>
    <w:rsid w:val="0043033C"/>
    <w:rsid w:val="004304BD"/>
    <w:rsid w:val="00430A35"/>
    <w:rsid w:val="00430E1F"/>
    <w:rsid w:val="00431223"/>
    <w:rsid w:val="004312F7"/>
    <w:rsid w:val="004318F3"/>
    <w:rsid w:val="0043232C"/>
    <w:rsid w:val="00432C14"/>
    <w:rsid w:val="00432D80"/>
    <w:rsid w:val="00432EC8"/>
    <w:rsid w:val="00433ACC"/>
    <w:rsid w:val="004341E9"/>
    <w:rsid w:val="00434323"/>
    <w:rsid w:val="00434720"/>
    <w:rsid w:val="00434C76"/>
    <w:rsid w:val="00434CA4"/>
    <w:rsid w:val="00434F97"/>
    <w:rsid w:val="00436AF2"/>
    <w:rsid w:val="00436D44"/>
    <w:rsid w:val="004379FE"/>
    <w:rsid w:val="00440C07"/>
    <w:rsid w:val="00440C48"/>
    <w:rsid w:val="00440D83"/>
    <w:rsid w:val="00440E3B"/>
    <w:rsid w:val="0044111B"/>
    <w:rsid w:val="00441985"/>
    <w:rsid w:val="00441E7C"/>
    <w:rsid w:val="00441F13"/>
    <w:rsid w:val="00441FF4"/>
    <w:rsid w:val="004437DC"/>
    <w:rsid w:val="00443A4C"/>
    <w:rsid w:val="004443AB"/>
    <w:rsid w:val="00444624"/>
    <w:rsid w:val="0044486A"/>
    <w:rsid w:val="004448DB"/>
    <w:rsid w:val="004450D0"/>
    <w:rsid w:val="0044527B"/>
    <w:rsid w:val="00445D17"/>
    <w:rsid w:val="00445E64"/>
    <w:rsid w:val="00445F93"/>
    <w:rsid w:val="0044645D"/>
    <w:rsid w:val="00446746"/>
    <w:rsid w:val="00446778"/>
    <w:rsid w:val="00446AD1"/>
    <w:rsid w:val="004473E1"/>
    <w:rsid w:val="00447435"/>
    <w:rsid w:val="00447467"/>
    <w:rsid w:val="00447BE4"/>
    <w:rsid w:val="00447CC7"/>
    <w:rsid w:val="004501C4"/>
    <w:rsid w:val="0045342A"/>
    <w:rsid w:val="00453531"/>
    <w:rsid w:val="004539F3"/>
    <w:rsid w:val="00453E52"/>
    <w:rsid w:val="00453F61"/>
    <w:rsid w:val="00454DCF"/>
    <w:rsid w:val="00454F37"/>
    <w:rsid w:val="00455072"/>
    <w:rsid w:val="004551C5"/>
    <w:rsid w:val="0045536D"/>
    <w:rsid w:val="0045563A"/>
    <w:rsid w:val="00455C0B"/>
    <w:rsid w:val="00455F76"/>
    <w:rsid w:val="0045615C"/>
    <w:rsid w:val="00456918"/>
    <w:rsid w:val="00457452"/>
    <w:rsid w:val="00457539"/>
    <w:rsid w:val="00460676"/>
    <w:rsid w:val="00460959"/>
    <w:rsid w:val="00460A2F"/>
    <w:rsid w:val="00460DFC"/>
    <w:rsid w:val="00461390"/>
    <w:rsid w:val="00462344"/>
    <w:rsid w:val="00462792"/>
    <w:rsid w:val="00462882"/>
    <w:rsid w:val="00462DBD"/>
    <w:rsid w:val="00462DFC"/>
    <w:rsid w:val="00462EC3"/>
    <w:rsid w:val="00463713"/>
    <w:rsid w:val="00464A54"/>
    <w:rsid w:val="00464B57"/>
    <w:rsid w:val="00464F15"/>
    <w:rsid w:val="00465E1C"/>
    <w:rsid w:val="00466288"/>
    <w:rsid w:val="00466633"/>
    <w:rsid w:val="00466917"/>
    <w:rsid w:val="00466A68"/>
    <w:rsid w:val="00466E1F"/>
    <w:rsid w:val="00467A07"/>
    <w:rsid w:val="00467DDF"/>
    <w:rsid w:val="00467E6F"/>
    <w:rsid w:val="0047087C"/>
    <w:rsid w:val="004709CF"/>
    <w:rsid w:val="00470D72"/>
    <w:rsid w:val="0047104F"/>
    <w:rsid w:val="004712BA"/>
    <w:rsid w:val="004715DB"/>
    <w:rsid w:val="004717FC"/>
    <w:rsid w:val="00471DBD"/>
    <w:rsid w:val="00472AD8"/>
    <w:rsid w:val="00472D57"/>
    <w:rsid w:val="0047319E"/>
    <w:rsid w:val="0047343D"/>
    <w:rsid w:val="004737AB"/>
    <w:rsid w:val="004737D2"/>
    <w:rsid w:val="00474861"/>
    <w:rsid w:val="004749D1"/>
    <w:rsid w:val="004750E2"/>
    <w:rsid w:val="004756A4"/>
    <w:rsid w:val="0047572F"/>
    <w:rsid w:val="004757DD"/>
    <w:rsid w:val="00475A00"/>
    <w:rsid w:val="00475DE8"/>
    <w:rsid w:val="0047620B"/>
    <w:rsid w:val="004765C1"/>
    <w:rsid w:val="00476839"/>
    <w:rsid w:val="00477156"/>
    <w:rsid w:val="00477658"/>
    <w:rsid w:val="00477886"/>
    <w:rsid w:val="00480042"/>
    <w:rsid w:val="00480314"/>
    <w:rsid w:val="00480836"/>
    <w:rsid w:val="0048093C"/>
    <w:rsid w:val="00480C6C"/>
    <w:rsid w:val="004813F4"/>
    <w:rsid w:val="00481755"/>
    <w:rsid w:val="00481909"/>
    <w:rsid w:val="00483CE2"/>
    <w:rsid w:val="00483E6B"/>
    <w:rsid w:val="00483EBC"/>
    <w:rsid w:val="004842F9"/>
    <w:rsid w:val="004847E2"/>
    <w:rsid w:val="00484846"/>
    <w:rsid w:val="004856FD"/>
    <w:rsid w:val="0048633C"/>
    <w:rsid w:val="004865F3"/>
    <w:rsid w:val="00487507"/>
    <w:rsid w:val="00487663"/>
    <w:rsid w:val="004877CE"/>
    <w:rsid w:val="00487AA1"/>
    <w:rsid w:val="00487AA5"/>
    <w:rsid w:val="00487D87"/>
    <w:rsid w:val="0049089F"/>
    <w:rsid w:val="0049099D"/>
    <w:rsid w:val="00490E4A"/>
    <w:rsid w:val="004913DD"/>
    <w:rsid w:val="004914C9"/>
    <w:rsid w:val="00491AF2"/>
    <w:rsid w:val="00491DE1"/>
    <w:rsid w:val="00491F25"/>
    <w:rsid w:val="00491FB0"/>
    <w:rsid w:val="00492077"/>
    <w:rsid w:val="004920BE"/>
    <w:rsid w:val="004923E3"/>
    <w:rsid w:val="00492652"/>
    <w:rsid w:val="00492788"/>
    <w:rsid w:val="00492CC9"/>
    <w:rsid w:val="004930C9"/>
    <w:rsid w:val="004937B0"/>
    <w:rsid w:val="00493F13"/>
    <w:rsid w:val="004948F2"/>
    <w:rsid w:val="004954B5"/>
    <w:rsid w:val="00495607"/>
    <w:rsid w:val="00495774"/>
    <w:rsid w:val="00495F75"/>
    <w:rsid w:val="00496151"/>
    <w:rsid w:val="00496379"/>
    <w:rsid w:val="004968A8"/>
    <w:rsid w:val="004969CB"/>
    <w:rsid w:val="00496CB2"/>
    <w:rsid w:val="00496D6D"/>
    <w:rsid w:val="00497689"/>
    <w:rsid w:val="00497B8B"/>
    <w:rsid w:val="00497DD4"/>
    <w:rsid w:val="004A0111"/>
    <w:rsid w:val="004A0A58"/>
    <w:rsid w:val="004A0E9E"/>
    <w:rsid w:val="004A0FBA"/>
    <w:rsid w:val="004A1431"/>
    <w:rsid w:val="004A16AC"/>
    <w:rsid w:val="004A1B28"/>
    <w:rsid w:val="004A1C37"/>
    <w:rsid w:val="004A20D4"/>
    <w:rsid w:val="004A2BF9"/>
    <w:rsid w:val="004A2C3A"/>
    <w:rsid w:val="004A39B3"/>
    <w:rsid w:val="004A3A16"/>
    <w:rsid w:val="004A443B"/>
    <w:rsid w:val="004A5BC6"/>
    <w:rsid w:val="004A606E"/>
    <w:rsid w:val="004A6087"/>
    <w:rsid w:val="004A67DF"/>
    <w:rsid w:val="004A69F3"/>
    <w:rsid w:val="004A73AA"/>
    <w:rsid w:val="004B014F"/>
    <w:rsid w:val="004B0A99"/>
    <w:rsid w:val="004B0B98"/>
    <w:rsid w:val="004B14D9"/>
    <w:rsid w:val="004B1BF9"/>
    <w:rsid w:val="004B20AC"/>
    <w:rsid w:val="004B2450"/>
    <w:rsid w:val="004B32FC"/>
    <w:rsid w:val="004B3567"/>
    <w:rsid w:val="004B39AC"/>
    <w:rsid w:val="004B3A7D"/>
    <w:rsid w:val="004B3CEC"/>
    <w:rsid w:val="004B4071"/>
    <w:rsid w:val="004B41CA"/>
    <w:rsid w:val="004B41D3"/>
    <w:rsid w:val="004B4228"/>
    <w:rsid w:val="004B4A3D"/>
    <w:rsid w:val="004B5ADF"/>
    <w:rsid w:val="004B5DC2"/>
    <w:rsid w:val="004B5EF3"/>
    <w:rsid w:val="004B6067"/>
    <w:rsid w:val="004B66C4"/>
    <w:rsid w:val="004B67FA"/>
    <w:rsid w:val="004B702C"/>
    <w:rsid w:val="004B7411"/>
    <w:rsid w:val="004B74DA"/>
    <w:rsid w:val="004B7C2B"/>
    <w:rsid w:val="004C009E"/>
    <w:rsid w:val="004C031E"/>
    <w:rsid w:val="004C0413"/>
    <w:rsid w:val="004C1CED"/>
    <w:rsid w:val="004C1F3B"/>
    <w:rsid w:val="004C2707"/>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D0314"/>
    <w:rsid w:val="004D0661"/>
    <w:rsid w:val="004D0892"/>
    <w:rsid w:val="004D0E36"/>
    <w:rsid w:val="004D15F0"/>
    <w:rsid w:val="004D1AD3"/>
    <w:rsid w:val="004D311F"/>
    <w:rsid w:val="004D377C"/>
    <w:rsid w:val="004D47C1"/>
    <w:rsid w:val="004D4B5F"/>
    <w:rsid w:val="004D4EF0"/>
    <w:rsid w:val="004D52E2"/>
    <w:rsid w:val="004D54BD"/>
    <w:rsid w:val="004D6524"/>
    <w:rsid w:val="004D68BE"/>
    <w:rsid w:val="004D6BD9"/>
    <w:rsid w:val="004D6CE6"/>
    <w:rsid w:val="004D789A"/>
    <w:rsid w:val="004E0134"/>
    <w:rsid w:val="004E0695"/>
    <w:rsid w:val="004E081A"/>
    <w:rsid w:val="004E09DC"/>
    <w:rsid w:val="004E0F90"/>
    <w:rsid w:val="004E1162"/>
    <w:rsid w:val="004E13CC"/>
    <w:rsid w:val="004E1731"/>
    <w:rsid w:val="004E1D47"/>
    <w:rsid w:val="004E20A2"/>
    <w:rsid w:val="004E24CA"/>
    <w:rsid w:val="004E2A05"/>
    <w:rsid w:val="004E31BA"/>
    <w:rsid w:val="004E3436"/>
    <w:rsid w:val="004E3872"/>
    <w:rsid w:val="004E3966"/>
    <w:rsid w:val="004E3AFB"/>
    <w:rsid w:val="004E3D62"/>
    <w:rsid w:val="004E3DBA"/>
    <w:rsid w:val="004E4295"/>
    <w:rsid w:val="004E43D2"/>
    <w:rsid w:val="004E45A3"/>
    <w:rsid w:val="004E4646"/>
    <w:rsid w:val="004E46DA"/>
    <w:rsid w:val="004E4E79"/>
    <w:rsid w:val="004E59B2"/>
    <w:rsid w:val="004E5B4A"/>
    <w:rsid w:val="004E5E56"/>
    <w:rsid w:val="004E604F"/>
    <w:rsid w:val="004E73E8"/>
    <w:rsid w:val="004E74EC"/>
    <w:rsid w:val="004E7BF8"/>
    <w:rsid w:val="004E7DEA"/>
    <w:rsid w:val="004F04CD"/>
    <w:rsid w:val="004F0789"/>
    <w:rsid w:val="004F0914"/>
    <w:rsid w:val="004F141F"/>
    <w:rsid w:val="004F2000"/>
    <w:rsid w:val="004F2318"/>
    <w:rsid w:val="004F24FB"/>
    <w:rsid w:val="004F26ED"/>
    <w:rsid w:val="004F2F44"/>
    <w:rsid w:val="004F2F68"/>
    <w:rsid w:val="004F3176"/>
    <w:rsid w:val="004F3D32"/>
    <w:rsid w:val="004F4735"/>
    <w:rsid w:val="004F539C"/>
    <w:rsid w:val="004F5B6B"/>
    <w:rsid w:val="004F5B94"/>
    <w:rsid w:val="004F5BC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2EA5"/>
    <w:rsid w:val="00503A88"/>
    <w:rsid w:val="005042A1"/>
    <w:rsid w:val="005042BC"/>
    <w:rsid w:val="00504C80"/>
    <w:rsid w:val="00505568"/>
    <w:rsid w:val="0050598A"/>
    <w:rsid w:val="005061E5"/>
    <w:rsid w:val="005062B4"/>
    <w:rsid w:val="00506384"/>
    <w:rsid w:val="00506F08"/>
    <w:rsid w:val="005074FD"/>
    <w:rsid w:val="00507B6A"/>
    <w:rsid w:val="005104CF"/>
    <w:rsid w:val="00510E7E"/>
    <w:rsid w:val="00510F27"/>
    <w:rsid w:val="00511504"/>
    <w:rsid w:val="005119C0"/>
    <w:rsid w:val="00511B57"/>
    <w:rsid w:val="00511EE9"/>
    <w:rsid w:val="00513759"/>
    <w:rsid w:val="00514262"/>
    <w:rsid w:val="00514327"/>
    <w:rsid w:val="00514D54"/>
    <w:rsid w:val="00515531"/>
    <w:rsid w:val="005156C2"/>
    <w:rsid w:val="005159CD"/>
    <w:rsid w:val="00515C6E"/>
    <w:rsid w:val="005160E2"/>
    <w:rsid w:val="005161AD"/>
    <w:rsid w:val="00516BBA"/>
    <w:rsid w:val="00516CBD"/>
    <w:rsid w:val="00516EB9"/>
    <w:rsid w:val="005170B4"/>
    <w:rsid w:val="0051752A"/>
    <w:rsid w:val="00517CD0"/>
    <w:rsid w:val="00517F39"/>
    <w:rsid w:val="00517FBF"/>
    <w:rsid w:val="005203E7"/>
    <w:rsid w:val="005211AC"/>
    <w:rsid w:val="0052127C"/>
    <w:rsid w:val="00521371"/>
    <w:rsid w:val="005214E2"/>
    <w:rsid w:val="00521531"/>
    <w:rsid w:val="00521617"/>
    <w:rsid w:val="005217E8"/>
    <w:rsid w:val="00522945"/>
    <w:rsid w:val="00523070"/>
    <w:rsid w:val="00523380"/>
    <w:rsid w:val="005239B7"/>
    <w:rsid w:val="00523BD2"/>
    <w:rsid w:val="00523CBE"/>
    <w:rsid w:val="00523FAF"/>
    <w:rsid w:val="00524146"/>
    <w:rsid w:val="00524613"/>
    <w:rsid w:val="00524713"/>
    <w:rsid w:val="00524C53"/>
    <w:rsid w:val="00524CB9"/>
    <w:rsid w:val="00524EA5"/>
    <w:rsid w:val="00525257"/>
    <w:rsid w:val="00525345"/>
    <w:rsid w:val="00525B14"/>
    <w:rsid w:val="00525B7E"/>
    <w:rsid w:val="00525D95"/>
    <w:rsid w:val="005260E6"/>
    <w:rsid w:val="0052633F"/>
    <w:rsid w:val="0052674D"/>
    <w:rsid w:val="00526B74"/>
    <w:rsid w:val="00526DB4"/>
    <w:rsid w:val="00527332"/>
    <w:rsid w:val="00527901"/>
    <w:rsid w:val="00527AC5"/>
    <w:rsid w:val="00527EDB"/>
    <w:rsid w:val="0053043B"/>
    <w:rsid w:val="00530B61"/>
    <w:rsid w:val="00530FDE"/>
    <w:rsid w:val="0053152B"/>
    <w:rsid w:val="00531CF0"/>
    <w:rsid w:val="00531E6A"/>
    <w:rsid w:val="005320F7"/>
    <w:rsid w:val="0053266E"/>
    <w:rsid w:val="0053269F"/>
    <w:rsid w:val="0053288C"/>
    <w:rsid w:val="00532B67"/>
    <w:rsid w:val="00532B8D"/>
    <w:rsid w:val="00532E70"/>
    <w:rsid w:val="00533A1F"/>
    <w:rsid w:val="005342A1"/>
    <w:rsid w:val="00534CF1"/>
    <w:rsid w:val="0053580A"/>
    <w:rsid w:val="0053590B"/>
    <w:rsid w:val="00535D0B"/>
    <w:rsid w:val="0053607E"/>
    <w:rsid w:val="00536119"/>
    <w:rsid w:val="00536390"/>
    <w:rsid w:val="0053646A"/>
    <w:rsid w:val="0053674A"/>
    <w:rsid w:val="00536EB8"/>
    <w:rsid w:val="0053709A"/>
    <w:rsid w:val="0053720F"/>
    <w:rsid w:val="00537407"/>
    <w:rsid w:val="00537415"/>
    <w:rsid w:val="00540B24"/>
    <w:rsid w:val="005415DB"/>
    <w:rsid w:val="005416BB"/>
    <w:rsid w:val="005418E2"/>
    <w:rsid w:val="00541A87"/>
    <w:rsid w:val="00541CC7"/>
    <w:rsid w:val="00541D3C"/>
    <w:rsid w:val="005420B3"/>
    <w:rsid w:val="00542445"/>
    <w:rsid w:val="005426DA"/>
    <w:rsid w:val="0054272F"/>
    <w:rsid w:val="00542F7E"/>
    <w:rsid w:val="00543B10"/>
    <w:rsid w:val="00543FE7"/>
    <w:rsid w:val="00544139"/>
    <w:rsid w:val="00544D59"/>
    <w:rsid w:val="00545235"/>
    <w:rsid w:val="005452F5"/>
    <w:rsid w:val="00546054"/>
    <w:rsid w:val="005466DD"/>
    <w:rsid w:val="00546765"/>
    <w:rsid w:val="00546871"/>
    <w:rsid w:val="00547229"/>
    <w:rsid w:val="00547879"/>
    <w:rsid w:val="005479F1"/>
    <w:rsid w:val="00547B59"/>
    <w:rsid w:val="00547D22"/>
    <w:rsid w:val="00547E58"/>
    <w:rsid w:val="00547FD8"/>
    <w:rsid w:val="00550288"/>
    <w:rsid w:val="005509A3"/>
    <w:rsid w:val="00550D79"/>
    <w:rsid w:val="005517D2"/>
    <w:rsid w:val="00551840"/>
    <w:rsid w:val="00551AB3"/>
    <w:rsid w:val="00551D2E"/>
    <w:rsid w:val="00552143"/>
    <w:rsid w:val="005523C9"/>
    <w:rsid w:val="00552767"/>
    <w:rsid w:val="0055294B"/>
    <w:rsid w:val="005529F1"/>
    <w:rsid w:val="00552DD1"/>
    <w:rsid w:val="00553279"/>
    <w:rsid w:val="0055332C"/>
    <w:rsid w:val="0055349C"/>
    <w:rsid w:val="005536CF"/>
    <w:rsid w:val="0055394B"/>
    <w:rsid w:val="00553C93"/>
    <w:rsid w:val="00553FA6"/>
    <w:rsid w:val="0055409C"/>
    <w:rsid w:val="00554124"/>
    <w:rsid w:val="0055413D"/>
    <w:rsid w:val="005544B3"/>
    <w:rsid w:val="005548D7"/>
    <w:rsid w:val="00554D59"/>
    <w:rsid w:val="00554E40"/>
    <w:rsid w:val="00554F97"/>
    <w:rsid w:val="00554FAB"/>
    <w:rsid w:val="005550E1"/>
    <w:rsid w:val="005554C2"/>
    <w:rsid w:val="00555ED2"/>
    <w:rsid w:val="00556745"/>
    <w:rsid w:val="00556C0A"/>
    <w:rsid w:val="00557071"/>
    <w:rsid w:val="0055775F"/>
    <w:rsid w:val="00557B21"/>
    <w:rsid w:val="00557E0E"/>
    <w:rsid w:val="00557E48"/>
    <w:rsid w:val="00560BE0"/>
    <w:rsid w:val="00561891"/>
    <w:rsid w:val="00562A60"/>
    <w:rsid w:val="00562AE4"/>
    <w:rsid w:val="00564889"/>
    <w:rsid w:val="00564B27"/>
    <w:rsid w:val="00564C46"/>
    <w:rsid w:val="00564C9B"/>
    <w:rsid w:val="00564DE4"/>
    <w:rsid w:val="00564FA7"/>
    <w:rsid w:val="00565365"/>
    <w:rsid w:val="00565386"/>
    <w:rsid w:val="0056542C"/>
    <w:rsid w:val="005657D7"/>
    <w:rsid w:val="00565A20"/>
    <w:rsid w:val="00565BA1"/>
    <w:rsid w:val="005661AF"/>
    <w:rsid w:val="005668D1"/>
    <w:rsid w:val="0056691D"/>
    <w:rsid w:val="00567355"/>
    <w:rsid w:val="0056756C"/>
    <w:rsid w:val="005679D6"/>
    <w:rsid w:val="00567D22"/>
    <w:rsid w:val="00567F9E"/>
    <w:rsid w:val="00567FC1"/>
    <w:rsid w:val="00570058"/>
    <w:rsid w:val="0057013D"/>
    <w:rsid w:val="0057038E"/>
    <w:rsid w:val="00570A13"/>
    <w:rsid w:val="00570B11"/>
    <w:rsid w:val="005710C0"/>
    <w:rsid w:val="005718EC"/>
    <w:rsid w:val="00572252"/>
    <w:rsid w:val="00572297"/>
    <w:rsid w:val="00572482"/>
    <w:rsid w:val="005728D8"/>
    <w:rsid w:val="00572C96"/>
    <w:rsid w:val="00572D93"/>
    <w:rsid w:val="005730AB"/>
    <w:rsid w:val="005730C8"/>
    <w:rsid w:val="00573521"/>
    <w:rsid w:val="00573774"/>
    <w:rsid w:val="00573EAB"/>
    <w:rsid w:val="005748E5"/>
    <w:rsid w:val="005750C2"/>
    <w:rsid w:val="0057515A"/>
    <w:rsid w:val="00575BC1"/>
    <w:rsid w:val="005766AA"/>
    <w:rsid w:val="00576B32"/>
    <w:rsid w:val="00576DE4"/>
    <w:rsid w:val="00577129"/>
    <w:rsid w:val="005777C5"/>
    <w:rsid w:val="0058007A"/>
    <w:rsid w:val="00580CD8"/>
    <w:rsid w:val="00580F61"/>
    <w:rsid w:val="00580F93"/>
    <w:rsid w:val="00582103"/>
    <w:rsid w:val="005828F1"/>
    <w:rsid w:val="00582E34"/>
    <w:rsid w:val="005830F2"/>
    <w:rsid w:val="005835DA"/>
    <w:rsid w:val="00583C3B"/>
    <w:rsid w:val="005843CD"/>
    <w:rsid w:val="00585A77"/>
    <w:rsid w:val="00585ABE"/>
    <w:rsid w:val="00585DEE"/>
    <w:rsid w:val="00585E2D"/>
    <w:rsid w:val="00585F7D"/>
    <w:rsid w:val="00585FAF"/>
    <w:rsid w:val="0058606B"/>
    <w:rsid w:val="00586239"/>
    <w:rsid w:val="0058649D"/>
    <w:rsid w:val="005868D0"/>
    <w:rsid w:val="0058712F"/>
    <w:rsid w:val="005873D4"/>
    <w:rsid w:val="005875DB"/>
    <w:rsid w:val="00587993"/>
    <w:rsid w:val="00587B01"/>
    <w:rsid w:val="0059095A"/>
    <w:rsid w:val="00590BA5"/>
    <w:rsid w:val="00590F0B"/>
    <w:rsid w:val="005912B0"/>
    <w:rsid w:val="005914A0"/>
    <w:rsid w:val="0059164A"/>
    <w:rsid w:val="00591C47"/>
    <w:rsid w:val="00591C73"/>
    <w:rsid w:val="005922B5"/>
    <w:rsid w:val="005923EC"/>
    <w:rsid w:val="00592725"/>
    <w:rsid w:val="005928C5"/>
    <w:rsid w:val="00592E63"/>
    <w:rsid w:val="0059324C"/>
    <w:rsid w:val="00593297"/>
    <w:rsid w:val="005932E4"/>
    <w:rsid w:val="005935DA"/>
    <w:rsid w:val="0059381A"/>
    <w:rsid w:val="00593C34"/>
    <w:rsid w:val="00594879"/>
    <w:rsid w:val="005948A6"/>
    <w:rsid w:val="00594D73"/>
    <w:rsid w:val="00594E6B"/>
    <w:rsid w:val="00595AB2"/>
    <w:rsid w:val="00596854"/>
    <w:rsid w:val="00597031"/>
    <w:rsid w:val="005978A0"/>
    <w:rsid w:val="00597A30"/>
    <w:rsid w:val="00597A74"/>
    <w:rsid w:val="00597E5D"/>
    <w:rsid w:val="00597FA3"/>
    <w:rsid w:val="005A0129"/>
    <w:rsid w:val="005A0EFB"/>
    <w:rsid w:val="005A1885"/>
    <w:rsid w:val="005A21BC"/>
    <w:rsid w:val="005A2571"/>
    <w:rsid w:val="005A3963"/>
    <w:rsid w:val="005A3CA5"/>
    <w:rsid w:val="005A44CA"/>
    <w:rsid w:val="005A4CCA"/>
    <w:rsid w:val="005A5A32"/>
    <w:rsid w:val="005A5C2A"/>
    <w:rsid w:val="005A5C9B"/>
    <w:rsid w:val="005A6AC4"/>
    <w:rsid w:val="005A6AE8"/>
    <w:rsid w:val="005A7007"/>
    <w:rsid w:val="005A72D7"/>
    <w:rsid w:val="005A73B5"/>
    <w:rsid w:val="005A7911"/>
    <w:rsid w:val="005A7BE4"/>
    <w:rsid w:val="005B035A"/>
    <w:rsid w:val="005B0468"/>
    <w:rsid w:val="005B0BCF"/>
    <w:rsid w:val="005B10D9"/>
    <w:rsid w:val="005B1589"/>
    <w:rsid w:val="005B197F"/>
    <w:rsid w:val="005B1C5D"/>
    <w:rsid w:val="005B2434"/>
    <w:rsid w:val="005B2748"/>
    <w:rsid w:val="005B2B3E"/>
    <w:rsid w:val="005B2C29"/>
    <w:rsid w:val="005B2DF0"/>
    <w:rsid w:val="005B32E1"/>
    <w:rsid w:val="005B3401"/>
    <w:rsid w:val="005B3653"/>
    <w:rsid w:val="005B3700"/>
    <w:rsid w:val="005B372F"/>
    <w:rsid w:val="005B3AF5"/>
    <w:rsid w:val="005B4024"/>
    <w:rsid w:val="005B4374"/>
    <w:rsid w:val="005B4559"/>
    <w:rsid w:val="005B4689"/>
    <w:rsid w:val="005B4C2D"/>
    <w:rsid w:val="005B5237"/>
    <w:rsid w:val="005B54E9"/>
    <w:rsid w:val="005B5773"/>
    <w:rsid w:val="005B5BCD"/>
    <w:rsid w:val="005B6604"/>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2A6"/>
    <w:rsid w:val="005C3A1E"/>
    <w:rsid w:val="005C3FEE"/>
    <w:rsid w:val="005C408D"/>
    <w:rsid w:val="005C4796"/>
    <w:rsid w:val="005C4E3B"/>
    <w:rsid w:val="005C4F64"/>
    <w:rsid w:val="005C5AE4"/>
    <w:rsid w:val="005C5C59"/>
    <w:rsid w:val="005C5E87"/>
    <w:rsid w:val="005C5F0E"/>
    <w:rsid w:val="005C60CB"/>
    <w:rsid w:val="005C64A4"/>
    <w:rsid w:val="005C6A2F"/>
    <w:rsid w:val="005C70EE"/>
    <w:rsid w:val="005C71AA"/>
    <w:rsid w:val="005C73FB"/>
    <w:rsid w:val="005C7C55"/>
    <w:rsid w:val="005C7FB2"/>
    <w:rsid w:val="005D051A"/>
    <w:rsid w:val="005D08F9"/>
    <w:rsid w:val="005D0A1C"/>
    <w:rsid w:val="005D114B"/>
    <w:rsid w:val="005D2250"/>
    <w:rsid w:val="005D25CB"/>
    <w:rsid w:val="005D30DB"/>
    <w:rsid w:val="005D3640"/>
    <w:rsid w:val="005D3712"/>
    <w:rsid w:val="005D3747"/>
    <w:rsid w:val="005D4088"/>
    <w:rsid w:val="005D43CB"/>
    <w:rsid w:val="005D4951"/>
    <w:rsid w:val="005D6209"/>
    <w:rsid w:val="005D6312"/>
    <w:rsid w:val="005D707E"/>
    <w:rsid w:val="005D7574"/>
    <w:rsid w:val="005D77BD"/>
    <w:rsid w:val="005D7867"/>
    <w:rsid w:val="005D7EEA"/>
    <w:rsid w:val="005D7F1C"/>
    <w:rsid w:val="005E0670"/>
    <w:rsid w:val="005E0989"/>
    <w:rsid w:val="005E0A3F"/>
    <w:rsid w:val="005E0EE0"/>
    <w:rsid w:val="005E0F68"/>
    <w:rsid w:val="005E0FB0"/>
    <w:rsid w:val="005E12E0"/>
    <w:rsid w:val="005E1717"/>
    <w:rsid w:val="005E1A9F"/>
    <w:rsid w:val="005E1E33"/>
    <w:rsid w:val="005E2907"/>
    <w:rsid w:val="005E2B9E"/>
    <w:rsid w:val="005E3057"/>
    <w:rsid w:val="005E3375"/>
    <w:rsid w:val="005E3957"/>
    <w:rsid w:val="005E3A2A"/>
    <w:rsid w:val="005E3EA2"/>
    <w:rsid w:val="005E42E3"/>
    <w:rsid w:val="005E5002"/>
    <w:rsid w:val="005E50DF"/>
    <w:rsid w:val="005E53B2"/>
    <w:rsid w:val="005E53F6"/>
    <w:rsid w:val="005E59EE"/>
    <w:rsid w:val="005E5D7B"/>
    <w:rsid w:val="005E6143"/>
    <w:rsid w:val="005E618A"/>
    <w:rsid w:val="005E6419"/>
    <w:rsid w:val="005E6475"/>
    <w:rsid w:val="005E661E"/>
    <w:rsid w:val="005E670D"/>
    <w:rsid w:val="005E6B8D"/>
    <w:rsid w:val="005E6F26"/>
    <w:rsid w:val="005E7BE5"/>
    <w:rsid w:val="005E7E1E"/>
    <w:rsid w:val="005F09AA"/>
    <w:rsid w:val="005F0E48"/>
    <w:rsid w:val="005F120A"/>
    <w:rsid w:val="005F1247"/>
    <w:rsid w:val="005F12B4"/>
    <w:rsid w:val="005F162B"/>
    <w:rsid w:val="005F32FC"/>
    <w:rsid w:val="005F33C2"/>
    <w:rsid w:val="005F374A"/>
    <w:rsid w:val="005F3781"/>
    <w:rsid w:val="005F3C83"/>
    <w:rsid w:val="005F4066"/>
    <w:rsid w:val="005F411A"/>
    <w:rsid w:val="005F4EE3"/>
    <w:rsid w:val="005F5068"/>
    <w:rsid w:val="005F585D"/>
    <w:rsid w:val="005F5AD1"/>
    <w:rsid w:val="005F5F63"/>
    <w:rsid w:val="005F6133"/>
    <w:rsid w:val="005F65F9"/>
    <w:rsid w:val="005F661F"/>
    <w:rsid w:val="005F6BAB"/>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40AB"/>
    <w:rsid w:val="006043AE"/>
    <w:rsid w:val="00604699"/>
    <w:rsid w:val="006046D4"/>
    <w:rsid w:val="0060482E"/>
    <w:rsid w:val="00604F99"/>
    <w:rsid w:val="00605251"/>
    <w:rsid w:val="00605D5C"/>
    <w:rsid w:val="00606840"/>
    <w:rsid w:val="006073CE"/>
    <w:rsid w:val="0060764B"/>
    <w:rsid w:val="00607658"/>
    <w:rsid w:val="00607B0C"/>
    <w:rsid w:val="00610BF6"/>
    <w:rsid w:val="00610DF4"/>
    <w:rsid w:val="00610E61"/>
    <w:rsid w:val="00611140"/>
    <w:rsid w:val="006114AE"/>
    <w:rsid w:val="006124DD"/>
    <w:rsid w:val="006127AB"/>
    <w:rsid w:val="0061290D"/>
    <w:rsid w:val="00612DE7"/>
    <w:rsid w:val="006130EE"/>
    <w:rsid w:val="006131CE"/>
    <w:rsid w:val="006138C0"/>
    <w:rsid w:val="00613A29"/>
    <w:rsid w:val="00613EF5"/>
    <w:rsid w:val="0061441E"/>
    <w:rsid w:val="006147E5"/>
    <w:rsid w:val="006149DB"/>
    <w:rsid w:val="00615836"/>
    <w:rsid w:val="00615D2C"/>
    <w:rsid w:val="00615DFD"/>
    <w:rsid w:val="00615E6C"/>
    <w:rsid w:val="00616104"/>
    <w:rsid w:val="00616AAF"/>
    <w:rsid w:val="006173C1"/>
    <w:rsid w:val="00617584"/>
    <w:rsid w:val="006176D9"/>
    <w:rsid w:val="00617B03"/>
    <w:rsid w:val="00617E61"/>
    <w:rsid w:val="0062059F"/>
    <w:rsid w:val="00620605"/>
    <w:rsid w:val="00620751"/>
    <w:rsid w:val="006207FA"/>
    <w:rsid w:val="006211CD"/>
    <w:rsid w:val="00621247"/>
    <w:rsid w:val="006226A2"/>
    <w:rsid w:val="00622E44"/>
    <w:rsid w:val="00623453"/>
    <w:rsid w:val="00623C52"/>
    <w:rsid w:val="00623CD9"/>
    <w:rsid w:val="00624692"/>
    <w:rsid w:val="006248CA"/>
    <w:rsid w:val="00624A65"/>
    <w:rsid w:val="00625445"/>
    <w:rsid w:val="00625876"/>
    <w:rsid w:val="0062612B"/>
    <w:rsid w:val="006267F7"/>
    <w:rsid w:val="0062731C"/>
    <w:rsid w:val="006309E0"/>
    <w:rsid w:val="006311F1"/>
    <w:rsid w:val="006314C2"/>
    <w:rsid w:val="00631843"/>
    <w:rsid w:val="00631C37"/>
    <w:rsid w:val="0063209E"/>
    <w:rsid w:val="006320EC"/>
    <w:rsid w:val="0063233E"/>
    <w:rsid w:val="0063260C"/>
    <w:rsid w:val="006326C5"/>
    <w:rsid w:val="00632A6F"/>
    <w:rsid w:val="00632AF3"/>
    <w:rsid w:val="00633754"/>
    <w:rsid w:val="006337E6"/>
    <w:rsid w:val="00633965"/>
    <w:rsid w:val="0063405A"/>
    <w:rsid w:val="00635743"/>
    <w:rsid w:val="00635AD4"/>
    <w:rsid w:val="00636B48"/>
    <w:rsid w:val="00636CD7"/>
    <w:rsid w:val="00636CE4"/>
    <w:rsid w:val="0063794E"/>
    <w:rsid w:val="00637AF9"/>
    <w:rsid w:val="00640454"/>
    <w:rsid w:val="006406EE"/>
    <w:rsid w:val="00641023"/>
    <w:rsid w:val="006412EB"/>
    <w:rsid w:val="00641482"/>
    <w:rsid w:val="00641A26"/>
    <w:rsid w:val="00641E21"/>
    <w:rsid w:val="0064274E"/>
    <w:rsid w:val="00642AF6"/>
    <w:rsid w:val="00642E5B"/>
    <w:rsid w:val="00642EEF"/>
    <w:rsid w:val="0064302D"/>
    <w:rsid w:val="006438FE"/>
    <w:rsid w:val="006440AB"/>
    <w:rsid w:val="00644D2E"/>
    <w:rsid w:val="006459AD"/>
    <w:rsid w:val="006464AC"/>
    <w:rsid w:val="006469C2"/>
    <w:rsid w:val="00646A3A"/>
    <w:rsid w:val="00646F69"/>
    <w:rsid w:val="00647013"/>
    <w:rsid w:val="00647C7E"/>
    <w:rsid w:val="00650178"/>
    <w:rsid w:val="006502ED"/>
    <w:rsid w:val="006505BB"/>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B3C"/>
    <w:rsid w:val="00653F1C"/>
    <w:rsid w:val="0065423E"/>
    <w:rsid w:val="00654637"/>
    <w:rsid w:val="0065486D"/>
    <w:rsid w:val="00654A03"/>
    <w:rsid w:val="00654CF7"/>
    <w:rsid w:val="00654D82"/>
    <w:rsid w:val="00654FEE"/>
    <w:rsid w:val="0065544D"/>
    <w:rsid w:val="006554E5"/>
    <w:rsid w:val="00655915"/>
    <w:rsid w:val="00656380"/>
    <w:rsid w:val="00656AE0"/>
    <w:rsid w:val="00656BDE"/>
    <w:rsid w:val="00656DBF"/>
    <w:rsid w:val="00657160"/>
    <w:rsid w:val="006573F5"/>
    <w:rsid w:val="006577FA"/>
    <w:rsid w:val="006600B7"/>
    <w:rsid w:val="00660629"/>
    <w:rsid w:val="006608F8"/>
    <w:rsid w:val="00660C93"/>
    <w:rsid w:val="00661B4C"/>
    <w:rsid w:val="00661BE3"/>
    <w:rsid w:val="00662282"/>
    <w:rsid w:val="006629AB"/>
    <w:rsid w:val="0066339D"/>
    <w:rsid w:val="006637F7"/>
    <w:rsid w:val="00663ECC"/>
    <w:rsid w:val="00664431"/>
    <w:rsid w:val="00664474"/>
    <w:rsid w:val="0066448E"/>
    <w:rsid w:val="0066459B"/>
    <w:rsid w:val="00664D95"/>
    <w:rsid w:val="00664FC5"/>
    <w:rsid w:val="00665539"/>
    <w:rsid w:val="00665594"/>
    <w:rsid w:val="0066586D"/>
    <w:rsid w:val="006658F0"/>
    <w:rsid w:val="00665F0E"/>
    <w:rsid w:val="006662BA"/>
    <w:rsid w:val="00666332"/>
    <w:rsid w:val="0066642F"/>
    <w:rsid w:val="006666FD"/>
    <w:rsid w:val="00666DDF"/>
    <w:rsid w:val="006673D9"/>
    <w:rsid w:val="00667620"/>
    <w:rsid w:val="006678C9"/>
    <w:rsid w:val="00667D51"/>
    <w:rsid w:val="00667DB3"/>
    <w:rsid w:val="006703D5"/>
    <w:rsid w:val="00670491"/>
    <w:rsid w:val="00670B23"/>
    <w:rsid w:val="00670F01"/>
    <w:rsid w:val="00670F08"/>
    <w:rsid w:val="00671112"/>
    <w:rsid w:val="006711CD"/>
    <w:rsid w:val="00671274"/>
    <w:rsid w:val="006714CE"/>
    <w:rsid w:val="00671FC2"/>
    <w:rsid w:val="00672021"/>
    <w:rsid w:val="006724B7"/>
    <w:rsid w:val="00672626"/>
    <w:rsid w:val="00672876"/>
    <w:rsid w:val="006729FC"/>
    <w:rsid w:val="00672DD5"/>
    <w:rsid w:val="00672F78"/>
    <w:rsid w:val="0067339C"/>
    <w:rsid w:val="006734BE"/>
    <w:rsid w:val="006735F3"/>
    <w:rsid w:val="00673D32"/>
    <w:rsid w:val="00674859"/>
    <w:rsid w:val="00675366"/>
    <w:rsid w:val="006759CB"/>
    <w:rsid w:val="00675D32"/>
    <w:rsid w:val="00675E99"/>
    <w:rsid w:val="006760DF"/>
    <w:rsid w:val="0067611A"/>
    <w:rsid w:val="00676157"/>
    <w:rsid w:val="0067626D"/>
    <w:rsid w:val="0067642C"/>
    <w:rsid w:val="00676A74"/>
    <w:rsid w:val="00676B58"/>
    <w:rsid w:val="00676D5D"/>
    <w:rsid w:val="00680148"/>
    <w:rsid w:val="00680F5B"/>
    <w:rsid w:val="006815AE"/>
    <w:rsid w:val="00682164"/>
    <w:rsid w:val="006821A3"/>
    <w:rsid w:val="0068230C"/>
    <w:rsid w:val="00682BA5"/>
    <w:rsid w:val="00682FA5"/>
    <w:rsid w:val="0068316A"/>
    <w:rsid w:val="006834D8"/>
    <w:rsid w:val="006835B1"/>
    <w:rsid w:val="00683AC0"/>
    <w:rsid w:val="00683CCE"/>
    <w:rsid w:val="00683DEA"/>
    <w:rsid w:val="00683F05"/>
    <w:rsid w:val="006843EE"/>
    <w:rsid w:val="00684B43"/>
    <w:rsid w:val="00684D70"/>
    <w:rsid w:val="0068510C"/>
    <w:rsid w:val="006858F0"/>
    <w:rsid w:val="00685937"/>
    <w:rsid w:val="00685DBD"/>
    <w:rsid w:val="0068612F"/>
    <w:rsid w:val="00686EF0"/>
    <w:rsid w:val="00687B93"/>
    <w:rsid w:val="00687E4C"/>
    <w:rsid w:val="00687F21"/>
    <w:rsid w:val="00690A36"/>
    <w:rsid w:val="00690B2B"/>
    <w:rsid w:val="00690C85"/>
    <w:rsid w:val="0069106C"/>
    <w:rsid w:val="0069113C"/>
    <w:rsid w:val="00691433"/>
    <w:rsid w:val="006914E7"/>
    <w:rsid w:val="006916AA"/>
    <w:rsid w:val="00691C48"/>
    <w:rsid w:val="00691D6E"/>
    <w:rsid w:val="00692436"/>
    <w:rsid w:val="00692D16"/>
    <w:rsid w:val="00692FF7"/>
    <w:rsid w:val="006930BD"/>
    <w:rsid w:val="0069324C"/>
    <w:rsid w:val="006932EF"/>
    <w:rsid w:val="006935B3"/>
    <w:rsid w:val="0069394E"/>
    <w:rsid w:val="006943A2"/>
    <w:rsid w:val="00694761"/>
    <w:rsid w:val="00694840"/>
    <w:rsid w:val="0069509B"/>
    <w:rsid w:val="006951E2"/>
    <w:rsid w:val="00695A32"/>
    <w:rsid w:val="006960FC"/>
    <w:rsid w:val="006964C6"/>
    <w:rsid w:val="00696852"/>
    <w:rsid w:val="00697379"/>
    <w:rsid w:val="00697393"/>
    <w:rsid w:val="006976BB"/>
    <w:rsid w:val="006977BF"/>
    <w:rsid w:val="006978ED"/>
    <w:rsid w:val="00697AF3"/>
    <w:rsid w:val="006A015F"/>
    <w:rsid w:val="006A114F"/>
    <w:rsid w:val="006A1624"/>
    <w:rsid w:val="006A184C"/>
    <w:rsid w:val="006A2C78"/>
    <w:rsid w:val="006A3481"/>
    <w:rsid w:val="006A361D"/>
    <w:rsid w:val="006A3870"/>
    <w:rsid w:val="006A3AF9"/>
    <w:rsid w:val="006A433E"/>
    <w:rsid w:val="006A454B"/>
    <w:rsid w:val="006A46C0"/>
    <w:rsid w:val="006A4D83"/>
    <w:rsid w:val="006A4E72"/>
    <w:rsid w:val="006A4F97"/>
    <w:rsid w:val="006A52EE"/>
    <w:rsid w:val="006A6E5D"/>
    <w:rsid w:val="006A756A"/>
    <w:rsid w:val="006A7E3F"/>
    <w:rsid w:val="006B020C"/>
    <w:rsid w:val="006B07A9"/>
    <w:rsid w:val="006B1105"/>
    <w:rsid w:val="006B1158"/>
    <w:rsid w:val="006B15AD"/>
    <w:rsid w:val="006B3446"/>
    <w:rsid w:val="006B38BE"/>
    <w:rsid w:val="006B3921"/>
    <w:rsid w:val="006B3D8C"/>
    <w:rsid w:val="006B4618"/>
    <w:rsid w:val="006B4AFB"/>
    <w:rsid w:val="006B4F01"/>
    <w:rsid w:val="006B58A1"/>
    <w:rsid w:val="006B5C2D"/>
    <w:rsid w:val="006B618C"/>
    <w:rsid w:val="006B70F4"/>
    <w:rsid w:val="006B7470"/>
    <w:rsid w:val="006B74D3"/>
    <w:rsid w:val="006B7656"/>
    <w:rsid w:val="006B7810"/>
    <w:rsid w:val="006B7845"/>
    <w:rsid w:val="006B7867"/>
    <w:rsid w:val="006C00BB"/>
    <w:rsid w:val="006C0638"/>
    <w:rsid w:val="006C09E4"/>
    <w:rsid w:val="006C0B2A"/>
    <w:rsid w:val="006C0ED8"/>
    <w:rsid w:val="006C102B"/>
    <w:rsid w:val="006C1144"/>
    <w:rsid w:val="006C1185"/>
    <w:rsid w:val="006C16F4"/>
    <w:rsid w:val="006C1B63"/>
    <w:rsid w:val="006C1F97"/>
    <w:rsid w:val="006C2872"/>
    <w:rsid w:val="006C2881"/>
    <w:rsid w:val="006C3181"/>
    <w:rsid w:val="006C3DDE"/>
    <w:rsid w:val="006C4C5E"/>
    <w:rsid w:val="006C57B2"/>
    <w:rsid w:val="006C6B6F"/>
    <w:rsid w:val="006C722C"/>
    <w:rsid w:val="006C7528"/>
    <w:rsid w:val="006C77ED"/>
    <w:rsid w:val="006C783F"/>
    <w:rsid w:val="006C798A"/>
    <w:rsid w:val="006C7A48"/>
    <w:rsid w:val="006C7E40"/>
    <w:rsid w:val="006D05DB"/>
    <w:rsid w:val="006D0894"/>
    <w:rsid w:val="006D1564"/>
    <w:rsid w:val="006D179A"/>
    <w:rsid w:val="006D1EAB"/>
    <w:rsid w:val="006D21E9"/>
    <w:rsid w:val="006D22F6"/>
    <w:rsid w:val="006D257F"/>
    <w:rsid w:val="006D311A"/>
    <w:rsid w:val="006D341F"/>
    <w:rsid w:val="006D35EA"/>
    <w:rsid w:val="006D37AF"/>
    <w:rsid w:val="006D3A1F"/>
    <w:rsid w:val="006D3A52"/>
    <w:rsid w:val="006D4403"/>
    <w:rsid w:val="006D4720"/>
    <w:rsid w:val="006D47E1"/>
    <w:rsid w:val="006D4DF2"/>
    <w:rsid w:val="006D4FA9"/>
    <w:rsid w:val="006D5019"/>
    <w:rsid w:val="006D501E"/>
    <w:rsid w:val="006D50CD"/>
    <w:rsid w:val="006D5274"/>
    <w:rsid w:val="006D5A63"/>
    <w:rsid w:val="006D5B26"/>
    <w:rsid w:val="006D5D56"/>
    <w:rsid w:val="006D66F4"/>
    <w:rsid w:val="006D6D49"/>
    <w:rsid w:val="006D6DB7"/>
    <w:rsid w:val="006D70E0"/>
    <w:rsid w:val="006D7856"/>
    <w:rsid w:val="006D7A8B"/>
    <w:rsid w:val="006E0181"/>
    <w:rsid w:val="006E0F71"/>
    <w:rsid w:val="006E13AE"/>
    <w:rsid w:val="006E16AA"/>
    <w:rsid w:val="006E1F6D"/>
    <w:rsid w:val="006E2A14"/>
    <w:rsid w:val="006E3227"/>
    <w:rsid w:val="006E3498"/>
    <w:rsid w:val="006E3841"/>
    <w:rsid w:val="006E3C64"/>
    <w:rsid w:val="006E3D8A"/>
    <w:rsid w:val="006E4199"/>
    <w:rsid w:val="006E43F6"/>
    <w:rsid w:val="006E450A"/>
    <w:rsid w:val="006E46D5"/>
    <w:rsid w:val="006E4CA2"/>
    <w:rsid w:val="006E4D80"/>
    <w:rsid w:val="006E4E3E"/>
    <w:rsid w:val="006E532B"/>
    <w:rsid w:val="006E5464"/>
    <w:rsid w:val="006E5EE8"/>
    <w:rsid w:val="006E6B3E"/>
    <w:rsid w:val="006E6D3C"/>
    <w:rsid w:val="006E6E49"/>
    <w:rsid w:val="006E7108"/>
    <w:rsid w:val="006E718A"/>
    <w:rsid w:val="006E71F1"/>
    <w:rsid w:val="006E78A2"/>
    <w:rsid w:val="006E7D1E"/>
    <w:rsid w:val="006F061A"/>
    <w:rsid w:val="006F0766"/>
    <w:rsid w:val="006F0B1D"/>
    <w:rsid w:val="006F0F53"/>
    <w:rsid w:val="006F195F"/>
    <w:rsid w:val="006F1CEE"/>
    <w:rsid w:val="006F1F96"/>
    <w:rsid w:val="006F21DA"/>
    <w:rsid w:val="006F2870"/>
    <w:rsid w:val="006F28CA"/>
    <w:rsid w:val="006F2D05"/>
    <w:rsid w:val="006F2DD0"/>
    <w:rsid w:val="006F3AED"/>
    <w:rsid w:val="006F434D"/>
    <w:rsid w:val="006F5A43"/>
    <w:rsid w:val="006F618D"/>
    <w:rsid w:val="006F61DF"/>
    <w:rsid w:val="006F650B"/>
    <w:rsid w:val="006F67AF"/>
    <w:rsid w:val="006F69CF"/>
    <w:rsid w:val="006F70EF"/>
    <w:rsid w:val="007014EC"/>
    <w:rsid w:val="007018F0"/>
    <w:rsid w:val="007019F6"/>
    <w:rsid w:val="00701F04"/>
    <w:rsid w:val="007024FD"/>
    <w:rsid w:val="0070267F"/>
    <w:rsid w:val="00702733"/>
    <w:rsid w:val="00702CAB"/>
    <w:rsid w:val="00703521"/>
    <w:rsid w:val="00703732"/>
    <w:rsid w:val="0070383F"/>
    <w:rsid w:val="00703DA0"/>
    <w:rsid w:val="0070438D"/>
    <w:rsid w:val="00704407"/>
    <w:rsid w:val="00704D58"/>
    <w:rsid w:val="00704FF7"/>
    <w:rsid w:val="007052B0"/>
    <w:rsid w:val="00705558"/>
    <w:rsid w:val="00705B86"/>
    <w:rsid w:val="00705E27"/>
    <w:rsid w:val="00705F5D"/>
    <w:rsid w:val="007061E9"/>
    <w:rsid w:val="007064D2"/>
    <w:rsid w:val="00706583"/>
    <w:rsid w:val="007069ED"/>
    <w:rsid w:val="00707AA3"/>
    <w:rsid w:val="007102A7"/>
    <w:rsid w:val="007103DD"/>
    <w:rsid w:val="007107DF"/>
    <w:rsid w:val="007108F1"/>
    <w:rsid w:val="00710FA6"/>
    <w:rsid w:val="00710FBC"/>
    <w:rsid w:val="007110D8"/>
    <w:rsid w:val="00711275"/>
    <w:rsid w:val="0071162B"/>
    <w:rsid w:val="0071251B"/>
    <w:rsid w:val="007125DE"/>
    <w:rsid w:val="00712750"/>
    <w:rsid w:val="00712967"/>
    <w:rsid w:val="00712E4D"/>
    <w:rsid w:val="0071312F"/>
    <w:rsid w:val="0071384D"/>
    <w:rsid w:val="00713A49"/>
    <w:rsid w:val="00713A52"/>
    <w:rsid w:val="00713B49"/>
    <w:rsid w:val="00713BA4"/>
    <w:rsid w:val="00713BAD"/>
    <w:rsid w:val="00713CCA"/>
    <w:rsid w:val="00713ED4"/>
    <w:rsid w:val="00713EF8"/>
    <w:rsid w:val="00714427"/>
    <w:rsid w:val="00714741"/>
    <w:rsid w:val="00714C37"/>
    <w:rsid w:val="00714C8E"/>
    <w:rsid w:val="007156A6"/>
    <w:rsid w:val="0071574D"/>
    <w:rsid w:val="00715DF7"/>
    <w:rsid w:val="00715E0F"/>
    <w:rsid w:val="00716567"/>
    <w:rsid w:val="00716847"/>
    <w:rsid w:val="00716F33"/>
    <w:rsid w:val="0071747F"/>
    <w:rsid w:val="00717754"/>
    <w:rsid w:val="00717B7A"/>
    <w:rsid w:val="00720327"/>
    <w:rsid w:val="00720BDD"/>
    <w:rsid w:val="0072101F"/>
    <w:rsid w:val="007212CB"/>
    <w:rsid w:val="0072166A"/>
    <w:rsid w:val="00721EE9"/>
    <w:rsid w:val="00722732"/>
    <w:rsid w:val="0072369E"/>
    <w:rsid w:val="007238A9"/>
    <w:rsid w:val="00723B94"/>
    <w:rsid w:val="00723E43"/>
    <w:rsid w:val="007240EE"/>
    <w:rsid w:val="007243FC"/>
    <w:rsid w:val="00724512"/>
    <w:rsid w:val="00724D36"/>
    <w:rsid w:val="00724E80"/>
    <w:rsid w:val="00724F48"/>
    <w:rsid w:val="00724FD0"/>
    <w:rsid w:val="00725400"/>
    <w:rsid w:val="0072547C"/>
    <w:rsid w:val="00725EF0"/>
    <w:rsid w:val="0072604F"/>
    <w:rsid w:val="00726BFF"/>
    <w:rsid w:val="00727213"/>
    <w:rsid w:val="0072742F"/>
    <w:rsid w:val="00727F78"/>
    <w:rsid w:val="0073139C"/>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D2F"/>
    <w:rsid w:val="00734F0F"/>
    <w:rsid w:val="0073510D"/>
    <w:rsid w:val="0073518A"/>
    <w:rsid w:val="00735226"/>
    <w:rsid w:val="00735609"/>
    <w:rsid w:val="00735BBB"/>
    <w:rsid w:val="00735C53"/>
    <w:rsid w:val="00736743"/>
    <w:rsid w:val="00736E50"/>
    <w:rsid w:val="007373FD"/>
    <w:rsid w:val="00737A7A"/>
    <w:rsid w:val="00737FE5"/>
    <w:rsid w:val="007401D9"/>
    <w:rsid w:val="00740460"/>
    <w:rsid w:val="0074051D"/>
    <w:rsid w:val="00740F24"/>
    <w:rsid w:val="00741B45"/>
    <w:rsid w:val="00741E2F"/>
    <w:rsid w:val="00741EC9"/>
    <w:rsid w:val="00742082"/>
    <w:rsid w:val="0074246F"/>
    <w:rsid w:val="007429ED"/>
    <w:rsid w:val="00742A67"/>
    <w:rsid w:val="007430CA"/>
    <w:rsid w:val="007436A4"/>
    <w:rsid w:val="00743DC3"/>
    <w:rsid w:val="00743F94"/>
    <w:rsid w:val="007443B6"/>
    <w:rsid w:val="00744E39"/>
    <w:rsid w:val="007450A7"/>
    <w:rsid w:val="00745692"/>
    <w:rsid w:val="007464FB"/>
    <w:rsid w:val="0074704B"/>
    <w:rsid w:val="007474DC"/>
    <w:rsid w:val="00747741"/>
    <w:rsid w:val="00747A9B"/>
    <w:rsid w:val="00747D86"/>
    <w:rsid w:val="007501D2"/>
    <w:rsid w:val="0075064B"/>
    <w:rsid w:val="00750C6B"/>
    <w:rsid w:val="00750DF9"/>
    <w:rsid w:val="00750EB3"/>
    <w:rsid w:val="00751212"/>
    <w:rsid w:val="0075198E"/>
    <w:rsid w:val="00752066"/>
    <w:rsid w:val="00752071"/>
    <w:rsid w:val="007529C8"/>
    <w:rsid w:val="00753B48"/>
    <w:rsid w:val="00753EB2"/>
    <w:rsid w:val="0075428E"/>
    <w:rsid w:val="007542B0"/>
    <w:rsid w:val="00754429"/>
    <w:rsid w:val="00754696"/>
    <w:rsid w:val="00754B16"/>
    <w:rsid w:val="00754D0A"/>
    <w:rsid w:val="007553B1"/>
    <w:rsid w:val="00756A0A"/>
    <w:rsid w:val="0075719C"/>
    <w:rsid w:val="0075766C"/>
    <w:rsid w:val="007577CE"/>
    <w:rsid w:val="007579E1"/>
    <w:rsid w:val="00757B91"/>
    <w:rsid w:val="007607CE"/>
    <w:rsid w:val="00760AD3"/>
    <w:rsid w:val="00760DF0"/>
    <w:rsid w:val="00760F06"/>
    <w:rsid w:val="007615E4"/>
    <w:rsid w:val="0076186B"/>
    <w:rsid w:val="00761E0D"/>
    <w:rsid w:val="00762133"/>
    <w:rsid w:val="0076230C"/>
    <w:rsid w:val="00762DD6"/>
    <w:rsid w:val="00762F71"/>
    <w:rsid w:val="00762FDB"/>
    <w:rsid w:val="00763152"/>
    <w:rsid w:val="00763529"/>
    <w:rsid w:val="00763648"/>
    <w:rsid w:val="00763693"/>
    <w:rsid w:val="00763A62"/>
    <w:rsid w:val="007640A5"/>
    <w:rsid w:val="007642FF"/>
    <w:rsid w:val="0076489E"/>
    <w:rsid w:val="007648E6"/>
    <w:rsid w:val="007650A2"/>
    <w:rsid w:val="00765995"/>
    <w:rsid w:val="00765E01"/>
    <w:rsid w:val="00765E98"/>
    <w:rsid w:val="00766416"/>
    <w:rsid w:val="00766422"/>
    <w:rsid w:val="00766B23"/>
    <w:rsid w:val="00766B5F"/>
    <w:rsid w:val="00766CA5"/>
    <w:rsid w:val="00767582"/>
    <w:rsid w:val="00767D7B"/>
    <w:rsid w:val="00767F3E"/>
    <w:rsid w:val="00770427"/>
    <w:rsid w:val="0077045B"/>
    <w:rsid w:val="00770887"/>
    <w:rsid w:val="007708DC"/>
    <w:rsid w:val="00770982"/>
    <w:rsid w:val="007727F1"/>
    <w:rsid w:val="00772CAA"/>
    <w:rsid w:val="00772D55"/>
    <w:rsid w:val="00772EF8"/>
    <w:rsid w:val="007730CC"/>
    <w:rsid w:val="0077322E"/>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C15"/>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6292"/>
    <w:rsid w:val="00786515"/>
    <w:rsid w:val="007866E5"/>
    <w:rsid w:val="00786C75"/>
    <w:rsid w:val="00787276"/>
    <w:rsid w:val="0078727E"/>
    <w:rsid w:val="00787CCA"/>
    <w:rsid w:val="00790251"/>
    <w:rsid w:val="00790C39"/>
    <w:rsid w:val="00791215"/>
    <w:rsid w:val="0079130C"/>
    <w:rsid w:val="007919BA"/>
    <w:rsid w:val="00791EE4"/>
    <w:rsid w:val="00792348"/>
    <w:rsid w:val="00792849"/>
    <w:rsid w:val="00792BF4"/>
    <w:rsid w:val="00792C85"/>
    <w:rsid w:val="00792F8D"/>
    <w:rsid w:val="00793281"/>
    <w:rsid w:val="007950CE"/>
    <w:rsid w:val="007957B6"/>
    <w:rsid w:val="007961AA"/>
    <w:rsid w:val="0079645D"/>
    <w:rsid w:val="00796BDD"/>
    <w:rsid w:val="00796C8D"/>
    <w:rsid w:val="00797250"/>
    <w:rsid w:val="007977B0"/>
    <w:rsid w:val="00797848"/>
    <w:rsid w:val="00797A1F"/>
    <w:rsid w:val="007A098C"/>
    <w:rsid w:val="007A0DF3"/>
    <w:rsid w:val="007A10A3"/>
    <w:rsid w:val="007A126F"/>
    <w:rsid w:val="007A12F9"/>
    <w:rsid w:val="007A1642"/>
    <w:rsid w:val="007A2B3E"/>
    <w:rsid w:val="007A3260"/>
    <w:rsid w:val="007A3376"/>
    <w:rsid w:val="007A34B2"/>
    <w:rsid w:val="007A38E9"/>
    <w:rsid w:val="007A41D4"/>
    <w:rsid w:val="007A4208"/>
    <w:rsid w:val="007A445E"/>
    <w:rsid w:val="007A4EC2"/>
    <w:rsid w:val="007A50B2"/>
    <w:rsid w:val="007A62E3"/>
    <w:rsid w:val="007A6B37"/>
    <w:rsid w:val="007A7191"/>
    <w:rsid w:val="007A7205"/>
    <w:rsid w:val="007A7314"/>
    <w:rsid w:val="007A78EA"/>
    <w:rsid w:val="007B008F"/>
    <w:rsid w:val="007B04F5"/>
    <w:rsid w:val="007B110E"/>
    <w:rsid w:val="007B3315"/>
    <w:rsid w:val="007B3369"/>
    <w:rsid w:val="007B3549"/>
    <w:rsid w:val="007B3621"/>
    <w:rsid w:val="007B442C"/>
    <w:rsid w:val="007B4A82"/>
    <w:rsid w:val="007B523F"/>
    <w:rsid w:val="007B52A7"/>
    <w:rsid w:val="007B6007"/>
    <w:rsid w:val="007B626B"/>
    <w:rsid w:val="007B64AA"/>
    <w:rsid w:val="007B7198"/>
    <w:rsid w:val="007B7302"/>
    <w:rsid w:val="007B7451"/>
    <w:rsid w:val="007B7497"/>
    <w:rsid w:val="007B776B"/>
    <w:rsid w:val="007B7D81"/>
    <w:rsid w:val="007B7F69"/>
    <w:rsid w:val="007C1025"/>
    <w:rsid w:val="007C1321"/>
    <w:rsid w:val="007C1790"/>
    <w:rsid w:val="007C18CB"/>
    <w:rsid w:val="007C1FFB"/>
    <w:rsid w:val="007C2392"/>
    <w:rsid w:val="007C24EE"/>
    <w:rsid w:val="007C2A25"/>
    <w:rsid w:val="007C3B8A"/>
    <w:rsid w:val="007C4568"/>
    <w:rsid w:val="007C4657"/>
    <w:rsid w:val="007C5910"/>
    <w:rsid w:val="007C5951"/>
    <w:rsid w:val="007C59F7"/>
    <w:rsid w:val="007C6C83"/>
    <w:rsid w:val="007C6DCF"/>
    <w:rsid w:val="007C6E65"/>
    <w:rsid w:val="007C73AC"/>
    <w:rsid w:val="007C7737"/>
    <w:rsid w:val="007C7BB9"/>
    <w:rsid w:val="007C7C33"/>
    <w:rsid w:val="007C7F1F"/>
    <w:rsid w:val="007D0044"/>
    <w:rsid w:val="007D06F4"/>
    <w:rsid w:val="007D18FE"/>
    <w:rsid w:val="007D2455"/>
    <w:rsid w:val="007D32B4"/>
    <w:rsid w:val="007D3AF7"/>
    <w:rsid w:val="007D434E"/>
    <w:rsid w:val="007D45C8"/>
    <w:rsid w:val="007D4BA8"/>
    <w:rsid w:val="007D4C28"/>
    <w:rsid w:val="007D4DEE"/>
    <w:rsid w:val="007D569F"/>
    <w:rsid w:val="007D59BC"/>
    <w:rsid w:val="007D5B05"/>
    <w:rsid w:val="007D653F"/>
    <w:rsid w:val="007D6A22"/>
    <w:rsid w:val="007D6F9A"/>
    <w:rsid w:val="007D716C"/>
    <w:rsid w:val="007D79D5"/>
    <w:rsid w:val="007E00E9"/>
    <w:rsid w:val="007E04BF"/>
    <w:rsid w:val="007E0DBB"/>
    <w:rsid w:val="007E0F97"/>
    <w:rsid w:val="007E100E"/>
    <w:rsid w:val="007E127A"/>
    <w:rsid w:val="007E1753"/>
    <w:rsid w:val="007E1904"/>
    <w:rsid w:val="007E1B84"/>
    <w:rsid w:val="007E1DD6"/>
    <w:rsid w:val="007E1F9F"/>
    <w:rsid w:val="007E2108"/>
    <w:rsid w:val="007E22C2"/>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6AE"/>
    <w:rsid w:val="007E59CA"/>
    <w:rsid w:val="007E5F7B"/>
    <w:rsid w:val="007E66D8"/>
    <w:rsid w:val="007E75C0"/>
    <w:rsid w:val="007E786E"/>
    <w:rsid w:val="007F052C"/>
    <w:rsid w:val="007F07F3"/>
    <w:rsid w:val="007F1203"/>
    <w:rsid w:val="007F1230"/>
    <w:rsid w:val="007F178D"/>
    <w:rsid w:val="007F1A1F"/>
    <w:rsid w:val="007F1D41"/>
    <w:rsid w:val="007F1F03"/>
    <w:rsid w:val="007F24B0"/>
    <w:rsid w:val="007F2625"/>
    <w:rsid w:val="007F2F76"/>
    <w:rsid w:val="007F35DF"/>
    <w:rsid w:val="007F3E5C"/>
    <w:rsid w:val="007F406A"/>
    <w:rsid w:val="007F45BC"/>
    <w:rsid w:val="007F5114"/>
    <w:rsid w:val="007F54B2"/>
    <w:rsid w:val="007F54DE"/>
    <w:rsid w:val="007F5506"/>
    <w:rsid w:val="007F5609"/>
    <w:rsid w:val="007F59DB"/>
    <w:rsid w:val="007F6592"/>
    <w:rsid w:val="007F65F9"/>
    <w:rsid w:val="007F65FF"/>
    <w:rsid w:val="007F68B7"/>
    <w:rsid w:val="007F6C61"/>
    <w:rsid w:val="007F78D5"/>
    <w:rsid w:val="007F7902"/>
    <w:rsid w:val="007F7CD3"/>
    <w:rsid w:val="007F7F48"/>
    <w:rsid w:val="0080016B"/>
    <w:rsid w:val="00801265"/>
    <w:rsid w:val="00801843"/>
    <w:rsid w:val="00801A73"/>
    <w:rsid w:val="008024AE"/>
    <w:rsid w:val="00802E04"/>
    <w:rsid w:val="0080396D"/>
    <w:rsid w:val="00803CEE"/>
    <w:rsid w:val="00803F6D"/>
    <w:rsid w:val="00803F9C"/>
    <w:rsid w:val="00804350"/>
    <w:rsid w:val="0080444A"/>
    <w:rsid w:val="008045CF"/>
    <w:rsid w:val="008045ED"/>
    <w:rsid w:val="00805103"/>
    <w:rsid w:val="008051F0"/>
    <w:rsid w:val="00805E97"/>
    <w:rsid w:val="00805FD3"/>
    <w:rsid w:val="00806119"/>
    <w:rsid w:val="00806131"/>
    <w:rsid w:val="008069A6"/>
    <w:rsid w:val="00806CC1"/>
    <w:rsid w:val="00807560"/>
    <w:rsid w:val="00810546"/>
    <w:rsid w:val="00810653"/>
    <w:rsid w:val="00810935"/>
    <w:rsid w:val="00810D7B"/>
    <w:rsid w:val="00810DC0"/>
    <w:rsid w:val="00810E3C"/>
    <w:rsid w:val="00811441"/>
    <w:rsid w:val="00811799"/>
    <w:rsid w:val="00812597"/>
    <w:rsid w:val="00812786"/>
    <w:rsid w:val="008128C4"/>
    <w:rsid w:val="00813038"/>
    <w:rsid w:val="008138E4"/>
    <w:rsid w:val="00813BBB"/>
    <w:rsid w:val="00815198"/>
    <w:rsid w:val="00815CEC"/>
    <w:rsid w:val="008168A5"/>
    <w:rsid w:val="00816D7C"/>
    <w:rsid w:val="00817036"/>
    <w:rsid w:val="008170E9"/>
    <w:rsid w:val="00817314"/>
    <w:rsid w:val="00817AEB"/>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749"/>
    <w:rsid w:val="00821B89"/>
    <w:rsid w:val="0082235A"/>
    <w:rsid w:val="00822B95"/>
    <w:rsid w:val="00822EDB"/>
    <w:rsid w:val="008234DD"/>
    <w:rsid w:val="00823976"/>
    <w:rsid w:val="00823B36"/>
    <w:rsid w:val="00823C82"/>
    <w:rsid w:val="00823E43"/>
    <w:rsid w:val="00823F07"/>
    <w:rsid w:val="00824070"/>
    <w:rsid w:val="008241D8"/>
    <w:rsid w:val="008242AC"/>
    <w:rsid w:val="0082454A"/>
    <w:rsid w:val="008262D2"/>
    <w:rsid w:val="0082661D"/>
    <w:rsid w:val="00830151"/>
    <w:rsid w:val="0083023D"/>
    <w:rsid w:val="00830423"/>
    <w:rsid w:val="008306CF"/>
    <w:rsid w:val="0083082F"/>
    <w:rsid w:val="00830D15"/>
    <w:rsid w:val="008314D1"/>
    <w:rsid w:val="0083168F"/>
    <w:rsid w:val="00831EED"/>
    <w:rsid w:val="00832056"/>
    <w:rsid w:val="00832190"/>
    <w:rsid w:val="008326E7"/>
    <w:rsid w:val="008328E3"/>
    <w:rsid w:val="00832DEB"/>
    <w:rsid w:val="00833836"/>
    <w:rsid w:val="00834161"/>
    <w:rsid w:val="00834BCD"/>
    <w:rsid w:val="00834FB3"/>
    <w:rsid w:val="00835288"/>
    <w:rsid w:val="008354B6"/>
    <w:rsid w:val="00835CC8"/>
    <w:rsid w:val="00835DBD"/>
    <w:rsid w:val="0083601A"/>
    <w:rsid w:val="00836054"/>
    <w:rsid w:val="008360FD"/>
    <w:rsid w:val="00836272"/>
    <w:rsid w:val="008362B6"/>
    <w:rsid w:val="00836D0F"/>
    <w:rsid w:val="008374FC"/>
    <w:rsid w:val="00837BEB"/>
    <w:rsid w:val="00840198"/>
    <w:rsid w:val="00840441"/>
    <w:rsid w:val="008405E0"/>
    <w:rsid w:val="00840BC5"/>
    <w:rsid w:val="00840C3C"/>
    <w:rsid w:val="00840F7F"/>
    <w:rsid w:val="00841150"/>
    <w:rsid w:val="0084199D"/>
    <w:rsid w:val="00841D85"/>
    <w:rsid w:val="00842771"/>
    <w:rsid w:val="00842B7D"/>
    <w:rsid w:val="00842ECE"/>
    <w:rsid w:val="00843CBA"/>
    <w:rsid w:val="00843EAC"/>
    <w:rsid w:val="008442D2"/>
    <w:rsid w:val="00844697"/>
    <w:rsid w:val="00844985"/>
    <w:rsid w:val="00844A9F"/>
    <w:rsid w:val="00844E9A"/>
    <w:rsid w:val="00845606"/>
    <w:rsid w:val="0084568A"/>
    <w:rsid w:val="00845BDB"/>
    <w:rsid w:val="008461BF"/>
    <w:rsid w:val="008461C8"/>
    <w:rsid w:val="008469B1"/>
    <w:rsid w:val="00846A1C"/>
    <w:rsid w:val="00846F2F"/>
    <w:rsid w:val="00847A74"/>
    <w:rsid w:val="00847E54"/>
    <w:rsid w:val="00850A7B"/>
    <w:rsid w:val="00850E23"/>
    <w:rsid w:val="00850FB1"/>
    <w:rsid w:val="00850FB2"/>
    <w:rsid w:val="00851388"/>
    <w:rsid w:val="008519BC"/>
    <w:rsid w:val="00851BF8"/>
    <w:rsid w:val="00852345"/>
    <w:rsid w:val="00852638"/>
    <w:rsid w:val="00852D5C"/>
    <w:rsid w:val="00852F05"/>
    <w:rsid w:val="00853090"/>
    <w:rsid w:val="00853329"/>
    <w:rsid w:val="00853509"/>
    <w:rsid w:val="00853AF2"/>
    <w:rsid w:val="00853B02"/>
    <w:rsid w:val="00853BC8"/>
    <w:rsid w:val="0085437C"/>
    <w:rsid w:val="00854CCB"/>
    <w:rsid w:val="0085580B"/>
    <w:rsid w:val="00855C1C"/>
    <w:rsid w:val="00856043"/>
    <w:rsid w:val="008562F6"/>
    <w:rsid w:val="00856595"/>
    <w:rsid w:val="00856D8A"/>
    <w:rsid w:val="00856FC6"/>
    <w:rsid w:val="0085756E"/>
    <w:rsid w:val="008575D8"/>
    <w:rsid w:val="00860156"/>
    <w:rsid w:val="00860F01"/>
    <w:rsid w:val="00860F36"/>
    <w:rsid w:val="00861072"/>
    <w:rsid w:val="008612A8"/>
    <w:rsid w:val="008625C0"/>
    <w:rsid w:val="008629B1"/>
    <w:rsid w:val="00862B00"/>
    <w:rsid w:val="00863FA2"/>
    <w:rsid w:val="00864133"/>
    <w:rsid w:val="0086438A"/>
    <w:rsid w:val="00864BAC"/>
    <w:rsid w:val="00865223"/>
    <w:rsid w:val="00865250"/>
    <w:rsid w:val="00865264"/>
    <w:rsid w:val="0086592B"/>
    <w:rsid w:val="00865D8C"/>
    <w:rsid w:val="00866142"/>
    <w:rsid w:val="0086660F"/>
    <w:rsid w:val="00866972"/>
    <w:rsid w:val="00867040"/>
    <w:rsid w:val="00867071"/>
    <w:rsid w:val="00867198"/>
    <w:rsid w:val="0086751D"/>
    <w:rsid w:val="00867903"/>
    <w:rsid w:val="00867EE1"/>
    <w:rsid w:val="00870084"/>
    <w:rsid w:val="00870638"/>
    <w:rsid w:val="00870888"/>
    <w:rsid w:val="00870FA2"/>
    <w:rsid w:val="00871528"/>
    <w:rsid w:val="008715A1"/>
    <w:rsid w:val="0087193A"/>
    <w:rsid w:val="00871B9F"/>
    <w:rsid w:val="00871CA8"/>
    <w:rsid w:val="008722DD"/>
    <w:rsid w:val="00872D49"/>
    <w:rsid w:val="008734C1"/>
    <w:rsid w:val="00874500"/>
    <w:rsid w:val="0087488B"/>
    <w:rsid w:val="00874A2B"/>
    <w:rsid w:val="00874B1E"/>
    <w:rsid w:val="00874BAA"/>
    <w:rsid w:val="00875CB8"/>
    <w:rsid w:val="00876531"/>
    <w:rsid w:val="00876987"/>
    <w:rsid w:val="008777AC"/>
    <w:rsid w:val="00877A4E"/>
    <w:rsid w:val="00877F55"/>
    <w:rsid w:val="00880721"/>
    <w:rsid w:val="00880CE6"/>
    <w:rsid w:val="008811AC"/>
    <w:rsid w:val="00881978"/>
    <w:rsid w:val="00881C12"/>
    <w:rsid w:val="00881DA0"/>
    <w:rsid w:val="008828B3"/>
    <w:rsid w:val="00882DCD"/>
    <w:rsid w:val="00883399"/>
    <w:rsid w:val="0088368D"/>
    <w:rsid w:val="00883A3D"/>
    <w:rsid w:val="00883A43"/>
    <w:rsid w:val="00884394"/>
    <w:rsid w:val="0088475C"/>
    <w:rsid w:val="00884DE1"/>
    <w:rsid w:val="00885C38"/>
    <w:rsid w:val="00886D08"/>
    <w:rsid w:val="00887157"/>
    <w:rsid w:val="00887FDF"/>
    <w:rsid w:val="00891B29"/>
    <w:rsid w:val="0089296D"/>
    <w:rsid w:val="008930F0"/>
    <w:rsid w:val="00893D2C"/>
    <w:rsid w:val="00893F6D"/>
    <w:rsid w:val="008947AD"/>
    <w:rsid w:val="00895BF3"/>
    <w:rsid w:val="008967D5"/>
    <w:rsid w:val="00896B3C"/>
    <w:rsid w:val="00896D37"/>
    <w:rsid w:val="008971B1"/>
    <w:rsid w:val="00897432"/>
    <w:rsid w:val="00897E53"/>
    <w:rsid w:val="008A0382"/>
    <w:rsid w:val="008A0A31"/>
    <w:rsid w:val="008A0DA6"/>
    <w:rsid w:val="008A10A4"/>
    <w:rsid w:val="008A1600"/>
    <w:rsid w:val="008A1EBC"/>
    <w:rsid w:val="008A1FA2"/>
    <w:rsid w:val="008A2E6F"/>
    <w:rsid w:val="008A3859"/>
    <w:rsid w:val="008A40CE"/>
    <w:rsid w:val="008A443A"/>
    <w:rsid w:val="008A4C9D"/>
    <w:rsid w:val="008A4FD2"/>
    <w:rsid w:val="008A50AB"/>
    <w:rsid w:val="008A5701"/>
    <w:rsid w:val="008A5DC0"/>
    <w:rsid w:val="008A680B"/>
    <w:rsid w:val="008A68CE"/>
    <w:rsid w:val="008A6F20"/>
    <w:rsid w:val="008A7090"/>
    <w:rsid w:val="008B0190"/>
    <w:rsid w:val="008B041F"/>
    <w:rsid w:val="008B0629"/>
    <w:rsid w:val="008B07BC"/>
    <w:rsid w:val="008B1242"/>
    <w:rsid w:val="008B165E"/>
    <w:rsid w:val="008B16CD"/>
    <w:rsid w:val="008B173A"/>
    <w:rsid w:val="008B19FD"/>
    <w:rsid w:val="008B21AD"/>
    <w:rsid w:val="008B2795"/>
    <w:rsid w:val="008B2B3C"/>
    <w:rsid w:val="008B320A"/>
    <w:rsid w:val="008B327D"/>
    <w:rsid w:val="008B3C26"/>
    <w:rsid w:val="008B44A8"/>
    <w:rsid w:val="008B4705"/>
    <w:rsid w:val="008B4957"/>
    <w:rsid w:val="008B5D4B"/>
    <w:rsid w:val="008B6A86"/>
    <w:rsid w:val="008B70EF"/>
    <w:rsid w:val="008B7125"/>
    <w:rsid w:val="008C01D1"/>
    <w:rsid w:val="008C022C"/>
    <w:rsid w:val="008C0A2D"/>
    <w:rsid w:val="008C0F0C"/>
    <w:rsid w:val="008C1E94"/>
    <w:rsid w:val="008C248C"/>
    <w:rsid w:val="008C298A"/>
    <w:rsid w:val="008C2C08"/>
    <w:rsid w:val="008C2F0D"/>
    <w:rsid w:val="008C30EB"/>
    <w:rsid w:val="008C326F"/>
    <w:rsid w:val="008C34B2"/>
    <w:rsid w:val="008C3788"/>
    <w:rsid w:val="008C3C39"/>
    <w:rsid w:val="008C46BF"/>
    <w:rsid w:val="008C48B0"/>
    <w:rsid w:val="008C50E6"/>
    <w:rsid w:val="008C541E"/>
    <w:rsid w:val="008C57A8"/>
    <w:rsid w:val="008C635B"/>
    <w:rsid w:val="008C6976"/>
    <w:rsid w:val="008C6B7D"/>
    <w:rsid w:val="008C7074"/>
    <w:rsid w:val="008C73F7"/>
    <w:rsid w:val="008C750D"/>
    <w:rsid w:val="008C7604"/>
    <w:rsid w:val="008D006B"/>
    <w:rsid w:val="008D02CD"/>
    <w:rsid w:val="008D0DFE"/>
    <w:rsid w:val="008D1038"/>
    <w:rsid w:val="008D1112"/>
    <w:rsid w:val="008D14BB"/>
    <w:rsid w:val="008D176B"/>
    <w:rsid w:val="008D196A"/>
    <w:rsid w:val="008D1A01"/>
    <w:rsid w:val="008D1F29"/>
    <w:rsid w:val="008D25B4"/>
    <w:rsid w:val="008D2835"/>
    <w:rsid w:val="008D3836"/>
    <w:rsid w:val="008D3DDA"/>
    <w:rsid w:val="008D3FF4"/>
    <w:rsid w:val="008D4678"/>
    <w:rsid w:val="008D4831"/>
    <w:rsid w:val="008D48C6"/>
    <w:rsid w:val="008D53C2"/>
    <w:rsid w:val="008D53D8"/>
    <w:rsid w:val="008D5C9C"/>
    <w:rsid w:val="008D60BA"/>
    <w:rsid w:val="008D653F"/>
    <w:rsid w:val="008D67E9"/>
    <w:rsid w:val="008D73C3"/>
    <w:rsid w:val="008D73D2"/>
    <w:rsid w:val="008D78AA"/>
    <w:rsid w:val="008E09C3"/>
    <w:rsid w:val="008E0ACA"/>
    <w:rsid w:val="008E0C42"/>
    <w:rsid w:val="008E1192"/>
    <w:rsid w:val="008E13BD"/>
    <w:rsid w:val="008E182C"/>
    <w:rsid w:val="008E1C6A"/>
    <w:rsid w:val="008E20FF"/>
    <w:rsid w:val="008E272A"/>
    <w:rsid w:val="008E3521"/>
    <w:rsid w:val="008E3A2F"/>
    <w:rsid w:val="008E3AED"/>
    <w:rsid w:val="008E3C48"/>
    <w:rsid w:val="008E3CF5"/>
    <w:rsid w:val="008E3DEE"/>
    <w:rsid w:val="008E4C75"/>
    <w:rsid w:val="008E513C"/>
    <w:rsid w:val="008E56F4"/>
    <w:rsid w:val="008E69DA"/>
    <w:rsid w:val="008E7038"/>
    <w:rsid w:val="008E72DC"/>
    <w:rsid w:val="008E75BF"/>
    <w:rsid w:val="008F0837"/>
    <w:rsid w:val="008F0D04"/>
    <w:rsid w:val="008F0DD5"/>
    <w:rsid w:val="008F1113"/>
    <w:rsid w:val="008F1134"/>
    <w:rsid w:val="008F1581"/>
    <w:rsid w:val="008F15D8"/>
    <w:rsid w:val="008F160D"/>
    <w:rsid w:val="008F1B20"/>
    <w:rsid w:val="008F1CA8"/>
    <w:rsid w:val="008F1D9B"/>
    <w:rsid w:val="008F1EA8"/>
    <w:rsid w:val="008F1EB5"/>
    <w:rsid w:val="008F209F"/>
    <w:rsid w:val="008F21BA"/>
    <w:rsid w:val="008F29DC"/>
    <w:rsid w:val="008F2B13"/>
    <w:rsid w:val="008F2C55"/>
    <w:rsid w:val="008F3684"/>
    <w:rsid w:val="008F3E98"/>
    <w:rsid w:val="008F4D07"/>
    <w:rsid w:val="008F4F70"/>
    <w:rsid w:val="008F51BB"/>
    <w:rsid w:val="008F57F6"/>
    <w:rsid w:val="008F5D76"/>
    <w:rsid w:val="008F5E15"/>
    <w:rsid w:val="008F62EF"/>
    <w:rsid w:val="008F6AA6"/>
    <w:rsid w:val="008F6D8B"/>
    <w:rsid w:val="008F6F6F"/>
    <w:rsid w:val="008F7938"/>
    <w:rsid w:val="008F7B9C"/>
    <w:rsid w:val="009006AA"/>
    <w:rsid w:val="009012FB"/>
    <w:rsid w:val="009020AD"/>
    <w:rsid w:val="009020C8"/>
    <w:rsid w:val="0090215C"/>
    <w:rsid w:val="00903093"/>
    <w:rsid w:val="0090310A"/>
    <w:rsid w:val="009039C4"/>
    <w:rsid w:val="00903E34"/>
    <w:rsid w:val="0090512C"/>
    <w:rsid w:val="009051FB"/>
    <w:rsid w:val="0090557C"/>
    <w:rsid w:val="0090562D"/>
    <w:rsid w:val="00905B1C"/>
    <w:rsid w:val="00905E17"/>
    <w:rsid w:val="0090633F"/>
    <w:rsid w:val="0090641A"/>
    <w:rsid w:val="0090737E"/>
    <w:rsid w:val="00907E49"/>
    <w:rsid w:val="009108E1"/>
    <w:rsid w:val="00910E84"/>
    <w:rsid w:val="00911411"/>
    <w:rsid w:val="00911B8C"/>
    <w:rsid w:val="00911DA0"/>
    <w:rsid w:val="0091226D"/>
    <w:rsid w:val="0091286D"/>
    <w:rsid w:val="00913197"/>
    <w:rsid w:val="0091353B"/>
    <w:rsid w:val="0091366D"/>
    <w:rsid w:val="00913C26"/>
    <w:rsid w:val="00914035"/>
    <w:rsid w:val="00914399"/>
    <w:rsid w:val="009144A5"/>
    <w:rsid w:val="009145A3"/>
    <w:rsid w:val="00914882"/>
    <w:rsid w:val="009149DD"/>
    <w:rsid w:val="00914A25"/>
    <w:rsid w:val="00914E08"/>
    <w:rsid w:val="0091562C"/>
    <w:rsid w:val="00915C6E"/>
    <w:rsid w:val="00915CB5"/>
    <w:rsid w:val="00915EB0"/>
    <w:rsid w:val="009160C9"/>
    <w:rsid w:val="0091667E"/>
    <w:rsid w:val="009167E2"/>
    <w:rsid w:val="0091680A"/>
    <w:rsid w:val="00916D65"/>
    <w:rsid w:val="00916F6B"/>
    <w:rsid w:val="00917990"/>
    <w:rsid w:val="00917A63"/>
    <w:rsid w:val="00917BC5"/>
    <w:rsid w:val="00920649"/>
    <w:rsid w:val="00921262"/>
    <w:rsid w:val="00921588"/>
    <w:rsid w:val="009223FB"/>
    <w:rsid w:val="00922902"/>
    <w:rsid w:val="00922FE6"/>
    <w:rsid w:val="009231A5"/>
    <w:rsid w:val="0092343F"/>
    <w:rsid w:val="00923559"/>
    <w:rsid w:val="009236A4"/>
    <w:rsid w:val="009240F6"/>
    <w:rsid w:val="0092429A"/>
    <w:rsid w:val="00924745"/>
    <w:rsid w:val="00924C97"/>
    <w:rsid w:val="0092503F"/>
    <w:rsid w:val="00925C80"/>
    <w:rsid w:val="00925E60"/>
    <w:rsid w:val="00926944"/>
    <w:rsid w:val="009269F4"/>
    <w:rsid w:val="00927292"/>
    <w:rsid w:val="009272C0"/>
    <w:rsid w:val="00927717"/>
    <w:rsid w:val="00927E90"/>
    <w:rsid w:val="00927EF1"/>
    <w:rsid w:val="0093004F"/>
    <w:rsid w:val="0093040B"/>
    <w:rsid w:val="00930DB4"/>
    <w:rsid w:val="00930E6C"/>
    <w:rsid w:val="0093163C"/>
    <w:rsid w:val="00931682"/>
    <w:rsid w:val="0093211F"/>
    <w:rsid w:val="00932186"/>
    <w:rsid w:val="00932464"/>
    <w:rsid w:val="009325A8"/>
    <w:rsid w:val="0093296D"/>
    <w:rsid w:val="00932987"/>
    <w:rsid w:val="009333DC"/>
    <w:rsid w:val="009337DB"/>
    <w:rsid w:val="00933BBE"/>
    <w:rsid w:val="00934030"/>
    <w:rsid w:val="009343A4"/>
    <w:rsid w:val="009344DC"/>
    <w:rsid w:val="00934F91"/>
    <w:rsid w:val="00935767"/>
    <w:rsid w:val="00935852"/>
    <w:rsid w:val="0093657A"/>
    <w:rsid w:val="0093667C"/>
    <w:rsid w:val="009366D4"/>
    <w:rsid w:val="009367C4"/>
    <w:rsid w:val="00936CD8"/>
    <w:rsid w:val="00937069"/>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40AF"/>
    <w:rsid w:val="00944627"/>
    <w:rsid w:val="00944890"/>
    <w:rsid w:val="009448F8"/>
    <w:rsid w:val="00944B8F"/>
    <w:rsid w:val="0094633A"/>
    <w:rsid w:val="009463C3"/>
    <w:rsid w:val="00946883"/>
    <w:rsid w:val="009474E7"/>
    <w:rsid w:val="00947D06"/>
    <w:rsid w:val="009501B4"/>
    <w:rsid w:val="009507B3"/>
    <w:rsid w:val="0095090A"/>
    <w:rsid w:val="00950CAC"/>
    <w:rsid w:val="00951176"/>
    <w:rsid w:val="00951C14"/>
    <w:rsid w:val="00951D98"/>
    <w:rsid w:val="00951E83"/>
    <w:rsid w:val="0095270C"/>
    <w:rsid w:val="00952D62"/>
    <w:rsid w:val="00953AB5"/>
    <w:rsid w:val="00953E5F"/>
    <w:rsid w:val="009544DF"/>
    <w:rsid w:val="00954BBF"/>
    <w:rsid w:val="00954CE2"/>
    <w:rsid w:val="009556AA"/>
    <w:rsid w:val="009557AE"/>
    <w:rsid w:val="009557EA"/>
    <w:rsid w:val="00955A05"/>
    <w:rsid w:val="00955C91"/>
    <w:rsid w:val="00955DC8"/>
    <w:rsid w:val="00955F7B"/>
    <w:rsid w:val="009567AC"/>
    <w:rsid w:val="00956CC1"/>
    <w:rsid w:val="00956E59"/>
    <w:rsid w:val="00957AC8"/>
    <w:rsid w:val="0096006A"/>
    <w:rsid w:val="009606FD"/>
    <w:rsid w:val="00960E05"/>
    <w:rsid w:val="00961073"/>
    <w:rsid w:val="0096184C"/>
    <w:rsid w:val="009619E6"/>
    <w:rsid w:val="00961C92"/>
    <w:rsid w:val="00961D25"/>
    <w:rsid w:val="00962004"/>
    <w:rsid w:val="00962749"/>
    <w:rsid w:val="0096283A"/>
    <w:rsid w:val="00962D3D"/>
    <w:rsid w:val="00962F63"/>
    <w:rsid w:val="00962FD6"/>
    <w:rsid w:val="009635FF"/>
    <w:rsid w:val="00963633"/>
    <w:rsid w:val="00963799"/>
    <w:rsid w:val="00963E5A"/>
    <w:rsid w:val="009645CF"/>
    <w:rsid w:val="00964A12"/>
    <w:rsid w:val="009660E5"/>
    <w:rsid w:val="0096612D"/>
    <w:rsid w:val="009661FC"/>
    <w:rsid w:val="0096631B"/>
    <w:rsid w:val="00966977"/>
    <w:rsid w:val="00966F1B"/>
    <w:rsid w:val="009672EC"/>
    <w:rsid w:val="00967BB9"/>
    <w:rsid w:val="00967E84"/>
    <w:rsid w:val="00970EB8"/>
    <w:rsid w:val="00970FB3"/>
    <w:rsid w:val="00971228"/>
    <w:rsid w:val="00971857"/>
    <w:rsid w:val="00971C40"/>
    <w:rsid w:val="0097264F"/>
    <w:rsid w:val="009727C2"/>
    <w:rsid w:val="00972B22"/>
    <w:rsid w:val="00973445"/>
    <w:rsid w:val="00973733"/>
    <w:rsid w:val="0097384D"/>
    <w:rsid w:val="009749AD"/>
    <w:rsid w:val="009750CE"/>
    <w:rsid w:val="00975816"/>
    <w:rsid w:val="00975E09"/>
    <w:rsid w:val="00976910"/>
    <w:rsid w:val="00976DCD"/>
    <w:rsid w:val="00976EDA"/>
    <w:rsid w:val="009772CA"/>
    <w:rsid w:val="009772D1"/>
    <w:rsid w:val="0097747C"/>
    <w:rsid w:val="0098069D"/>
    <w:rsid w:val="00980A59"/>
    <w:rsid w:val="00980BA8"/>
    <w:rsid w:val="009810FB"/>
    <w:rsid w:val="00981316"/>
    <w:rsid w:val="009814F8"/>
    <w:rsid w:val="009819FE"/>
    <w:rsid w:val="00982109"/>
    <w:rsid w:val="00982E94"/>
    <w:rsid w:val="0098306A"/>
    <w:rsid w:val="00983265"/>
    <w:rsid w:val="00983505"/>
    <w:rsid w:val="0098489A"/>
    <w:rsid w:val="0098490F"/>
    <w:rsid w:val="0098552E"/>
    <w:rsid w:val="00985622"/>
    <w:rsid w:val="00986786"/>
    <w:rsid w:val="00986D0F"/>
    <w:rsid w:val="00986FE2"/>
    <w:rsid w:val="009875A2"/>
    <w:rsid w:val="00987A25"/>
    <w:rsid w:val="00987A4B"/>
    <w:rsid w:val="00987AE4"/>
    <w:rsid w:val="00987CE4"/>
    <w:rsid w:val="00987D06"/>
    <w:rsid w:val="00987F6E"/>
    <w:rsid w:val="00990210"/>
    <w:rsid w:val="00990212"/>
    <w:rsid w:val="00990A2E"/>
    <w:rsid w:val="00990D38"/>
    <w:rsid w:val="00991234"/>
    <w:rsid w:val="00991448"/>
    <w:rsid w:val="00991AB2"/>
    <w:rsid w:val="00991CB3"/>
    <w:rsid w:val="0099209A"/>
    <w:rsid w:val="00992478"/>
    <w:rsid w:val="009926DE"/>
    <w:rsid w:val="00992FD7"/>
    <w:rsid w:val="0099311B"/>
    <w:rsid w:val="009931B5"/>
    <w:rsid w:val="0099382C"/>
    <w:rsid w:val="00994293"/>
    <w:rsid w:val="009947C7"/>
    <w:rsid w:val="00994F58"/>
    <w:rsid w:val="009953A7"/>
    <w:rsid w:val="009955F2"/>
    <w:rsid w:val="00995B87"/>
    <w:rsid w:val="00995EA7"/>
    <w:rsid w:val="00995F2D"/>
    <w:rsid w:val="00996230"/>
    <w:rsid w:val="00996BA8"/>
    <w:rsid w:val="00996FC9"/>
    <w:rsid w:val="009970F9"/>
    <w:rsid w:val="00997295"/>
    <w:rsid w:val="009973BB"/>
    <w:rsid w:val="009975EC"/>
    <w:rsid w:val="00997A43"/>
    <w:rsid w:val="00997C45"/>
    <w:rsid w:val="009A03A7"/>
    <w:rsid w:val="009A044E"/>
    <w:rsid w:val="009A067C"/>
    <w:rsid w:val="009A1227"/>
    <w:rsid w:val="009A1307"/>
    <w:rsid w:val="009A158A"/>
    <w:rsid w:val="009A1E9B"/>
    <w:rsid w:val="009A2220"/>
    <w:rsid w:val="009A2248"/>
    <w:rsid w:val="009A269C"/>
    <w:rsid w:val="009A2AD3"/>
    <w:rsid w:val="009A2D3C"/>
    <w:rsid w:val="009A38EA"/>
    <w:rsid w:val="009A3E8B"/>
    <w:rsid w:val="009A3FA1"/>
    <w:rsid w:val="009A4373"/>
    <w:rsid w:val="009A4971"/>
    <w:rsid w:val="009A4AC9"/>
    <w:rsid w:val="009A4D08"/>
    <w:rsid w:val="009A50B6"/>
    <w:rsid w:val="009A52F8"/>
    <w:rsid w:val="009A55D4"/>
    <w:rsid w:val="009A57DC"/>
    <w:rsid w:val="009A5BBF"/>
    <w:rsid w:val="009A5BCC"/>
    <w:rsid w:val="009A5D58"/>
    <w:rsid w:val="009A5E4F"/>
    <w:rsid w:val="009A6453"/>
    <w:rsid w:val="009A7350"/>
    <w:rsid w:val="009A76FE"/>
    <w:rsid w:val="009A7BBC"/>
    <w:rsid w:val="009A7CDC"/>
    <w:rsid w:val="009B0036"/>
    <w:rsid w:val="009B02F4"/>
    <w:rsid w:val="009B0519"/>
    <w:rsid w:val="009B051D"/>
    <w:rsid w:val="009B0738"/>
    <w:rsid w:val="009B08E4"/>
    <w:rsid w:val="009B0977"/>
    <w:rsid w:val="009B09EA"/>
    <w:rsid w:val="009B15F6"/>
    <w:rsid w:val="009B1713"/>
    <w:rsid w:val="009B1721"/>
    <w:rsid w:val="009B18F4"/>
    <w:rsid w:val="009B1E96"/>
    <w:rsid w:val="009B23DC"/>
    <w:rsid w:val="009B25F5"/>
    <w:rsid w:val="009B27F7"/>
    <w:rsid w:val="009B2E77"/>
    <w:rsid w:val="009B2FC4"/>
    <w:rsid w:val="009B3383"/>
    <w:rsid w:val="009B367E"/>
    <w:rsid w:val="009B3F96"/>
    <w:rsid w:val="009B45A3"/>
    <w:rsid w:val="009B462D"/>
    <w:rsid w:val="009B46C0"/>
    <w:rsid w:val="009B479F"/>
    <w:rsid w:val="009B4DFD"/>
    <w:rsid w:val="009B50FB"/>
    <w:rsid w:val="009B536C"/>
    <w:rsid w:val="009B62F2"/>
    <w:rsid w:val="009B6D9A"/>
    <w:rsid w:val="009B753E"/>
    <w:rsid w:val="009B78BC"/>
    <w:rsid w:val="009C0765"/>
    <w:rsid w:val="009C0F63"/>
    <w:rsid w:val="009C114E"/>
    <w:rsid w:val="009C12E9"/>
    <w:rsid w:val="009C1784"/>
    <w:rsid w:val="009C2054"/>
    <w:rsid w:val="009C24EB"/>
    <w:rsid w:val="009C2594"/>
    <w:rsid w:val="009C2A6B"/>
    <w:rsid w:val="009C2C3F"/>
    <w:rsid w:val="009C2DE0"/>
    <w:rsid w:val="009C2E5A"/>
    <w:rsid w:val="009C30A3"/>
    <w:rsid w:val="009C318D"/>
    <w:rsid w:val="009C341D"/>
    <w:rsid w:val="009C3B6A"/>
    <w:rsid w:val="009C3FD0"/>
    <w:rsid w:val="009C547C"/>
    <w:rsid w:val="009C5806"/>
    <w:rsid w:val="009C5F2F"/>
    <w:rsid w:val="009C6341"/>
    <w:rsid w:val="009C653D"/>
    <w:rsid w:val="009C68D1"/>
    <w:rsid w:val="009C6A9E"/>
    <w:rsid w:val="009C6C06"/>
    <w:rsid w:val="009C721E"/>
    <w:rsid w:val="009C7B7E"/>
    <w:rsid w:val="009C7E43"/>
    <w:rsid w:val="009D0188"/>
    <w:rsid w:val="009D06E2"/>
    <w:rsid w:val="009D0ADA"/>
    <w:rsid w:val="009D0CF2"/>
    <w:rsid w:val="009D1292"/>
    <w:rsid w:val="009D192F"/>
    <w:rsid w:val="009D1F8D"/>
    <w:rsid w:val="009D1FAB"/>
    <w:rsid w:val="009D2787"/>
    <w:rsid w:val="009D2C24"/>
    <w:rsid w:val="009D3E39"/>
    <w:rsid w:val="009D4399"/>
    <w:rsid w:val="009D444A"/>
    <w:rsid w:val="009D464E"/>
    <w:rsid w:val="009D4E74"/>
    <w:rsid w:val="009D4F20"/>
    <w:rsid w:val="009D4F9E"/>
    <w:rsid w:val="009D56E3"/>
    <w:rsid w:val="009D5B81"/>
    <w:rsid w:val="009D62F2"/>
    <w:rsid w:val="009D6BBC"/>
    <w:rsid w:val="009D7B2B"/>
    <w:rsid w:val="009E0201"/>
    <w:rsid w:val="009E05D6"/>
    <w:rsid w:val="009E0DD4"/>
    <w:rsid w:val="009E12C8"/>
    <w:rsid w:val="009E13D7"/>
    <w:rsid w:val="009E1E3D"/>
    <w:rsid w:val="009E202C"/>
    <w:rsid w:val="009E28B9"/>
    <w:rsid w:val="009E2E3B"/>
    <w:rsid w:val="009E3980"/>
    <w:rsid w:val="009E3B55"/>
    <w:rsid w:val="009E43F8"/>
    <w:rsid w:val="009E4599"/>
    <w:rsid w:val="009E469A"/>
    <w:rsid w:val="009E5682"/>
    <w:rsid w:val="009E5806"/>
    <w:rsid w:val="009E6012"/>
    <w:rsid w:val="009E6B24"/>
    <w:rsid w:val="009E7B1F"/>
    <w:rsid w:val="009E7C7C"/>
    <w:rsid w:val="009E7EDD"/>
    <w:rsid w:val="009F0907"/>
    <w:rsid w:val="009F0AA2"/>
    <w:rsid w:val="009F1097"/>
    <w:rsid w:val="009F1983"/>
    <w:rsid w:val="009F1F41"/>
    <w:rsid w:val="009F23BD"/>
    <w:rsid w:val="009F24FC"/>
    <w:rsid w:val="009F28DA"/>
    <w:rsid w:val="009F2913"/>
    <w:rsid w:val="009F38CE"/>
    <w:rsid w:val="009F3C50"/>
    <w:rsid w:val="009F3FDB"/>
    <w:rsid w:val="009F421A"/>
    <w:rsid w:val="009F425D"/>
    <w:rsid w:val="009F42B3"/>
    <w:rsid w:val="009F48AA"/>
    <w:rsid w:val="009F4E34"/>
    <w:rsid w:val="009F532D"/>
    <w:rsid w:val="009F583B"/>
    <w:rsid w:val="009F5ABB"/>
    <w:rsid w:val="009F6253"/>
    <w:rsid w:val="009F6ACC"/>
    <w:rsid w:val="009F6B67"/>
    <w:rsid w:val="009F7087"/>
    <w:rsid w:val="009F76C4"/>
    <w:rsid w:val="009F7DA5"/>
    <w:rsid w:val="009F7F00"/>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F4B"/>
    <w:rsid w:val="00A04FFB"/>
    <w:rsid w:val="00A0585A"/>
    <w:rsid w:val="00A05CBF"/>
    <w:rsid w:val="00A05E5A"/>
    <w:rsid w:val="00A0695D"/>
    <w:rsid w:val="00A06E12"/>
    <w:rsid w:val="00A10AC7"/>
    <w:rsid w:val="00A10AEE"/>
    <w:rsid w:val="00A10D9D"/>
    <w:rsid w:val="00A10DA5"/>
    <w:rsid w:val="00A11319"/>
    <w:rsid w:val="00A11A60"/>
    <w:rsid w:val="00A1248A"/>
    <w:rsid w:val="00A12A2D"/>
    <w:rsid w:val="00A12E81"/>
    <w:rsid w:val="00A13915"/>
    <w:rsid w:val="00A13C4E"/>
    <w:rsid w:val="00A13F87"/>
    <w:rsid w:val="00A14560"/>
    <w:rsid w:val="00A14628"/>
    <w:rsid w:val="00A14D7C"/>
    <w:rsid w:val="00A14E53"/>
    <w:rsid w:val="00A15418"/>
    <w:rsid w:val="00A16B7B"/>
    <w:rsid w:val="00A178E7"/>
    <w:rsid w:val="00A178FD"/>
    <w:rsid w:val="00A17F7B"/>
    <w:rsid w:val="00A20195"/>
    <w:rsid w:val="00A2025F"/>
    <w:rsid w:val="00A20303"/>
    <w:rsid w:val="00A2032E"/>
    <w:rsid w:val="00A20829"/>
    <w:rsid w:val="00A20C72"/>
    <w:rsid w:val="00A225C6"/>
    <w:rsid w:val="00A23B92"/>
    <w:rsid w:val="00A23F13"/>
    <w:rsid w:val="00A240BF"/>
    <w:rsid w:val="00A242E1"/>
    <w:rsid w:val="00A24643"/>
    <w:rsid w:val="00A249A0"/>
    <w:rsid w:val="00A249F7"/>
    <w:rsid w:val="00A24B24"/>
    <w:rsid w:val="00A24B51"/>
    <w:rsid w:val="00A24C80"/>
    <w:rsid w:val="00A24E4F"/>
    <w:rsid w:val="00A252C3"/>
    <w:rsid w:val="00A26FE8"/>
    <w:rsid w:val="00A2728D"/>
    <w:rsid w:val="00A3027C"/>
    <w:rsid w:val="00A30A76"/>
    <w:rsid w:val="00A30E02"/>
    <w:rsid w:val="00A30EB9"/>
    <w:rsid w:val="00A31367"/>
    <w:rsid w:val="00A32CAE"/>
    <w:rsid w:val="00A3371D"/>
    <w:rsid w:val="00A33C2B"/>
    <w:rsid w:val="00A341C0"/>
    <w:rsid w:val="00A348D3"/>
    <w:rsid w:val="00A3523E"/>
    <w:rsid w:val="00A352BC"/>
    <w:rsid w:val="00A35C4E"/>
    <w:rsid w:val="00A3673A"/>
    <w:rsid w:val="00A36884"/>
    <w:rsid w:val="00A3707D"/>
    <w:rsid w:val="00A37822"/>
    <w:rsid w:val="00A37C8C"/>
    <w:rsid w:val="00A37DB5"/>
    <w:rsid w:val="00A37E59"/>
    <w:rsid w:val="00A37FEC"/>
    <w:rsid w:val="00A40757"/>
    <w:rsid w:val="00A4079A"/>
    <w:rsid w:val="00A40A62"/>
    <w:rsid w:val="00A40BF6"/>
    <w:rsid w:val="00A40C5B"/>
    <w:rsid w:val="00A40D9E"/>
    <w:rsid w:val="00A40E17"/>
    <w:rsid w:val="00A40FEF"/>
    <w:rsid w:val="00A412B4"/>
    <w:rsid w:val="00A415A9"/>
    <w:rsid w:val="00A41767"/>
    <w:rsid w:val="00A417AF"/>
    <w:rsid w:val="00A42538"/>
    <w:rsid w:val="00A42AAE"/>
    <w:rsid w:val="00A42BE2"/>
    <w:rsid w:val="00A43680"/>
    <w:rsid w:val="00A43CB2"/>
    <w:rsid w:val="00A44286"/>
    <w:rsid w:val="00A4460E"/>
    <w:rsid w:val="00A446ED"/>
    <w:rsid w:val="00A44794"/>
    <w:rsid w:val="00A448EF"/>
    <w:rsid w:val="00A44E0A"/>
    <w:rsid w:val="00A44F16"/>
    <w:rsid w:val="00A4514A"/>
    <w:rsid w:val="00A4544B"/>
    <w:rsid w:val="00A45793"/>
    <w:rsid w:val="00A45AAA"/>
    <w:rsid w:val="00A4612A"/>
    <w:rsid w:val="00A461A9"/>
    <w:rsid w:val="00A463B8"/>
    <w:rsid w:val="00A46541"/>
    <w:rsid w:val="00A473A0"/>
    <w:rsid w:val="00A47613"/>
    <w:rsid w:val="00A50017"/>
    <w:rsid w:val="00A5097F"/>
    <w:rsid w:val="00A50A2F"/>
    <w:rsid w:val="00A517D9"/>
    <w:rsid w:val="00A51A64"/>
    <w:rsid w:val="00A51A85"/>
    <w:rsid w:val="00A53E27"/>
    <w:rsid w:val="00A54707"/>
    <w:rsid w:val="00A5527F"/>
    <w:rsid w:val="00A555A6"/>
    <w:rsid w:val="00A555DC"/>
    <w:rsid w:val="00A556DE"/>
    <w:rsid w:val="00A55B03"/>
    <w:rsid w:val="00A55DC7"/>
    <w:rsid w:val="00A56028"/>
    <w:rsid w:val="00A56DCA"/>
    <w:rsid w:val="00A56EB0"/>
    <w:rsid w:val="00A57135"/>
    <w:rsid w:val="00A57514"/>
    <w:rsid w:val="00A57824"/>
    <w:rsid w:val="00A606AE"/>
    <w:rsid w:val="00A608D2"/>
    <w:rsid w:val="00A60A7C"/>
    <w:rsid w:val="00A60AD2"/>
    <w:rsid w:val="00A60DB5"/>
    <w:rsid w:val="00A60DE3"/>
    <w:rsid w:val="00A60EDD"/>
    <w:rsid w:val="00A62F1B"/>
    <w:rsid w:val="00A63118"/>
    <w:rsid w:val="00A63947"/>
    <w:rsid w:val="00A63F11"/>
    <w:rsid w:val="00A64063"/>
    <w:rsid w:val="00A64B40"/>
    <w:rsid w:val="00A64DD4"/>
    <w:rsid w:val="00A6526E"/>
    <w:rsid w:val="00A6574A"/>
    <w:rsid w:val="00A66962"/>
    <w:rsid w:val="00A66988"/>
    <w:rsid w:val="00A66C6F"/>
    <w:rsid w:val="00A66F0B"/>
    <w:rsid w:val="00A67BA0"/>
    <w:rsid w:val="00A70049"/>
    <w:rsid w:val="00A700D2"/>
    <w:rsid w:val="00A71831"/>
    <w:rsid w:val="00A72295"/>
    <w:rsid w:val="00A72310"/>
    <w:rsid w:val="00A72611"/>
    <w:rsid w:val="00A72FE5"/>
    <w:rsid w:val="00A73091"/>
    <w:rsid w:val="00A73156"/>
    <w:rsid w:val="00A7328B"/>
    <w:rsid w:val="00A73DA1"/>
    <w:rsid w:val="00A73EF0"/>
    <w:rsid w:val="00A74112"/>
    <w:rsid w:val="00A74B3D"/>
    <w:rsid w:val="00A7504B"/>
    <w:rsid w:val="00A75A7C"/>
    <w:rsid w:val="00A76160"/>
    <w:rsid w:val="00A76521"/>
    <w:rsid w:val="00A77154"/>
    <w:rsid w:val="00A77462"/>
    <w:rsid w:val="00A775F1"/>
    <w:rsid w:val="00A7792B"/>
    <w:rsid w:val="00A8034E"/>
    <w:rsid w:val="00A80774"/>
    <w:rsid w:val="00A80BD2"/>
    <w:rsid w:val="00A80E6F"/>
    <w:rsid w:val="00A81005"/>
    <w:rsid w:val="00A81543"/>
    <w:rsid w:val="00A81A39"/>
    <w:rsid w:val="00A825FF"/>
    <w:rsid w:val="00A8294F"/>
    <w:rsid w:val="00A8297B"/>
    <w:rsid w:val="00A8413F"/>
    <w:rsid w:val="00A841C9"/>
    <w:rsid w:val="00A84E08"/>
    <w:rsid w:val="00A851FA"/>
    <w:rsid w:val="00A85204"/>
    <w:rsid w:val="00A85602"/>
    <w:rsid w:val="00A85A19"/>
    <w:rsid w:val="00A8631F"/>
    <w:rsid w:val="00A86452"/>
    <w:rsid w:val="00A87611"/>
    <w:rsid w:val="00A87D49"/>
    <w:rsid w:val="00A90030"/>
    <w:rsid w:val="00A90046"/>
    <w:rsid w:val="00A90542"/>
    <w:rsid w:val="00A909B5"/>
    <w:rsid w:val="00A90A3E"/>
    <w:rsid w:val="00A90AD0"/>
    <w:rsid w:val="00A9101B"/>
    <w:rsid w:val="00A91662"/>
    <w:rsid w:val="00A91A56"/>
    <w:rsid w:val="00A91A5F"/>
    <w:rsid w:val="00A91FD2"/>
    <w:rsid w:val="00A93845"/>
    <w:rsid w:val="00A93DD6"/>
    <w:rsid w:val="00A93E60"/>
    <w:rsid w:val="00A94AD1"/>
    <w:rsid w:val="00A94ED5"/>
    <w:rsid w:val="00A953AC"/>
    <w:rsid w:val="00A95437"/>
    <w:rsid w:val="00A95523"/>
    <w:rsid w:val="00A95852"/>
    <w:rsid w:val="00A95BDD"/>
    <w:rsid w:val="00A96705"/>
    <w:rsid w:val="00A968C9"/>
    <w:rsid w:val="00A9696C"/>
    <w:rsid w:val="00A977AE"/>
    <w:rsid w:val="00A977B0"/>
    <w:rsid w:val="00AA07C3"/>
    <w:rsid w:val="00AA0987"/>
    <w:rsid w:val="00AA1283"/>
    <w:rsid w:val="00AA1E72"/>
    <w:rsid w:val="00AA274A"/>
    <w:rsid w:val="00AA2F11"/>
    <w:rsid w:val="00AA3595"/>
    <w:rsid w:val="00AA3F6D"/>
    <w:rsid w:val="00AA3FD0"/>
    <w:rsid w:val="00AA4582"/>
    <w:rsid w:val="00AA5177"/>
    <w:rsid w:val="00AA54D3"/>
    <w:rsid w:val="00AA55C7"/>
    <w:rsid w:val="00AA5D97"/>
    <w:rsid w:val="00AA6367"/>
    <w:rsid w:val="00AA6792"/>
    <w:rsid w:val="00AA67FF"/>
    <w:rsid w:val="00AA6F87"/>
    <w:rsid w:val="00AA7215"/>
    <w:rsid w:val="00AA7CAF"/>
    <w:rsid w:val="00AB0046"/>
    <w:rsid w:val="00AB08CE"/>
    <w:rsid w:val="00AB0C38"/>
    <w:rsid w:val="00AB1750"/>
    <w:rsid w:val="00AB1878"/>
    <w:rsid w:val="00AB1899"/>
    <w:rsid w:val="00AB1C75"/>
    <w:rsid w:val="00AB1DE7"/>
    <w:rsid w:val="00AB1E7B"/>
    <w:rsid w:val="00AB241B"/>
    <w:rsid w:val="00AB24F1"/>
    <w:rsid w:val="00AB365E"/>
    <w:rsid w:val="00AB443B"/>
    <w:rsid w:val="00AB44CD"/>
    <w:rsid w:val="00AB4667"/>
    <w:rsid w:val="00AB46C3"/>
    <w:rsid w:val="00AB4E1B"/>
    <w:rsid w:val="00AB4EA7"/>
    <w:rsid w:val="00AB4FEF"/>
    <w:rsid w:val="00AB57F6"/>
    <w:rsid w:val="00AB5AF3"/>
    <w:rsid w:val="00AB5DEE"/>
    <w:rsid w:val="00AB5E4E"/>
    <w:rsid w:val="00AB62E6"/>
    <w:rsid w:val="00AB638D"/>
    <w:rsid w:val="00AB6B43"/>
    <w:rsid w:val="00AB6E51"/>
    <w:rsid w:val="00AB76E0"/>
    <w:rsid w:val="00AB7A71"/>
    <w:rsid w:val="00AB7C65"/>
    <w:rsid w:val="00AC0076"/>
    <w:rsid w:val="00AC0A98"/>
    <w:rsid w:val="00AC0D24"/>
    <w:rsid w:val="00AC14EC"/>
    <w:rsid w:val="00AC1729"/>
    <w:rsid w:val="00AC2954"/>
    <w:rsid w:val="00AC2E5B"/>
    <w:rsid w:val="00AC3200"/>
    <w:rsid w:val="00AC3300"/>
    <w:rsid w:val="00AC414B"/>
    <w:rsid w:val="00AC41AA"/>
    <w:rsid w:val="00AC420C"/>
    <w:rsid w:val="00AC4342"/>
    <w:rsid w:val="00AC49A6"/>
    <w:rsid w:val="00AC50F2"/>
    <w:rsid w:val="00AC535C"/>
    <w:rsid w:val="00AC539F"/>
    <w:rsid w:val="00AC559C"/>
    <w:rsid w:val="00AC563F"/>
    <w:rsid w:val="00AC6147"/>
    <w:rsid w:val="00AC6261"/>
    <w:rsid w:val="00AC63A4"/>
    <w:rsid w:val="00AC645F"/>
    <w:rsid w:val="00AC6DDB"/>
    <w:rsid w:val="00AC779C"/>
    <w:rsid w:val="00AD06C1"/>
    <w:rsid w:val="00AD0B87"/>
    <w:rsid w:val="00AD119D"/>
    <w:rsid w:val="00AD12AC"/>
    <w:rsid w:val="00AD1536"/>
    <w:rsid w:val="00AD1C9E"/>
    <w:rsid w:val="00AD27B4"/>
    <w:rsid w:val="00AD3222"/>
    <w:rsid w:val="00AD32F7"/>
    <w:rsid w:val="00AD3A95"/>
    <w:rsid w:val="00AD3DB0"/>
    <w:rsid w:val="00AD44E5"/>
    <w:rsid w:val="00AD4519"/>
    <w:rsid w:val="00AD481E"/>
    <w:rsid w:val="00AD584B"/>
    <w:rsid w:val="00AD5DC0"/>
    <w:rsid w:val="00AD5ED6"/>
    <w:rsid w:val="00AD5F24"/>
    <w:rsid w:val="00AD5FD7"/>
    <w:rsid w:val="00AD6061"/>
    <w:rsid w:val="00AD63D3"/>
    <w:rsid w:val="00AD65BA"/>
    <w:rsid w:val="00AD6851"/>
    <w:rsid w:val="00AD6B5D"/>
    <w:rsid w:val="00AD7027"/>
    <w:rsid w:val="00AD71D9"/>
    <w:rsid w:val="00AD7E85"/>
    <w:rsid w:val="00AE0B67"/>
    <w:rsid w:val="00AE0EE7"/>
    <w:rsid w:val="00AE11ED"/>
    <w:rsid w:val="00AE120E"/>
    <w:rsid w:val="00AE17A1"/>
    <w:rsid w:val="00AE22BE"/>
    <w:rsid w:val="00AE244F"/>
    <w:rsid w:val="00AE24A2"/>
    <w:rsid w:val="00AE2AD5"/>
    <w:rsid w:val="00AE35CD"/>
    <w:rsid w:val="00AE5544"/>
    <w:rsid w:val="00AE6D16"/>
    <w:rsid w:val="00AE6E66"/>
    <w:rsid w:val="00AE70AA"/>
    <w:rsid w:val="00AE73F3"/>
    <w:rsid w:val="00AF0271"/>
    <w:rsid w:val="00AF099F"/>
    <w:rsid w:val="00AF1218"/>
    <w:rsid w:val="00AF1248"/>
    <w:rsid w:val="00AF12CD"/>
    <w:rsid w:val="00AF16F5"/>
    <w:rsid w:val="00AF190A"/>
    <w:rsid w:val="00AF1BD5"/>
    <w:rsid w:val="00AF1CA0"/>
    <w:rsid w:val="00AF1E89"/>
    <w:rsid w:val="00AF1FFD"/>
    <w:rsid w:val="00AF205D"/>
    <w:rsid w:val="00AF242C"/>
    <w:rsid w:val="00AF26D1"/>
    <w:rsid w:val="00AF3022"/>
    <w:rsid w:val="00AF312A"/>
    <w:rsid w:val="00AF3241"/>
    <w:rsid w:val="00AF3A3C"/>
    <w:rsid w:val="00AF3E31"/>
    <w:rsid w:val="00AF4109"/>
    <w:rsid w:val="00AF4235"/>
    <w:rsid w:val="00AF489E"/>
    <w:rsid w:val="00AF4B35"/>
    <w:rsid w:val="00AF5E98"/>
    <w:rsid w:val="00AF5ED0"/>
    <w:rsid w:val="00AF68D2"/>
    <w:rsid w:val="00AF732C"/>
    <w:rsid w:val="00AF74C8"/>
    <w:rsid w:val="00AF7B4A"/>
    <w:rsid w:val="00AF7C95"/>
    <w:rsid w:val="00AF7DE7"/>
    <w:rsid w:val="00B00085"/>
    <w:rsid w:val="00B00966"/>
    <w:rsid w:val="00B00CC1"/>
    <w:rsid w:val="00B00DE8"/>
    <w:rsid w:val="00B010C7"/>
    <w:rsid w:val="00B011F2"/>
    <w:rsid w:val="00B012DD"/>
    <w:rsid w:val="00B019A1"/>
    <w:rsid w:val="00B01EA9"/>
    <w:rsid w:val="00B0214A"/>
    <w:rsid w:val="00B0247F"/>
    <w:rsid w:val="00B02A41"/>
    <w:rsid w:val="00B02B0D"/>
    <w:rsid w:val="00B0343C"/>
    <w:rsid w:val="00B036E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CFD"/>
    <w:rsid w:val="00B100AC"/>
    <w:rsid w:val="00B103A6"/>
    <w:rsid w:val="00B1053E"/>
    <w:rsid w:val="00B10A61"/>
    <w:rsid w:val="00B10E27"/>
    <w:rsid w:val="00B110AB"/>
    <w:rsid w:val="00B110C1"/>
    <w:rsid w:val="00B12935"/>
    <w:rsid w:val="00B129B7"/>
    <w:rsid w:val="00B12B2D"/>
    <w:rsid w:val="00B13128"/>
    <w:rsid w:val="00B13721"/>
    <w:rsid w:val="00B139AE"/>
    <w:rsid w:val="00B13C4B"/>
    <w:rsid w:val="00B14EA1"/>
    <w:rsid w:val="00B16262"/>
    <w:rsid w:val="00B16A1D"/>
    <w:rsid w:val="00B16BE0"/>
    <w:rsid w:val="00B16C80"/>
    <w:rsid w:val="00B16D2E"/>
    <w:rsid w:val="00B170A3"/>
    <w:rsid w:val="00B1783A"/>
    <w:rsid w:val="00B17ADD"/>
    <w:rsid w:val="00B17B02"/>
    <w:rsid w:val="00B17DB6"/>
    <w:rsid w:val="00B20173"/>
    <w:rsid w:val="00B201FA"/>
    <w:rsid w:val="00B20366"/>
    <w:rsid w:val="00B209F4"/>
    <w:rsid w:val="00B20BB9"/>
    <w:rsid w:val="00B20F01"/>
    <w:rsid w:val="00B2122C"/>
    <w:rsid w:val="00B21242"/>
    <w:rsid w:val="00B213AF"/>
    <w:rsid w:val="00B21E9A"/>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623A"/>
    <w:rsid w:val="00B26519"/>
    <w:rsid w:val="00B26E23"/>
    <w:rsid w:val="00B2757E"/>
    <w:rsid w:val="00B27B66"/>
    <w:rsid w:val="00B3002A"/>
    <w:rsid w:val="00B30909"/>
    <w:rsid w:val="00B30A94"/>
    <w:rsid w:val="00B30B56"/>
    <w:rsid w:val="00B30BDE"/>
    <w:rsid w:val="00B30CDD"/>
    <w:rsid w:val="00B30D6F"/>
    <w:rsid w:val="00B30FF5"/>
    <w:rsid w:val="00B31061"/>
    <w:rsid w:val="00B31322"/>
    <w:rsid w:val="00B31606"/>
    <w:rsid w:val="00B31D49"/>
    <w:rsid w:val="00B32126"/>
    <w:rsid w:val="00B329C7"/>
    <w:rsid w:val="00B33729"/>
    <w:rsid w:val="00B33DC4"/>
    <w:rsid w:val="00B34F16"/>
    <w:rsid w:val="00B35DC3"/>
    <w:rsid w:val="00B3677B"/>
    <w:rsid w:val="00B369D3"/>
    <w:rsid w:val="00B36A14"/>
    <w:rsid w:val="00B3738D"/>
    <w:rsid w:val="00B378BA"/>
    <w:rsid w:val="00B378F9"/>
    <w:rsid w:val="00B37E05"/>
    <w:rsid w:val="00B37E10"/>
    <w:rsid w:val="00B37F65"/>
    <w:rsid w:val="00B37F8A"/>
    <w:rsid w:val="00B40B2F"/>
    <w:rsid w:val="00B40BE5"/>
    <w:rsid w:val="00B40C9B"/>
    <w:rsid w:val="00B40E29"/>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CE3"/>
    <w:rsid w:val="00B43E7F"/>
    <w:rsid w:val="00B43EAE"/>
    <w:rsid w:val="00B44C1C"/>
    <w:rsid w:val="00B44D0D"/>
    <w:rsid w:val="00B45BCB"/>
    <w:rsid w:val="00B45C7E"/>
    <w:rsid w:val="00B45D1C"/>
    <w:rsid w:val="00B46240"/>
    <w:rsid w:val="00B4647C"/>
    <w:rsid w:val="00B466BC"/>
    <w:rsid w:val="00B47048"/>
    <w:rsid w:val="00B4726C"/>
    <w:rsid w:val="00B47270"/>
    <w:rsid w:val="00B476DE"/>
    <w:rsid w:val="00B47730"/>
    <w:rsid w:val="00B50E5D"/>
    <w:rsid w:val="00B50F25"/>
    <w:rsid w:val="00B51846"/>
    <w:rsid w:val="00B5196B"/>
    <w:rsid w:val="00B5197A"/>
    <w:rsid w:val="00B51B93"/>
    <w:rsid w:val="00B52123"/>
    <w:rsid w:val="00B52192"/>
    <w:rsid w:val="00B529DF"/>
    <w:rsid w:val="00B529E2"/>
    <w:rsid w:val="00B52E1C"/>
    <w:rsid w:val="00B53232"/>
    <w:rsid w:val="00B534FA"/>
    <w:rsid w:val="00B538A7"/>
    <w:rsid w:val="00B53984"/>
    <w:rsid w:val="00B53EDF"/>
    <w:rsid w:val="00B542CF"/>
    <w:rsid w:val="00B5493B"/>
    <w:rsid w:val="00B5516C"/>
    <w:rsid w:val="00B5559A"/>
    <w:rsid w:val="00B5581C"/>
    <w:rsid w:val="00B55E9E"/>
    <w:rsid w:val="00B565F1"/>
    <w:rsid w:val="00B566E2"/>
    <w:rsid w:val="00B56995"/>
    <w:rsid w:val="00B56C71"/>
    <w:rsid w:val="00B56E2A"/>
    <w:rsid w:val="00B5703E"/>
    <w:rsid w:val="00B573FE"/>
    <w:rsid w:val="00B57DC1"/>
    <w:rsid w:val="00B57EE0"/>
    <w:rsid w:val="00B602EC"/>
    <w:rsid w:val="00B6079A"/>
    <w:rsid w:val="00B608A3"/>
    <w:rsid w:val="00B60FE8"/>
    <w:rsid w:val="00B6108F"/>
    <w:rsid w:val="00B6120B"/>
    <w:rsid w:val="00B61317"/>
    <w:rsid w:val="00B61869"/>
    <w:rsid w:val="00B61C85"/>
    <w:rsid w:val="00B62244"/>
    <w:rsid w:val="00B625C3"/>
    <w:rsid w:val="00B62756"/>
    <w:rsid w:val="00B6277B"/>
    <w:rsid w:val="00B62C37"/>
    <w:rsid w:val="00B63FEA"/>
    <w:rsid w:val="00B64205"/>
    <w:rsid w:val="00B6423F"/>
    <w:rsid w:val="00B64340"/>
    <w:rsid w:val="00B64364"/>
    <w:rsid w:val="00B646BF"/>
    <w:rsid w:val="00B64906"/>
    <w:rsid w:val="00B64941"/>
    <w:rsid w:val="00B654DB"/>
    <w:rsid w:val="00B657E8"/>
    <w:rsid w:val="00B65833"/>
    <w:rsid w:val="00B65A2D"/>
    <w:rsid w:val="00B65BBE"/>
    <w:rsid w:val="00B66261"/>
    <w:rsid w:val="00B66672"/>
    <w:rsid w:val="00B669A6"/>
    <w:rsid w:val="00B67B77"/>
    <w:rsid w:val="00B703AF"/>
    <w:rsid w:val="00B705CF"/>
    <w:rsid w:val="00B708FB"/>
    <w:rsid w:val="00B70BA5"/>
    <w:rsid w:val="00B711C3"/>
    <w:rsid w:val="00B711F0"/>
    <w:rsid w:val="00B714CA"/>
    <w:rsid w:val="00B716C8"/>
    <w:rsid w:val="00B721C7"/>
    <w:rsid w:val="00B727AD"/>
    <w:rsid w:val="00B72BCF"/>
    <w:rsid w:val="00B72E9D"/>
    <w:rsid w:val="00B7329D"/>
    <w:rsid w:val="00B73395"/>
    <w:rsid w:val="00B7353A"/>
    <w:rsid w:val="00B73850"/>
    <w:rsid w:val="00B738DC"/>
    <w:rsid w:val="00B7424D"/>
    <w:rsid w:val="00B74475"/>
    <w:rsid w:val="00B74858"/>
    <w:rsid w:val="00B74A09"/>
    <w:rsid w:val="00B74A3A"/>
    <w:rsid w:val="00B74D9E"/>
    <w:rsid w:val="00B75DEF"/>
    <w:rsid w:val="00B76064"/>
    <w:rsid w:val="00B76D84"/>
    <w:rsid w:val="00B77876"/>
    <w:rsid w:val="00B7788E"/>
    <w:rsid w:val="00B80307"/>
    <w:rsid w:val="00B809F2"/>
    <w:rsid w:val="00B80E88"/>
    <w:rsid w:val="00B81096"/>
    <w:rsid w:val="00B81142"/>
    <w:rsid w:val="00B816B8"/>
    <w:rsid w:val="00B81BBB"/>
    <w:rsid w:val="00B82272"/>
    <w:rsid w:val="00B82360"/>
    <w:rsid w:val="00B82B78"/>
    <w:rsid w:val="00B82EDC"/>
    <w:rsid w:val="00B832B4"/>
    <w:rsid w:val="00B834AF"/>
    <w:rsid w:val="00B83D67"/>
    <w:rsid w:val="00B83E74"/>
    <w:rsid w:val="00B843FE"/>
    <w:rsid w:val="00B84D8D"/>
    <w:rsid w:val="00B84E02"/>
    <w:rsid w:val="00B85F9A"/>
    <w:rsid w:val="00B8608B"/>
    <w:rsid w:val="00B86279"/>
    <w:rsid w:val="00B86568"/>
    <w:rsid w:val="00B8675F"/>
    <w:rsid w:val="00B86928"/>
    <w:rsid w:val="00B86B13"/>
    <w:rsid w:val="00B87435"/>
    <w:rsid w:val="00B87481"/>
    <w:rsid w:val="00B87995"/>
    <w:rsid w:val="00B90241"/>
    <w:rsid w:val="00B906CA"/>
    <w:rsid w:val="00B907BB"/>
    <w:rsid w:val="00B90A20"/>
    <w:rsid w:val="00B90D42"/>
    <w:rsid w:val="00B90E95"/>
    <w:rsid w:val="00B9144F"/>
    <w:rsid w:val="00B91922"/>
    <w:rsid w:val="00B9199C"/>
    <w:rsid w:val="00B9248C"/>
    <w:rsid w:val="00B924EC"/>
    <w:rsid w:val="00B92EF5"/>
    <w:rsid w:val="00B93219"/>
    <w:rsid w:val="00B93271"/>
    <w:rsid w:val="00B9341C"/>
    <w:rsid w:val="00B9351A"/>
    <w:rsid w:val="00B93839"/>
    <w:rsid w:val="00B93FD2"/>
    <w:rsid w:val="00B942AC"/>
    <w:rsid w:val="00B95110"/>
    <w:rsid w:val="00B95876"/>
    <w:rsid w:val="00B95D0F"/>
    <w:rsid w:val="00B96172"/>
    <w:rsid w:val="00B9621C"/>
    <w:rsid w:val="00B9632D"/>
    <w:rsid w:val="00B9667A"/>
    <w:rsid w:val="00B97227"/>
    <w:rsid w:val="00B976B5"/>
    <w:rsid w:val="00B979B5"/>
    <w:rsid w:val="00BA057E"/>
    <w:rsid w:val="00BA099B"/>
    <w:rsid w:val="00BA0C6C"/>
    <w:rsid w:val="00BA1530"/>
    <w:rsid w:val="00BA173D"/>
    <w:rsid w:val="00BA1944"/>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7AE"/>
    <w:rsid w:val="00BB0DAE"/>
    <w:rsid w:val="00BB0DBD"/>
    <w:rsid w:val="00BB0FA6"/>
    <w:rsid w:val="00BB1069"/>
    <w:rsid w:val="00BB106E"/>
    <w:rsid w:val="00BB11E9"/>
    <w:rsid w:val="00BB14D2"/>
    <w:rsid w:val="00BB1BC3"/>
    <w:rsid w:val="00BB27DB"/>
    <w:rsid w:val="00BB2AD2"/>
    <w:rsid w:val="00BB3D38"/>
    <w:rsid w:val="00BB3D3C"/>
    <w:rsid w:val="00BB45A9"/>
    <w:rsid w:val="00BB4A49"/>
    <w:rsid w:val="00BB4F85"/>
    <w:rsid w:val="00BB5024"/>
    <w:rsid w:val="00BB55DF"/>
    <w:rsid w:val="00BB5AD6"/>
    <w:rsid w:val="00BB5FA3"/>
    <w:rsid w:val="00BB69B8"/>
    <w:rsid w:val="00BB6BEE"/>
    <w:rsid w:val="00BB6DC9"/>
    <w:rsid w:val="00BB6EB8"/>
    <w:rsid w:val="00BB76BF"/>
    <w:rsid w:val="00BC02C9"/>
    <w:rsid w:val="00BC0416"/>
    <w:rsid w:val="00BC11F6"/>
    <w:rsid w:val="00BC1E67"/>
    <w:rsid w:val="00BC2554"/>
    <w:rsid w:val="00BC2583"/>
    <w:rsid w:val="00BC2620"/>
    <w:rsid w:val="00BC280E"/>
    <w:rsid w:val="00BC2D54"/>
    <w:rsid w:val="00BC3134"/>
    <w:rsid w:val="00BC376A"/>
    <w:rsid w:val="00BC392D"/>
    <w:rsid w:val="00BC4CB2"/>
    <w:rsid w:val="00BC5FC4"/>
    <w:rsid w:val="00BC6426"/>
    <w:rsid w:val="00BC65A3"/>
    <w:rsid w:val="00BC6902"/>
    <w:rsid w:val="00BC6B51"/>
    <w:rsid w:val="00BC7265"/>
    <w:rsid w:val="00BC7453"/>
    <w:rsid w:val="00BC7C00"/>
    <w:rsid w:val="00BD01E6"/>
    <w:rsid w:val="00BD0223"/>
    <w:rsid w:val="00BD0265"/>
    <w:rsid w:val="00BD0457"/>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A9D"/>
    <w:rsid w:val="00BD4E44"/>
    <w:rsid w:val="00BD6A65"/>
    <w:rsid w:val="00BD6C15"/>
    <w:rsid w:val="00BD6F34"/>
    <w:rsid w:val="00BD756E"/>
    <w:rsid w:val="00BD76D4"/>
    <w:rsid w:val="00BD775F"/>
    <w:rsid w:val="00BD7A60"/>
    <w:rsid w:val="00BE040E"/>
    <w:rsid w:val="00BE0851"/>
    <w:rsid w:val="00BE16B2"/>
    <w:rsid w:val="00BE1C49"/>
    <w:rsid w:val="00BE1D60"/>
    <w:rsid w:val="00BE1D66"/>
    <w:rsid w:val="00BE1F9B"/>
    <w:rsid w:val="00BE2024"/>
    <w:rsid w:val="00BE2100"/>
    <w:rsid w:val="00BE2721"/>
    <w:rsid w:val="00BE3398"/>
    <w:rsid w:val="00BE3676"/>
    <w:rsid w:val="00BE4005"/>
    <w:rsid w:val="00BE44BE"/>
    <w:rsid w:val="00BE4E66"/>
    <w:rsid w:val="00BE52A7"/>
    <w:rsid w:val="00BE564B"/>
    <w:rsid w:val="00BE58FC"/>
    <w:rsid w:val="00BE5A27"/>
    <w:rsid w:val="00BE5C73"/>
    <w:rsid w:val="00BE6021"/>
    <w:rsid w:val="00BE6677"/>
    <w:rsid w:val="00BE6D00"/>
    <w:rsid w:val="00BE7049"/>
    <w:rsid w:val="00BE708F"/>
    <w:rsid w:val="00BE748D"/>
    <w:rsid w:val="00BE74A3"/>
    <w:rsid w:val="00BE7723"/>
    <w:rsid w:val="00BE7A79"/>
    <w:rsid w:val="00BF10F5"/>
    <w:rsid w:val="00BF1593"/>
    <w:rsid w:val="00BF16D5"/>
    <w:rsid w:val="00BF196E"/>
    <w:rsid w:val="00BF2045"/>
    <w:rsid w:val="00BF3625"/>
    <w:rsid w:val="00BF3781"/>
    <w:rsid w:val="00BF3966"/>
    <w:rsid w:val="00BF3A53"/>
    <w:rsid w:val="00BF3B6B"/>
    <w:rsid w:val="00BF41E2"/>
    <w:rsid w:val="00BF466D"/>
    <w:rsid w:val="00BF5443"/>
    <w:rsid w:val="00BF5729"/>
    <w:rsid w:val="00BF5936"/>
    <w:rsid w:val="00BF62D3"/>
    <w:rsid w:val="00BF662F"/>
    <w:rsid w:val="00BF7316"/>
    <w:rsid w:val="00BF7DD9"/>
    <w:rsid w:val="00C0025C"/>
    <w:rsid w:val="00C0099A"/>
    <w:rsid w:val="00C00B59"/>
    <w:rsid w:val="00C00BB2"/>
    <w:rsid w:val="00C00CBC"/>
    <w:rsid w:val="00C012E6"/>
    <w:rsid w:val="00C02276"/>
    <w:rsid w:val="00C024A9"/>
    <w:rsid w:val="00C02536"/>
    <w:rsid w:val="00C02C91"/>
    <w:rsid w:val="00C032BF"/>
    <w:rsid w:val="00C03941"/>
    <w:rsid w:val="00C0398A"/>
    <w:rsid w:val="00C03A0A"/>
    <w:rsid w:val="00C03B14"/>
    <w:rsid w:val="00C04181"/>
    <w:rsid w:val="00C0419A"/>
    <w:rsid w:val="00C04331"/>
    <w:rsid w:val="00C04363"/>
    <w:rsid w:val="00C04B0A"/>
    <w:rsid w:val="00C04E9D"/>
    <w:rsid w:val="00C05184"/>
    <w:rsid w:val="00C06F91"/>
    <w:rsid w:val="00C07085"/>
    <w:rsid w:val="00C07293"/>
    <w:rsid w:val="00C07ACA"/>
    <w:rsid w:val="00C07C2B"/>
    <w:rsid w:val="00C1022A"/>
    <w:rsid w:val="00C10F9E"/>
    <w:rsid w:val="00C1149B"/>
    <w:rsid w:val="00C12A73"/>
    <w:rsid w:val="00C13515"/>
    <w:rsid w:val="00C13E1A"/>
    <w:rsid w:val="00C14078"/>
    <w:rsid w:val="00C14213"/>
    <w:rsid w:val="00C14CAF"/>
    <w:rsid w:val="00C1518C"/>
    <w:rsid w:val="00C156DF"/>
    <w:rsid w:val="00C157CD"/>
    <w:rsid w:val="00C15913"/>
    <w:rsid w:val="00C15AEF"/>
    <w:rsid w:val="00C16110"/>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7C7"/>
    <w:rsid w:val="00C22C28"/>
    <w:rsid w:val="00C22E7A"/>
    <w:rsid w:val="00C23B2D"/>
    <w:rsid w:val="00C23ED2"/>
    <w:rsid w:val="00C2406A"/>
    <w:rsid w:val="00C2409D"/>
    <w:rsid w:val="00C248F3"/>
    <w:rsid w:val="00C24A17"/>
    <w:rsid w:val="00C24AE4"/>
    <w:rsid w:val="00C24DBE"/>
    <w:rsid w:val="00C25290"/>
    <w:rsid w:val="00C25683"/>
    <w:rsid w:val="00C25FA5"/>
    <w:rsid w:val="00C26351"/>
    <w:rsid w:val="00C26FED"/>
    <w:rsid w:val="00C27662"/>
    <w:rsid w:val="00C27DB0"/>
    <w:rsid w:val="00C27DEF"/>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BF5"/>
    <w:rsid w:val="00C35C17"/>
    <w:rsid w:val="00C35D84"/>
    <w:rsid w:val="00C36431"/>
    <w:rsid w:val="00C3669A"/>
    <w:rsid w:val="00C36700"/>
    <w:rsid w:val="00C36718"/>
    <w:rsid w:val="00C3675D"/>
    <w:rsid w:val="00C36DB2"/>
    <w:rsid w:val="00C370BE"/>
    <w:rsid w:val="00C370E6"/>
    <w:rsid w:val="00C3726E"/>
    <w:rsid w:val="00C373E3"/>
    <w:rsid w:val="00C3755D"/>
    <w:rsid w:val="00C37918"/>
    <w:rsid w:val="00C3796D"/>
    <w:rsid w:val="00C4018A"/>
    <w:rsid w:val="00C40557"/>
    <w:rsid w:val="00C41216"/>
    <w:rsid w:val="00C41F11"/>
    <w:rsid w:val="00C420F6"/>
    <w:rsid w:val="00C422BA"/>
    <w:rsid w:val="00C423D5"/>
    <w:rsid w:val="00C4277C"/>
    <w:rsid w:val="00C42992"/>
    <w:rsid w:val="00C42B66"/>
    <w:rsid w:val="00C430C7"/>
    <w:rsid w:val="00C431F9"/>
    <w:rsid w:val="00C4338C"/>
    <w:rsid w:val="00C4395A"/>
    <w:rsid w:val="00C43C1A"/>
    <w:rsid w:val="00C43EE2"/>
    <w:rsid w:val="00C441F1"/>
    <w:rsid w:val="00C445D2"/>
    <w:rsid w:val="00C44DA1"/>
    <w:rsid w:val="00C44EEA"/>
    <w:rsid w:val="00C454D3"/>
    <w:rsid w:val="00C45602"/>
    <w:rsid w:val="00C45F7B"/>
    <w:rsid w:val="00C45F9A"/>
    <w:rsid w:val="00C47283"/>
    <w:rsid w:val="00C4733D"/>
    <w:rsid w:val="00C474EF"/>
    <w:rsid w:val="00C47586"/>
    <w:rsid w:val="00C47D8D"/>
    <w:rsid w:val="00C50227"/>
    <w:rsid w:val="00C50296"/>
    <w:rsid w:val="00C50631"/>
    <w:rsid w:val="00C5090E"/>
    <w:rsid w:val="00C50B51"/>
    <w:rsid w:val="00C50B99"/>
    <w:rsid w:val="00C50DB6"/>
    <w:rsid w:val="00C514DD"/>
    <w:rsid w:val="00C5196B"/>
    <w:rsid w:val="00C522AE"/>
    <w:rsid w:val="00C52625"/>
    <w:rsid w:val="00C52B8B"/>
    <w:rsid w:val="00C52C8E"/>
    <w:rsid w:val="00C52EE1"/>
    <w:rsid w:val="00C536AD"/>
    <w:rsid w:val="00C53A72"/>
    <w:rsid w:val="00C53B42"/>
    <w:rsid w:val="00C53FE2"/>
    <w:rsid w:val="00C54248"/>
    <w:rsid w:val="00C5430D"/>
    <w:rsid w:val="00C54440"/>
    <w:rsid w:val="00C544EB"/>
    <w:rsid w:val="00C54510"/>
    <w:rsid w:val="00C54573"/>
    <w:rsid w:val="00C54A11"/>
    <w:rsid w:val="00C54BB2"/>
    <w:rsid w:val="00C54FCA"/>
    <w:rsid w:val="00C55A10"/>
    <w:rsid w:val="00C562E5"/>
    <w:rsid w:val="00C5641A"/>
    <w:rsid w:val="00C56BDE"/>
    <w:rsid w:val="00C56F84"/>
    <w:rsid w:val="00C57040"/>
    <w:rsid w:val="00C5705A"/>
    <w:rsid w:val="00C570F8"/>
    <w:rsid w:val="00C571FE"/>
    <w:rsid w:val="00C5757B"/>
    <w:rsid w:val="00C60682"/>
    <w:rsid w:val="00C61620"/>
    <w:rsid w:val="00C6163A"/>
    <w:rsid w:val="00C61C61"/>
    <w:rsid w:val="00C61CDC"/>
    <w:rsid w:val="00C62849"/>
    <w:rsid w:val="00C62B54"/>
    <w:rsid w:val="00C63188"/>
    <w:rsid w:val="00C637A9"/>
    <w:rsid w:val="00C63BFF"/>
    <w:rsid w:val="00C63E05"/>
    <w:rsid w:val="00C64362"/>
    <w:rsid w:val="00C64633"/>
    <w:rsid w:val="00C646EF"/>
    <w:rsid w:val="00C647A9"/>
    <w:rsid w:val="00C652D4"/>
    <w:rsid w:val="00C65416"/>
    <w:rsid w:val="00C65450"/>
    <w:rsid w:val="00C65952"/>
    <w:rsid w:val="00C659A2"/>
    <w:rsid w:val="00C65FAA"/>
    <w:rsid w:val="00C660F5"/>
    <w:rsid w:val="00C664A3"/>
    <w:rsid w:val="00C66B1D"/>
    <w:rsid w:val="00C66F48"/>
    <w:rsid w:val="00C66F7C"/>
    <w:rsid w:val="00C67DE6"/>
    <w:rsid w:val="00C70400"/>
    <w:rsid w:val="00C707C2"/>
    <w:rsid w:val="00C70992"/>
    <w:rsid w:val="00C70A90"/>
    <w:rsid w:val="00C70DD2"/>
    <w:rsid w:val="00C70E7B"/>
    <w:rsid w:val="00C70FB7"/>
    <w:rsid w:val="00C712FD"/>
    <w:rsid w:val="00C7158C"/>
    <w:rsid w:val="00C71A83"/>
    <w:rsid w:val="00C71C93"/>
    <w:rsid w:val="00C71ECC"/>
    <w:rsid w:val="00C7257C"/>
    <w:rsid w:val="00C72624"/>
    <w:rsid w:val="00C72B02"/>
    <w:rsid w:val="00C72F1B"/>
    <w:rsid w:val="00C73541"/>
    <w:rsid w:val="00C73808"/>
    <w:rsid w:val="00C7384F"/>
    <w:rsid w:val="00C73984"/>
    <w:rsid w:val="00C74044"/>
    <w:rsid w:val="00C74314"/>
    <w:rsid w:val="00C747F6"/>
    <w:rsid w:val="00C74DAC"/>
    <w:rsid w:val="00C75F99"/>
    <w:rsid w:val="00C76712"/>
    <w:rsid w:val="00C76DEC"/>
    <w:rsid w:val="00C76F0B"/>
    <w:rsid w:val="00C772BA"/>
    <w:rsid w:val="00C77324"/>
    <w:rsid w:val="00C77A13"/>
    <w:rsid w:val="00C80BC1"/>
    <w:rsid w:val="00C80C93"/>
    <w:rsid w:val="00C80F1A"/>
    <w:rsid w:val="00C813BD"/>
    <w:rsid w:val="00C818E7"/>
    <w:rsid w:val="00C81F7E"/>
    <w:rsid w:val="00C823FA"/>
    <w:rsid w:val="00C828FC"/>
    <w:rsid w:val="00C82AA2"/>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693"/>
    <w:rsid w:val="00C90F2E"/>
    <w:rsid w:val="00C910DB"/>
    <w:rsid w:val="00C91166"/>
    <w:rsid w:val="00C913C1"/>
    <w:rsid w:val="00C917EE"/>
    <w:rsid w:val="00C9192D"/>
    <w:rsid w:val="00C91A45"/>
    <w:rsid w:val="00C92174"/>
    <w:rsid w:val="00C93859"/>
    <w:rsid w:val="00C93B71"/>
    <w:rsid w:val="00C942FA"/>
    <w:rsid w:val="00C94BBF"/>
    <w:rsid w:val="00C94EC9"/>
    <w:rsid w:val="00C956DB"/>
    <w:rsid w:val="00C95C27"/>
    <w:rsid w:val="00C95DF8"/>
    <w:rsid w:val="00C95E32"/>
    <w:rsid w:val="00C9617A"/>
    <w:rsid w:val="00C96244"/>
    <w:rsid w:val="00C9678B"/>
    <w:rsid w:val="00C9680B"/>
    <w:rsid w:val="00C96FF7"/>
    <w:rsid w:val="00C977E8"/>
    <w:rsid w:val="00C97F61"/>
    <w:rsid w:val="00CA0B2C"/>
    <w:rsid w:val="00CA0F20"/>
    <w:rsid w:val="00CA179F"/>
    <w:rsid w:val="00CA17BD"/>
    <w:rsid w:val="00CA1A2A"/>
    <w:rsid w:val="00CA1D02"/>
    <w:rsid w:val="00CA1DC5"/>
    <w:rsid w:val="00CA22C4"/>
    <w:rsid w:val="00CA2753"/>
    <w:rsid w:val="00CA2BE7"/>
    <w:rsid w:val="00CA2D3F"/>
    <w:rsid w:val="00CA2F18"/>
    <w:rsid w:val="00CA34ED"/>
    <w:rsid w:val="00CA3F79"/>
    <w:rsid w:val="00CA413E"/>
    <w:rsid w:val="00CA4187"/>
    <w:rsid w:val="00CA41AB"/>
    <w:rsid w:val="00CA45AD"/>
    <w:rsid w:val="00CA46B8"/>
    <w:rsid w:val="00CA48B0"/>
    <w:rsid w:val="00CA4B97"/>
    <w:rsid w:val="00CA4D46"/>
    <w:rsid w:val="00CA56AC"/>
    <w:rsid w:val="00CA5E8D"/>
    <w:rsid w:val="00CA6765"/>
    <w:rsid w:val="00CA680E"/>
    <w:rsid w:val="00CA68C9"/>
    <w:rsid w:val="00CA69AE"/>
    <w:rsid w:val="00CA6B7A"/>
    <w:rsid w:val="00CA71A3"/>
    <w:rsid w:val="00CA75AB"/>
    <w:rsid w:val="00CA78F9"/>
    <w:rsid w:val="00CA7C01"/>
    <w:rsid w:val="00CA7CA8"/>
    <w:rsid w:val="00CA7EB4"/>
    <w:rsid w:val="00CB019A"/>
    <w:rsid w:val="00CB0ED7"/>
    <w:rsid w:val="00CB15CA"/>
    <w:rsid w:val="00CB19A5"/>
    <w:rsid w:val="00CB1C7E"/>
    <w:rsid w:val="00CB2E15"/>
    <w:rsid w:val="00CB2E79"/>
    <w:rsid w:val="00CB2FA2"/>
    <w:rsid w:val="00CB3013"/>
    <w:rsid w:val="00CB312F"/>
    <w:rsid w:val="00CB39AF"/>
    <w:rsid w:val="00CB3AA1"/>
    <w:rsid w:val="00CB3CB9"/>
    <w:rsid w:val="00CB49E4"/>
    <w:rsid w:val="00CB4A79"/>
    <w:rsid w:val="00CB54D4"/>
    <w:rsid w:val="00CB57A1"/>
    <w:rsid w:val="00CB57D8"/>
    <w:rsid w:val="00CB59ED"/>
    <w:rsid w:val="00CB5A40"/>
    <w:rsid w:val="00CB5EAF"/>
    <w:rsid w:val="00CB5FC6"/>
    <w:rsid w:val="00CB6ED8"/>
    <w:rsid w:val="00CB7771"/>
    <w:rsid w:val="00CB7A7A"/>
    <w:rsid w:val="00CB7FEE"/>
    <w:rsid w:val="00CC0687"/>
    <w:rsid w:val="00CC0B06"/>
    <w:rsid w:val="00CC1AAA"/>
    <w:rsid w:val="00CC1E51"/>
    <w:rsid w:val="00CC1F5F"/>
    <w:rsid w:val="00CC20C0"/>
    <w:rsid w:val="00CC2882"/>
    <w:rsid w:val="00CC2F61"/>
    <w:rsid w:val="00CC3186"/>
    <w:rsid w:val="00CC341C"/>
    <w:rsid w:val="00CC4022"/>
    <w:rsid w:val="00CC404A"/>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157C"/>
    <w:rsid w:val="00CD1BF5"/>
    <w:rsid w:val="00CD1C94"/>
    <w:rsid w:val="00CD22D3"/>
    <w:rsid w:val="00CD2A1F"/>
    <w:rsid w:val="00CD2F95"/>
    <w:rsid w:val="00CD3064"/>
    <w:rsid w:val="00CD3441"/>
    <w:rsid w:val="00CD35CC"/>
    <w:rsid w:val="00CD390B"/>
    <w:rsid w:val="00CD394B"/>
    <w:rsid w:val="00CD4152"/>
    <w:rsid w:val="00CD43A3"/>
    <w:rsid w:val="00CD4483"/>
    <w:rsid w:val="00CD46ED"/>
    <w:rsid w:val="00CD477E"/>
    <w:rsid w:val="00CD4B7F"/>
    <w:rsid w:val="00CD4C41"/>
    <w:rsid w:val="00CD5348"/>
    <w:rsid w:val="00CD5355"/>
    <w:rsid w:val="00CD5CE1"/>
    <w:rsid w:val="00CD5D72"/>
    <w:rsid w:val="00CD60FA"/>
    <w:rsid w:val="00CD61A5"/>
    <w:rsid w:val="00CD628F"/>
    <w:rsid w:val="00CD62FE"/>
    <w:rsid w:val="00CD766B"/>
    <w:rsid w:val="00CD7D58"/>
    <w:rsid w:val="00CD7EB6"/>
    <w:rsid w:val="00CD7FBB"/>
    <w:rsid w:val="00CE0350"/>
    <w:rsid w:val="00CE04DE"/>
    <w:rsid w:val="00CE09A2"/>
    <w:rsid w:val="00CE0E84"/>
    <w:rsid w:val="00CE10B1"/>
    <w:rsid w:val="00CE14D6"/>
    <w:rsid w:val="00CE153D"/>
    <w:rsid w:val="00CE1D7B"/>
    <w:rsid w:val="00CE2118"/>
    <w:rsid w:val="00CE243F"/>
    <w:rsid w:val="00CE2551"/>
    <w:rsid w:val="00CE25FD"/>
    <w:rsid w:val="00CE3175"/>
    <w:rsid w:val="00CE3293"/>
    <w:rsid w:val="00CE3C6D"/>
    <w:rsid w:val="00CE3C82"/>
    <w:rsid w:val="00CE43B1"/>
    <w:rsid w:val="00CE45DB"/>
    <w:rsid w:val="00CE4964"/>
    <w:rsid w:val="00CE4BCF"/>
    <w:rsid w:val="00CE537D"/>
    <w:rsid w:val="00CE5414"/>
    <w:rsid w:val="00CE55AA"/>
    <w:rsid w:val="00CE5E44"/>
    <w:rsid w:val="00CE6540"/>
    <w:rsid w:val="00CE6D9E"/>
    <w:rsid w:val="00CE6DB4"/>
    <w:rsid w:val="00CE70AB"/>
    <w:rsid w:val="00CE794B"/>
    <w:rsid w:val="00CE7C39"/>
    <w:rsid w:val="00CF05EA"/>
    <w:rsid w:val="00CF088B"/>
    <w:rsid w:val="00CF0FB9"/>
    <w:rsid w:val="00CF21A8"/>
    <w:rsid w:val="00CF248F"/>
    <w:rsid w:val="00CF2AB7"/>
    <w:rsid w:val="00CF3394"/>
    <w:rsid w:val="00CF3522"/>
    <w:rsid w:val="00CF370F"/>
    <w:rsid w:val="00CF3F37"/>
    <w:rsid w:val="00CF4A46"/>
    <w:rsid w:val="00CF4BD8"/>
    <w:rsid w:val="00CF581A"/>
    <w:rsid w:val="00CF6248"/>
    <w:rsid w:val="00CF63D1"/>
    <w:rsid w:val="00CF74C0"/>
    <w:rsid w:val="00CF7897"/>
    <w:rsid w:val="00CF7997"/>
    <w:rsid w:val="00CF7BFA"/>
    <w:rsid w:val="00D009E0"/>
    <w:rsid w:val="00D00DD6"/>
    <w:rsid w:val="00D01230"/>
    <w:rsid w:val="00D013D9"/>
    <w:rsid w:val="00D017A2"/>
    <w:rsid w:val="00D019BF"/>
    <w:rsid w:val="00D01E38"/>
    <w:rsid w:val="00D022BA"/>
    <w:rsid w:val="00D026AB"/>
    <w:rsid w:val="00D0283B"/>
    <w:rsid w:val="00D02ABB"/>
    <w:rsid w:val="00D03A98"/>
    <w:rsid w:val="00D03BB9"/>
    <w:rsid w:val="00D03D4D"/>
    <w:rsid w:val="00D03E69"/>
    <w:rsid w:val="00D03F6C"/>
    <w:rsid w:val="00D0415C"/>
    <w:rsid w:val="00D04983"/>
    <w:rsid w:val="00D05778"/>
    <w:rsid w:val="00D06937"/>
    <w:rsid w:val="00D070FF"/>
    <w:rsid w:val="00D075A4"/>
    <w:rsid w:val="00D07D94"/>
    <w:rsid w:val="00D10407"/>
    <w:rsid w:val="00D1058E"/>
    <w:rsid w:val="00D10AE5"/>
    <w:rsid w:val="00D11433"/>
    <w:rsid w:val="00D11542"/>
    <w:rsid w:val="00D11573"/>
    <w:rsid w:val="00D11EC5"/>
    <w:rsid w:val="00D12059"/>
    <w:rsid w:val="00D122E6"/>
    <w:rsid w:val="00D1239D"/>
    <w:rsid w:val="00D125DE"/>
    <w:rsid w:val="00D12DF5"/>
    <w:rsid w:val="00D13777"/>
    <w:rsid w:val="00D13BB6"/>
    <w:rsid w:val="00D13C2D"/>
    <w:rsid w:val="00D1459C"/>
    <w:rsid w:val="00D14E96"/>
    <w:rsid w:val="00D151F0"/>
    <w:rsid w:val="00D156B6"/>
    <w:rsid w:val="00D15F8E"/>
    <w:rsid w:val="00D1690E"/>
    <w:rsid w:val="00D172D8"/>
    <w:rsid w:val="00D173A5"/>
    <w:rsid w:val="00D173FA"/>
    <w:rsid w:val="00D178E9"/>
    <w:rsid w:val="00D17AB7"/>
    <w:rsid w:val="00D17B3F"/>
    <w:rsid w:val="00D17E74"/>
    <w:rsid w:val="00D17F1D"/>
    <w:rsid w:val="00D219D5"/>
    <w:rsid w:val="00D2203E"/>
    <w:rsid w:val="00D2231C"/>
    <w:rsid w:val="00D2254A"/>
    <w:rsid w:val="00D22704"/>
    <w:rsid w:val="00D230FC"/>
    <w:rsid w:val="00D23513"/>
    <w:rsid w:val="00D237C9"/>
    <w:rsid w:val="00D23C31"/>
    <w:rsid w:val="00D242CF"/>
    <w:rsid w:val="00D24573"/>
    <w:rsid w:val="00D245E2"/>
    <w:rsid w:val="00D24A53"/>
    <w:rsid w:val="00D24C69"/>
    <w:rsid w:val="00D251CF"/>
    <w:rsid w:val="00D252B8"/>
    <w:rsid w:val="00D26621"/>
    <w:rsid w:val="00D267D6"/>
    <w:rsid w:val="00D26BEC"/>
    <w:rsid w:val="00D2729A"/>
    <w:rsid w:val="00D27506"/>
    <w:rsid w:val="00D27E6C"/>
    <w:rsid w:val="00D30F5A"/>
    <w:rsid w:val="00D3198D"/>
    <w:rsid w:val="00D31FC6"/>
    <w:rsid w:val="00D32EAB"/>
    <w:rsid w:val="00D3357B"/>
    <w:rsid w:val="00D34338"/>
    <w:rsid w:val="00D34688"/>
    <w:rsid w:val="00D35601"/>
    <w:rsid w:val="00D35F3B"/>
    <w:rsid w:val="00D36027"/>
    <w:rsid w:val="00D36337"/>
    <w:rsid w:val="00D363AA"/>
    <w:rsid w:val="00D36522"/>
    <w:rsid w:val="00D366B7"/>
    <w:rsid w:val="00D367F5"/>
    <w:rsid w:val="00D36C23"/>
    <w:rsid w:val="00D36FB2"/>
    <w:rsid w:val="00D37072"/>
    <w:rsid w:val="00D375C7"/>
    <w:rsid w:val="00D3769E"/>
    <w:rsid w:val="00D40081"/>
    <w:rsid w:val="00D407D8"/>
    <w:rsid w:val="00D40EAF"/>
    <w:rsid w:val="00D41034"/>
    <w:rsid w:val="00D411A8"/>
    <w:rsid w:val="00D413DA"/>
    <w:rsid w:val="00D418A3"/>
    <w:rsid w:val="00D41B99"/>
    <w:rsid w:val="00D42249"/>
    <w:rsid w:val="00D4244A"/>
    <w:rsid w:val="00D42487"/>
    <w:rsid w:val="00D4341B"/>
    <w:rsid w:val="00D43539"/>
    <w:rsid w:val="00D43FBC"/>
    <w:rsid w:val="00D4432C"/>
    <w:rsid w:val="00D44522"/>
    <w:rsid w:val="00D44CC7"/>
    <w:rsid w:val="00D45865"/>
    <w:rsid w:val="00D45867"/>
    <w:rsid w:val="00D458A5"/>
    <w:rsid w:val="00D4595F"/>
    <w:rsid w:val="00D45CE3"/>
    <w:rsid w:val="00D46157"/>
    <w:rsid w:val="00D4646A"/>
    <w:rsid w:val="00D466A8"/>
    <w:rsid w:val="00D46A18"/>
    <w:rsid w:val="00D46BEF"/>
    <w:rsid w:val="00D47187"/>
    <w:rsid w:val="00D4751A"/>
    <w:rsid w:val="00D477E0"/>
    <w:rsid w:val="00D47DDB"/>
    <w:rsid w:val="00D47FF2"/>
    <w:rsid w:val="00D50011"/>
    <w:rsid w:val="00D500F2"/>
    <w:rsid w:val="00D5017E"/>
    <w:rsid w:val="00D501F5"/>
    <w:rsid w:val="00D508E4"/>
    <w:rsid w:val="00D50B2C"/>
    <w:rsid w:val="00D50EB3"/>
    <w:rsid w:val="00D519D2"/>
    <w:rsid w:val="00D52284"/>
    <w:rsid w:val="00D528B5"/>
    <w:rsid w:val="00D5322C"/>
    <w:rsid w:val="00D533A1"/>
    <w:rsid w:val="00D533BF"/>
    <w:rsid w:val="00D53841"/>
    <w:rsid w:val="00D53C05"/>
    <w:rsid w:val="00D544C2"/>
    <w:rsid w:val="00D546B8"/>
    <w:rsid w:val="00D55294"/>
    <w:rsid w:val="00D567E0"/>
    <w:rsid w:val="00D56ACF"/>
    <w:rsid w:val="00D56BDE"/>
    <w:rsid w:val="00D57152"/>
    <w:rsid w:val="00D571A7"/>
    <w:rsid w:val="00D57692"/>
    <w:rsid w:val="00D576D7"/>
    <w:rsid w:val="00D57AF1"/>
    <w:rsid w:val="00D57CBB"/>
    <w:rsid w:val="00D60236"/>
    <w:rsid w:val="00D6063B"/>
    <w:rsid w:val="00D60B43"/>
    <w:rsid w:val="00D60C45"/>
    <w:rsid w:val="00D613F0"/>
    <w:rsid w:val="00D614C7"/>
    <w:rsid w:val="00D61A0C"/>
    <w:rsid w:val="00D61E9C"/>
    <w:rsid w:val="00D61F3D"/>
    <w:rsid w:val="00D61F93"/>
    <w:rsid w:val="00D623A8"/>
    <w:rsid w:val="00D62472"/>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7D9"/>
    <w:rsid w:val="00D66C42"/>
    <w:rsid w:val="00D671FA"/>
    <w:rsid w:val="00D67216"/>
    <w:rsid w:val="00D67780"/>
    <w:rsid w:val="00D701C2"/>
    <w:rsid w:val="00D7055C"/>
    <w:rsid w:val="00D709B0"/>
    <w:rsid w:val="00D71468"/>
    <w:rsid w:val="00D7160C"/>
    <w:rsid w:val="00D71741"/>
    <w:rsid w:val="00D71A0A"/>
    <w:rsid w:val="00D71A70"/>
    <w:rsid w:val="00D71C1F"/>
    <w:rsid w:val="00D71CE6"/>
    <w:rsid w:val="00D71F03"/>
    <w:rsid w:val="00D72304"/>
    <w:rsid w:val="00D7249D"/>
    <w:rsid w:val="00D727B3"/>
    <w:rsid w:val="00D73210"/>
    <w:rsid w:val="00D73AD4"/>
    <w:rsid w:val="00D73C8C"/>
    <w:rsid w:val="00D744AF"/>
    <w:rsid w:val="00D74862"/>
    <w:rsid w:val="00D75172"/>
    <w:rsid w:val="00D7555D"/>
    <w:rsid w:val="00D756D2"/>
    <w:rsid w:val="00D75879"/>
    <w:rsid w:val="00D75908"/>
    <w:rsid w:val="00D75CD0"/>
    <w:rsid w:val="00D75ECA"/>
    <w:rsid w:val="00D760B5"/>
    <w:rsid w:val="00D764EB"/>
    <w:rsid w:val="00D766A9"/>
    <w:rsid w:val="00D7733A"/>
    <w:rsid w:val="00D775CD"/>
    <w:rsid w:val="00D778F2"/>
    <w:rsid w:val="00D8005C"/>
    <w:rsid w:val="00D80539"/>
    <w:rsid w:val="00D808EE"/>
    <w:rsid w:val="00D80A72"/>
    <w:rsid w:val="00D80AF5"/>
    <w:rsid w:val="00D81003"/>
    <w:rsid w:val="00D81129"/>
    <w:rsid w:val="00D818D0"/>
    <w:rsid w:val="00D81A7D"/>
    <w:rsid w:val="00D8202C"/>
    <w:rsid w:val="00D82223"/>
    <w:rsid w:val="00D822E5"/>
    <w:rsid w:val="00D82F39"/>
    <w:rsid w:val="00D8378B"/>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235"/>
    <w:rsid w:val="00D90662"/>
    <w:rsid w:val="00D90712"/>
    <w:rsid w:val="00D9076C"/>
    <w:rsid w:val="00D90F3C"/>
    <w:rsid w:val="00D91043"/>
    <w:rsid w:val="00D911ED"/>
    <w:rsid w:val="00D91651"/>
    <w:rsid w:val="00D91686"/>
    <w:rsid w:val="00D9181C"/>
    <w:rsid w:val="00D91841"/>
    <w:rsid w:val="00D918BC"/>
    <w:rsid w:val="00D9191D"/>
    <w:rsid w:val="00D91A49"/>
    <w:rsid w:val="00D91D95"/>
    <w:rsid w:val="00D91E5A"/>
    <w:rsid w:val="00D92400"/>
    <w:rsid w:val="00D92454"/>
    <w:rsid w:val="00D9270B"/>
    <w:rsid w:val="00D927AB"/>
    <w:rsid w:val="00D93CB6"/>
    <w:rsid w:val="00D94506"/>
    <w:rsid w:val="00D947E8"/>
    <w:rsid w:val="00D94C19"/>
    <w:rsid w:val="00D94FA6"/>
    <w:rsid w:val="00D950AF"/>
    <w:rsid w:val="00D95DD1"/>
    <w:rsid w:val="00D96A20"/>
    <w:rsid w:val="00D96D76"/>
    <w:rsid w:val="00D97020"/>
    <w:rsid w:val="00D9744D"/>
    <w:rsid w:val="00DA123A"/>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17F3"/>
    <w:rsid w:val="00DB1FA4"/>
    <w:rsid w:val="00DB2A05"/>
    <w:rsid w:val="00DB2C57"/>
    <w:rsid w:val="00DB2DF8"/>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66CE"/>
    <w:rsid w:val="00DB6952"/>
    <w:rsid w:val="00DB70EE"/>
    <w:rsid w:val="00DB7503"/>
    <w:rsid w:val="00DB75A4"/>
    <w:rsid w:val="00DB7827"/>
    <w:rsid w:val="00DB7BF9"/>
    <w:rsid w:val="00DC00C7"/>
    <w:rsid w:val="00DC023B"/>
    <w:rsid w:val="00DC0554"/>
    <w:rsid w:val="00DC07EC"/>
    <w:rsid w:val="00DC07F1"/>
    <w:rsid w:val="00DC128B"/>
    <w:rsid w:val="00DC1828"/>
    <w:rsid w:val="00DC1A6F"/>
    <w:rsid w:val="00DC2DC5"/>
    <w:rsid w:val="00DC2E98"/>
    <w:rsid w:val="00DC30EA"/>
    <w:rsid w:val="00DC33EC"/>
    <w:rsid w:val="00DC3F9B"/>
    <w:rsid w:val="00DC4D22"/>
    <w:rsid w:val="00DC5B2D"/>
    <w:rsid w:val="00DC6491"/>
    <w:rsid w:val="00DC6E16"/>
    <w:rsid w:val="00DC7045"/>
    <w:rsid w:val="00DC70CD"/>
    <w:rsid w:val="00DC7601"/>
    <w:rsid w:val="00DC7E6F"/>
    <w:rsid w:val="00DD00EA"/>
    <w:rsid w:val="00DD1635"/>
    <w:rsid w:val="00DD1BD3"/>
    <w:rsid w:val="00DD1EFE"/>
    <w:rsid w:val="00DD20DE"/>
    <w:rsid w:val="00DD2E4E"/>
    <w:rsid w:val="00DD36AA"/>
    <w:rsid w:val="00DD3B6A"/>
    <w:rsid w:val="00DD405B"/>
    <w:rsid w:val="00DD4974"/>
    <w:rsid w:val="00DD4991"/>
    <w:rsid w:val="00DD553E"/>
    <w:rsid w:val="00DD564B"/>
    <w:rsid w:val="00DD638A"/>
    <w:rsid w:val="00DD64A2"/>
    <w:rsid w:val="00DD64CB"/>
    <w:rsid w:val="00DD6531"/>
    <w:rsid w:val="00DD671F"/>
    <w:rsid w:val="00DD6801"/>
    <w:rsid w:val="00DD6925"/>
    <w:rsid w:val="00DD6E0E"/>
    <w:rsid w:val="00DD6F13"/>
    <w:rsid w:val="00DD7BF9"/>
    <w:rsid w:val="00DD7C13"/>
    <w:rsid w:val="00DD7C7A"/>
    <w:rsid w:val="00DE037E"/>
    <w:rsid w:val="00DE0759"/>
    <w:rsid w:val="00DE0DFB"/>
    <w:rsid w:val="00DE1550"/>
    <w:rsid w:val="00DE176E"/>
    <w:rsid w:val="00DE1EC9"/>
    <w:rsid w:val="00DE23F2"/>
    <w:rsid w:val="00DE24B0"/>
    <w:rsid w:val="00DE28B1"/>
    <w:rsid w:val="00DE38AA"/>
    <w:rsid w:val="00DE4CB8"/>
    <w:rsid w:val="00DE5A1E"/>
    <w:rsid w:val="00DE5EEE"/>
    <w:rsid w:val="00DE6721"/>
    <w:rsid w:val="00DE6912"/>
    <w:rsid w:val="00DE6F95"/>
    <w:rsid w:val="00DE7140"/>
    <w:rsid w:val="00DE7355"/>
    <w:rsid w:val="00DE77E7"/>
    <w:rsid w:val="00DE7E8B"/>
    <w:rsid w:val="00DF0365"/>
    <w:rsid w:val="00DF04A6"/>
    <w:rsid w:val="00DF0745"/>
    <w:rsid w:val="00DF0790"/>
    <w:rsid w:val="00DF15B6"/>
    <w:rsid w:val="00DF15EC"/>
    <w:rsid w:val="00DF1806"/>
    <w:rsid w:val="00DF1C2D"/>
    <w:rsid w:val="00DF1F17"/>
    <w:rsid w:val="00DF1F85"/>
    <w:rsid w:val="00DF20CE"/>
    <w:rsid w:val="00DF20EA"/>
    <w:rsid w:val="00DF2425"/>
    <w:rsid w:val="00DF2974"/>
    <w:rsid w:val="00DF297F"/>
    <w:rsid w:val="00DF3422"/>
    <w:rsid w:val="00DF3E3B"/>
    <w:rsid w:val="00DF45FF"/>
    <w:rsid w:val="00DF4CEB"/>
    <w:rsid w:val="00DF73CF"/>
    <w:rsid w:val="00DF79A3"/>
    <w:rsid w:val="00DF7C8C"/>
    <w:rsid w:val="00E00282"/>
    <w:rsid w:val="00E0043E"/>
    <w:rsid w:val="00E00A75"/>
    <w:rsid w:val="00E00C22"/>
    <w:rsid w:val="00E0156F"/>
    <w:rsid w:val="00E019C8"/>
    <w:rsid w:val="00E01C97"/>
    <w:rsid w:val="00E01CF0"/>
    <w:rsid w:val="00E027C2"/>
    <w:rsid w:val="00E02F4E"/>
    <w:rsid w:val="00E04064"/>
    <w:rsid w:val="00E045EF"/>
    <w:rsid w:val="00E04E2B"/>
    <w:rsid w:val="00E0514D"/>
    <w:rsid w:val="00E052C4"/>
    <w:rsid w:val="00E05CBA"/>
    <w:rsid w:val="00E06166"/>
    <w:rsid w:val="00E0621A"/>
    <w:rsid w:val="00E06561"/>
    <w:rsid w:val="00E06583"/>
    <w:rsid w:val="00E06C17"/>
    <w:rsid w:val="00E07228"/>
    <w:rsid w:val="00E0766D"/>
    <w:rsid w:val="00E10090"/>
    <w:rsid w:val="00E102DD"/>
    <w:rsid w:val="00E10331"/>
    <w:rsid w:val="00E10935"/>
    <w:rsid w:val="00E10B43"/>
    <w:rsid w:val="00E10C1D"/>
    <w:rsid w:val="00E10D76"/>
    <w:rsid w:val="00E11A6C"/>
    <w:rsid w:val="00E11AE0"/>
    <w:rsid w:val="00E12585"/>
    <w:rsid w:val="00E126E5"/>
    <w:rsid w:val="00E13C3D"/>
    <w:rsid w:val="00E13CC6"/>
    <w:rsid w:val="00E1421F"/>
    <w:rsid w:val="00E1436D"/>
    <w:rsid w:val="00E14415"/>
    <w:rsid w:val="00E1449F"/>
    <w:rsid w:val="00E14A2C"/>
    <w:rsid w:val="00E14C3C"/>
    <w:rsid w:val="00E15157"/>
    <w:rsid w:val="00E15680"/>
    <w:rsid w:val="00E15BCB"/>
    <w:rsid w:val="00E1644C"/>
    <w:rsid w:val="00E16730"/>
    <w:rsid w:val="00E16852"/>
    <w:rsid w:val="00E168FA"/>
    <w:rsid w:val="00E16DB7"/>
    <w:rsid w:val="00E177F1"/>
    <w:rsid w:val="00E17D33"/>
    <w:rsid w:val="00E203ED"/>
    <w:rsid w:val="00E20CD7"/>
    <w:rsid w:val="00E20D09"/>
    <w:rsid w:val="00E2106E"/>
    <w:rsid w:val="00E21495"/>
    <w:rsid w:val="00E21AD7"/>
    <w:rsid w:val="00E22183"/>
    <w:rsid w:val="00E22D0F"/>
    <w:rsid w:val="00E23557"/>
    <w:rsid w:val="00E23D4C"/>
    <w:rsid w:val="00E23E7D"/>
    <w:rsid w:val="00E24B81"/>
    <w:rsid w:val="00E24C2A"/>
    <w:rsid w:val="00E24F41"/>
    <w:rsid w:val="00E24FFE"/>
    <w:rsid w:val="00E251C3"/>
    <w:rsid w:val="00E252E5"/>
    <w:rsid w:val="00E25EB1"/>
    <w:rsid w:val="00E2604C"/>
    <w:rsid w:val="00E260B0"/>
    <w:rsid w:val="00E26382"/>
    <w:rsid w:val="00E264C0"/>
    <w:rsid w:val="00E264F9"/>
    <w:rsid w:val="00E267AA"/>
    <w:rsid w:val="00E26870"/>
    <w:rsid w:val="00E273E5"/>
    <w:rsid w:val="00E278E8"/>
    <w:rsid w:val="00E27FB8"/>
    <w:rsid w:val="00E30064"/>
    <w:rsid w:val="00E301E4"/>
    <w:rsid w:val="00E3078A"/>
    <w:rsid w:val="00E31099"/>
    <w:rsid w:val="00E319E0"/>
    <w:rsid w:val="00E32209"/>
    <w:rsid w:val="00E3275C"/>
    <w:rsid w:val="00E327B1"/>
    <w:rsid w:val="00E327B9"/>
    <w:rsid w:val="00E32A5A"/>
    <w:rsid w:val="00E32A5E"/>
    <w:rsid w:val="00E32E66"/>
    <w:rsid w:val="00E3307A"/>
    <w:rsid w:val="00E331E4"/>
    <w:rsid w:val="00E3328F"/>
    <w:rsid w:val="00E33C15"/>
    <w:rsid w:val="00E3413D"/>
    <w:rsid w:val="00E34633"/>
    <w:rsid w:val="00E3470A"/>
    <w:rsid w:val="00E34C64"/>
    <w:rsid w:val="00E34CED"/>
    <w:rsid w:val="00E35CBE"/>
    <w:rsid w:val="00E35DC5"/>
    <w:rsid w:val="00E36239"/>
    <w:rsid w:val="00E36C10"/>
    <w:rsid w:val="00E36EB8"/>
    <w:rsid w:val="00E374E2"/>
    <w:rsid w:val="00E37695"/>
    <w:rsid w:val="00E37830"/>
    <w:rsid w:val="00E37F55"/>
    <w:rsid w:val="00E40453"/>
    <w:rsid w:val="00E4059C"/>
    <w:rsid w:val="00E405F0"/>
    <w:rsid w:val="00E40680"/>
    <w:rsid w:val="00E40C1A"/>
    <w:rsid w:val="00E41014"/>
    <w:rsid w:val="00E41601"/>
    <w:rsid w:val="00E421F2"/>
    <w:rsid w:val="00E428CB"/>
    <w:rsid w:val="00E4423D"/>
    <w:rsid w:val="00E44378"/>
    <w:rsid w:val="00E449C3"/>
    <w:rsid w:val="00E45020"/>
    <w:rsid w:val="00E450D8"/>
    <w:rsid w:val="00E4528A"/>
    <w:rsid w:val="00E45835"/>
    <w:rsid w:val="00E45C08"/>
    <w:rsid w:val="00E464DF"/>
    <w:rsid w:val="00E46502"/>
    <w:rsid w:val="00E46F6A"/>
    <w:rsid w:val="00E471E6"/>
    <w:rsid w:val="00E473AE"/>
    <w:rsid w:val="00E476E0"/>
    <w:rsid w:val="00E47DDE"/>
    <w:rsid w:val="00E50124"/>
    <w:rsid w:val="00E5134D"/>
    <w:rsid w:val="00E519D8"/>
    <w:rsid w:val="00E51DD3"/>
    <w:rsid w:val="00E5209E"/>
    <w:rsid w:val="00E5241D"/>
    <w:rsid w:val="00E5271E"/>
    <w:rsid w:val="00E52BC4"/>
    <w:rsid w:val="00E53315"/>
    <w:rsid w:val="00E5334A"/>
    <w:rsid w:val="00E536C6"/>
    <w:rsid w:val="00E53B8E"/>
    <w:rsid w:val="00E53BBA"/>
    <w:rsid w:val="00E542AA"/>
    <w:rsid w:val="00E543EE"/>
    <w:rsid w:val="00E548D1"/>
    <w:rsid w:val="00E54D9C"/>
    <w:rsid w:val="00E54DFF"/>
    <w:rsid w:val="00E54E59"/>
    <w:rsid w:val="00E55B02"/>
    <w:rsid w:val="00E55EA3"/>
    <w:rsid w:val="00E55FAC"/>
    <w:rsid w:val="00E56130"/>
    <w:rsid w:val="00E563F0"/>
    <w:rsid w:val="00E56574"/>
    <w:rsid w:val="00E565B4"/>
    <w:rsid w:val="00E56D19"/>
    <w:rsid w:val="00E57012"/>
    <w:rsid w:val="00E5737A"/>
    <w:rsid w:val="00E57481"/>
    <w:rsid w:val="00E57704"/>
    <w:rsid w:val="00E5776E"/>
    <w:rsid w:val="00E57954"/>
    <w:rsid w:val="00E57AA2"/>
    <w:rsid w:val="00E57C07"/>
    <w:rsid w:val="00E57D82"/>
    <w:rsid w:val="00E57EE7"/>
    <w:rsid w:val="00E604CA"/>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4B6D"/>
    <w:rsid w:val="00E64EDF"/>
    <w:rsid w:val="00E65903"/>
    <w:rsid w:val="00E65958"/>
    <w:rsid w:val="00E65DDD"/>
    <w:rsid w:val="00E65EFB"/>
    <w:rsid w:val="00E6668F"/>
    <w:rsid w:val="00E666DD"/>
    <w:rsid w:val="00E66856"/>
    <w:rsid w:val="00E66B4A"/>
    <w:rsid w:val="00E671F0"/>
    <w:rsid w:val="00E67B43"/>
    <w:rsid w:val="00E70402"/>
    <w:rsid w:val="00E707EA"/>
    <w:rsid w:val="00E7123B"/>
    <w:rsid w:val="00E712EA"/>
    <w:rsid w:val="00E71813"/>
    <w:rsid w:val="00E722A5"/>
    <w:rsid w:val="00E72478"/>
    <w:rsid w:val="00E726BE"/>
    <w:rsid w:val="00E7292C"/>
    <w:rsid w:val="00E73482"/>
    <w:rsid w:val="00E73537"/>
    <w:rsid w:val="00E740DA"/>
    <w:rsid w:val="00E7455D"/>
    <w:rsid w:val="00E745C0"/>
    <w:rsid w:val="00E747EA"/>
    <w:rsid w:val="00E747EE"/>
    <w:rsid w:val="00E74802"/>
    <w:rsid w:val="00E74B06"/>
    <w:rsid w:val="00E74D9F"/>
    <w:rsid w:val="00E74FCB"/>
    <w:rsid w:val="00E75AAC"/>
    <w:rsid w:val="00E75D1F"/>
    <w:rsid w:val="00E76345"/>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9BE"/>
    <w:rsid w:val="00E81A7F"/>
    <w:rsid w:val="00E826D1"/>
    <w:rsid w:val="00E82815"/>
    <w:rsid w:val="00E828CB"/>
    <w:rsid w:val="00E83A5E"/>
    <w:rsid w:val="00E83AFD"/>
    <w:rsid w:val="00E844C3"/>
    <w:rsid w:val="00E845F8"/>
    <w:rsid w:val="00E846DB"/>
    <w:rsid w:val="00E85157"/>
    <w:rsid w:val="00E8521F"/>
    <w:rsid w:val="00E863AA"/>
    <w:rsid w:val="00E86555"/>
    <w:rsid w:val="00E86608"/>
    <w:rsid w:val="00E8695C"/>
    <w:rsid w:val="00E86FEA"/>
    <w:rsid w:val="00E87559"/>
    <w:rsid w:val="00E87A01"/>
    <w:rsid w:val="00E87DDD"/>
    <w:rsid w:val="00E9006C"/>
    <w:rsid w:val="00E9023B"/>
    <w:rsid w:val="00E9047A"/>
    <w:rsid w:val="00E90609"/>
    <w:rsid w:val="00E90B5E"/>
    <w:rsid w:val="00E90C89"/>
    <w:rsid w:val="00E913B3"/>
    <w:rsid w:val="00E918B7"/>
    <w:rsid w:val="00E92565"/>
    <w:rsid w:val="00E9260C"/>
    <w:rsid w:val="00E9266C"/>
    <w:rsid w:val="00E932D1"/>
    <w:rsid w:val="00E93C7E"/>
    <w:rsid w:val="00E93EB9"/>
    <w:rsid w:val="00E94084"/>
    <w:rsid w:val="00E94113"/>
    <w:rsid w:val="00E94DAA"/>
    <w:rsid w:val="00E9526E"/>
    <w:rsid w:val="00E96468"/>
    <w:rsid w:val="00E96F68"/>
    <w:rsid w:val="00E970D7"/>
    <w:rsid w:val="00E972EE"/>
    <w:rsid w:val="00E97779"/>
    <w:rsid w:val="00E978CC"/>
    <w:rsid w:val="00E97B84"/>
    <w:rsid w:val="00E97F38"/>
    <w:rsid w:val="00EA0289"/>
    <w:rsid w:val="00EA08EC"/>
    <w:rsid w:val="00EA0FCE"/>
    <w:rsid w:val="00EA18A8"/>
    <w:rsid w:val="00EA1FE5"/>
    <w:rsid w:val="00EA2142"/>
    <w:rsid w:val="00EA2D29"/>
    <w:rsid w:val="00EA3749"/>
    <w:rsid w:val="00EA3CF5"/>
    <w:rsid w:val="00EA3D21"/>
    <w:rsid w:val="00EA48C9"/>
    <w:rsid w:val="00EA4BB6"/>
    <w:rsid w:val="00EA538B"/>
    <w:rsid w:val="00EA59B0"/>
    <w:rsid w:val="00EA6094"/>
    <w:rsid w:val="00EA6224"/>
    <w:rsid w:val="00EA69A5"/>
    <w:rsid w:val="00EA6D93"/>
    <w:rsid w:val="00EA70F7"/>
    <w:rsid w:val="00EA7446"/>
    <w:rsid w:val="00EB004D"/>
    <w:rsid w:val="00EB0146"/>
    <w:rsid w:val="00EB02C1"/>
    <w:rsid w:val="00EB0322"/>
    <w:rsid w:val="00EB05F5"/>
    <w:rsid w:val="00EB0ACA"/>
    <w:rsid w:val="00EB126D"/>
    <w:rsid w:val="00EB153B"/>
    <w:rsid w:val="00EB159C"/>
    <w:rsid w:val="00EB17F3"/>
    <w:rsid w:val="00EB1BE8"/>
    <w:rsid w:val="00EB292B"/>
    <w:rsid w:val="00EB2D5C"/>
    <w:rsid w:val="00EB3802"/>
    <w:rsid w:val="00EB3EAF"/>
    <w:rsid w:val="00EB46FA"/>
    <w:rsid w:val="00EB48F6"/>
    <w:rsid w:val="00EB4BEB"/>
    <w:rsid w:val="00EB4D75"/>
    <w:rsid w:val="00EB5287"/>
    <w:rsid w:val="00EB6405"/>
    <w:rsid w:val="00EB6587"/>
    <w:rsid w:val="00EB66AC"/>
    <w:rsid w:val="00EB69B4"/>
    <w:rsid w:val="00EB6A0D"/>
    <w:rsid w:val="00EB7059"/>
    <w:rsid w:val="00EB75D2"/>
    <w:rsid w:val="00EB7932"/>
    <w:rsid w:val="00EB7E38"/>
    <w:rsid w:val="00EC0214"/>
    <w:rsid w:val="00EC05BA"/>
    <w:rsid w:val="00EC0B35"/>
    <w:rsid w:val="00EC0BAA"/>
    <w:rsid w:val="00EC0D64"/>
    <w:rsid w:val="00EC104C"/>
    <w:rsid w:val="00EC178C"/>
    <w:rsid w:val="00EC17E3"/>
    <w:rsid w:val="00EC1A16"/>
    <w:rsid w:val="00EC1D75"/>
    <w:rsid w:val="00EC20DA"/>
    <w:rsid w:val="00EC2127"/>
    <w:rsid w:val="00EC238B"/>
    <w:rsid w:val="00EC3117"/>
    <w:rsid w:val="00EC3329"/>
    <w:rsid w:val="00EC3C44"/>
    <w:rsid w:val="00EC478C"/>
    <w:rsid w:val="00EC517B"/>
    <w:rsid w:val="00EC5B0D"/>
    <w:rsid w:val="00EC5BB4"/>
    <w:rsid w:val="00EC6364"/>
    <w:rsid w:val="00EC7114"/>
    <w:rsid w:val="00EC7D15"/>
    <w:rsid w:val="00EC7DAA"/>
    <w:rsid w:val="00EC7DB0"/>
    <w:rsid w:val="00EC7EDB"/>
    <w:rsid w:val="00ED024A"/>
    <w:rsid w:val="00ED12B0"/>
    <w:rsid w:val="00ED1D36"/>
    <w:rsid w:val="00ED1F83"/>
    <w:rsid w:val="00ED213F"/>
    <w:rsid w:val="00ED2540"/>
    <w:rsid w:val="00ED2B9A"/>
    <w:rsid w:val="00ED2DB8"/>
    <w:rsid w:val="00ED379B"/>
    <w:rsid w:val="00ED3A92"/>
    <w:rsid w:val="00ED4060"/>
    <w:rsid w:val="00ED45E3"/>
    <w:rsid w:val="00ED4783"/>
    <w:rsid w:val="00ED49B3"/>
    <w:rsid w:val="00ED51DE"/>
    <w:rsid w:val="00ED52CD"/>
    <w:rsid w:val="00ED539C"/>
    <w:rsid w:val="00ED53CB"/>
    <w:rsid w:val="00ED5447"/>
    <w:rsid w:val="00ED54B4"/>
    <w:rsid w:val="00ED5993"/>
    <w:rsid w:val="00ED5A24"/>
    <w:rsid w:val="00ED6222"/>
    <w:rsid w:val="00ED689C"/>
    <w:rsid w:val="00ED6D5F"/>
    <w:rsid w:val="00ED6F3C"/>
    <w:rsid w:val="00ED74B3"/>
    <w:rsid w:val="00ED74C3"/>
    <w:rsid w:val="00ED79B4"/>
    <w:rsid w:val="00ED7E44"/>
    <w:rsid w:val="00EE0456"/>
    <w:rsid w:val="00EE08CA"/>
    <w:rsid w:val="00EE0A57"/>
    <w:rsid w:val="00EE0C9C"/>
    <w:rsid w:val="00EE1B4A"/>
    <w:rsid w:val="00EE1C17"/>
    <w:rsid w:val="00EE1D56"/>
    <w:rsid w:val="00EE20B1"/>
    <w:rsid w:val="00EE235A"/>
    <w:rsid w:val="00EE294E"/>
    <w:rsid w:val="00EE35B8"/>
    <w:rsid w:val="00EE3632"/>
    <w:rsid w:val="00EE3EC0"/>
    <w:rsid w:val="00EE427C"/>
    <w:rsid w:val="00EE4392"/>
    <w:rsid w:val="00EE43C1"/>
    <w:rsid w:val="00EE4B3F"/>
    <w:rsid w:val="00EE4DCC"/>
    <w:rsid w:val="00EE5425"/>
    <w:rsid w:val="00EE559E"/>
    <w:rsid w:val="00EE5BB3"/>
    <w:rsid w:val="00EE620B"/>
    <w:rsid w:val="00EE6D82"/>
    <w:rsid w:val="00EE715D"/>
    <w:rsid w:val="00EE7273"/>
    <w:rsid w:val="00EE74FC"/>
    <w:rsid w:val="00EE7916"/>
    <w:rsid w:val="00EE793A"/>
    <w:rsid w:val="00EE7A69"/>
    <w:rsid w:val="00EE7C99"/>
    <w:rsid w:val="00EF0A64"/>
    <w:rsid w:val="00EF132F"/>
    <w:rsid w:val="00EF1392"/>
    <w:rsid w:val="00EF18AD"/>
    <w:rsid w:val="00EF19D9"/>
    <w:rsid w:val="00EF2467"/>
    <w:rsid w:val="00EF4844"/>
    <w:rsid w:val="00EF4853"/>
    <w:rsid w:val="00EF4A5A"/>
    <w:rsid w:val="00EF4E5E"/>
    <w:rsid w:val="00EF5112"/>
    <w:rsid w:val="00EF5132"/>
    <w:rsid w:val="00EF5667"/>
    <w:rsid w:val="00EF5D5A"/>
    <w:rsid w:val="00EF5D5C"/>
    <w:rsid w:val="00EF63BB"/>
    <w:rsid w:val="00EF6662"/>
    <w:rsid w:val="00EF6786"/>
    <w:rsid w:val="00EF6D04"/>
    <w:rsid w:val="00EF6D93"/>
    <w:rsid w:val="00EF6EEB"/>
    <w:rsid w:val="00EF760F"/>
    <w:rsid w:val="00EF7671"/>
    <w:rsid w:val="00EF77F0"/>
    <w:rsid w:val="00EF7E34"/>
    <w:rsid w:val="00F00002"/>
    <w:rsid w:val="00F001EC"/>
    <w:rsid w:val="00F003C1"/>
    <w:rsid w:val="00F00918"/>
    <w:rsid w:val="00F009C1"/>
    <w:rsid w:val="00F00EA8"/>
    <w:rsid w:val="00F01186"/>
    <w:rsid w:val="00F011DB"/>
    <w:rsid w:val="00F01A4D"/>
    <w:rsid w:val="00F01EB1"/>
    <w:rsid w:val="00F021AC"/>
    <w:rsid w:val="00F0223F"/>
    <w:rsid w:val="00F029BC"/>
    <w:rsid w:val="00F02BBD"/>
    <w:rsid w:val="00F02C66"/>
    <w:rsid w:val="00F0307D"/>
    <w:rsid w:val="00F031F5"/>
    <w:rsid w:val="00F036A3"/>
    <w:rsid w:val="00F0373C"/>
    <w:rsid w:val="00F03B42"/>
    <w:rsid w:val="00F04921"/>
    <w:rsid w:val="00F04E78"/>
    <w:rsid w:val="00F04FEF"/>
    <w:rsid w:val="00F05361"/>
    <w:rsid w:val="00F05D9F"/>
    <w:rsid w:val="00F0636F"/>
    <w:rsid w:val="00F06854"/>
    <w:rsid w:val="00F07604"/>
    <w:rsid w:val="00F07613"/>
    <w:rsid w:val="00F0767F"/>
    <w:rsid w:val="00F0785A"/>
    <w:rsid w:val="00F078EC"/>
    <w:rsid w:val="00F07B9B"/>
    <w:rsid w:val="00F07C18"/>
    <w:rsid w:val="00F11356"/>
    <w:rsid w:val="00F116D0"/>
    <w:rsid w:val="00F11778"/>
    <w:rsid w:val="00F121D1"/>
    <w:rsid w:val="00F12629"/>
    <w:rsid w:val="00F12B69"/>
    <w:rsid w:val="00F1308B"/>
    <w:rsid w:val="00F134C6"/>
    <w:rsid w:val="00F1354C"/>
    <w:rsid w:val="00F143DE"/>
    <w:rsid w:val="00F1440B"/>
    <w:rsid w:val="00F14777"/>
    <w:rsid w:val="00F147E6"/>
    <w:rsid w:val="00F14FD5"/>
    <w:rsid w:val="00F152D3"/>
    <w:rsid w:val="00F15440"/>
    <w:rsid w:val="00F15E67"/>
    <w:rsid w:val="00F15EFD"/>
    <w:rsid w:val="00F15EFE"/>
    <w:rsid w:val="00F164DE"/>
    <w:rsid w:val="00F16634"/>
    <w:rsid w:val="00F16853"/>
    <w:rsid w:val="00F171F9"/>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6D5"/>
    <w:rsid w:val="00F238EF"/>
    <w:rsid w:val="00F23EBE"/>
    <w:rsid w:val="00F248C7"/>
    <w:rsid w:val="00F24B8E"/>
    <w:rsid w:val="00F24D6A"/>
    <w:rsid w:val="00F24FFD"/>
    <w:rsid w:val="00F2574A"/>
    <w:rsid w:val="00F25763"/>
    <w:rsid w:val="00F2594A"/>
    <w:rsid w:val="00F25CA3"/>
    <w:rsid w:val="00F25F64"/>
    <w:rsid w:val="00F25FC7"/>
    <w:rsid w:val="00F2630A"/>
    <w:rsid w:val="00F263AD"/>
    <w:rsid w:val="00F264B8"/>
    <w:rsid w:val="00F26A5A"/>
    <w:rsid w:val="00F26D06"/>
    <w:rsid w:val="00F26D38"/>
    <w:rsid w:val="00F26E72"/>
    <w:rsid w:val="00F27536"/>
    <w:rsid w:val="00F27B76"/>
    <w:rsid w:val="00F3040E"/>
    <w:rsid w:val="00F304A8"/>
    <w:rsid w:val="00F309CA"/>
    <w:rsid w:val="00F30B91"/>
    <w:rsid w:val="00F30F5D"/>
    <w:rsid w:val="00F31206"/>
    <w:rsid w:val="00F31532"/>
    <w:rsid w:val="00F3173A"/>
    <w:rsid w:val="00F31861"/>
    <w:rsid w:val="00F32088"/>
    <w:rsid w:val="00F32913"/>
    <w:rsid w:val="00F32A66"/>
    <w:rsid w:val="00F3324D"/>
    <w:rsid w:val="00F34210"/>
    <w:rsid w:val="00F34F66"/>
    <w:rsid w:val="00F350C6"/>
    <w:rsid w:val="00F351F7"/>
    <w:rsid w:val="00F3525E"/>
    <w:rsid w:val="00F35885"/>
    <w:rsid w:val="00F36019"/>
    <w:rsid w:val="00F36605"/>
    <w:rsid w:val="00F366FB"/>
    <w:rsid w:val="00F36C9F"/>
    <w:rsid w:val="00F375F4"/>
    <w:rsid w:val="00F378A6"/>
    <w:rsid w:val="00F3796D"/>
    <w:rsid w:val="00F40202"/>
    <w:rsid w:val="00F40BE9"/>
    <w:rsid w:val="00F411C1"/>
    <w:rsid w:val="00F4123C"/>
    <w:rsid w:val="00F4131E"/>
    <w:rsid w:val="00F4135A"/>
    <w:rsid w:val="00F42164"/>
    <w:rsid w:val="00F42AC0"/>
    <w:rsid w:val="00F43A56"/>
    <w:rsid w:val="00F43DD0"/>
    <w:rsid w:val="00F44203"/>
    <w:rsid w:val="00F445FF"/>
    <w:rsid w:val="00F4463B"/>
    <w:rsid w:val="00F451D4"/>
    <w:rsid w:val="00F4541A"/>
    <w:rsid w:val="00F45BD4"/>
    <w:rsid w:val="00F45EDF"/>
    <w:rsid w:val="00F46184"/>
    <w:rsid w:val="00F4625D"/>
    <w:rsid w:val="00F4638F"/>
    <w:rsid w:val="00F466B3"/>
    <w:rsid w:val="00F467AF"/>
    <w:rsid w:val="00F468E9"/>
    <w:rsid w:val="00F470D0"/>
    <w:rsid w:val="00F473D8"/>
    <w:rsid w:val="00F47643"/>
    <w:rsid w:val="00F47788"/>
    <w:rsid w:val="00F47849"/>
    <w:rsid w:val="00F478EB"/>
    <w:rsid w:val="00F47DD5"/>
    <w:rsid w:val="00F50BA3"/>
    <w:rsid w:val="00F51106"/>
    <w:rsid w:val="00F514E3"/>
    <w:rsid w:val="00F51A14"/>
    <w:rsid w:val="00F521AA"/>
    <w:rsid w:val="00F52501"/>
    <w:rsid w:val="00F52838"/>
    <w:rsid w:val="00F531C9"/>
    <w:rsid w:val="00F53B78"/>
    <w:rsid w:val="00F53BB4"/>
    <w:rsid w:val="00F54251"/>
    <w:rsid w:val="00F5455E"/>
    <w:rsid w:val="00F547A4"/>
    <w:rsid w:val="00F54897"/>
    <w:rsid w:val="00F548B6"/>
    <w:rsid w:val="00F54D38"/>
    <w:rsid w:val="00F55082"/>
    <w:rsid w:val="00F553BF"/>
    <w:rsid w:val="00F558E6"/>
    <w:rsid w:val="00F55EAA"/>
    <w:rsid w:val="00F5629A"/>
    <w:rsid w:val="00F562A2"/>
    <w:rsid w:val="00F56A10"/>
    <w:rsid w:val="00F57054"/>
    <w:rsid w:val="00F571DB"/>
    <w:rsid w:val="00F572FE"/>
    <w:rsid w:val="00F5769E"/>
    <w:rsid w:val="00F5774F"/>
    <w:rsid w:val="00F579D5"/>
    <w:rsid w:val="00F57E50"/>
    <w:rsid w:val="00F57F20"/>
    <w:rsid w:val="00F60617"/>
    <w:rsid w:val="00F60639"/>
    <w:rsid w:val="00F60C47"/>
    <w:rsid w:val="00F60F0A"/>
    <w:rsid w:val="00F6140D"/>
    <w:rsid w:val="00F61C2B"/>
    <w:rsid w:val="00F62348"/>
    <w:rsid w:val="00F625E6"/>
    <w:rsid w:val="00F62660"/>
    <w:rsid w:val="00F6281D"/>
    <w:rsid w:val="00F62D25"/>
    <w:rsid w:val="00F62FEE"/>
    <w:rsid w:val="00F630ED"/>
    <w:rsid w:val="00F6367D"/>
    <w:rsid w:val="00F6436A"/>
    <w:rsid w:val="00F6480B"/>
    <w:rsid w:val="00F64A00"/>
    <w:rsid w:val="00F64B26"/>
    <w:rsid w:val="00F64BC9"/>
    <w:rsid w:val="00F651FB"/>
    <w:rsid w:val="00F655F5"/>
    <w:rsid w:val="00F65886"/>
    <w:rsid w:val="00F65A67"/>
    <w:rsid w:val="00F65BDC"/>
    <w:rsid w:val="00F66042"/>
    <w:rsid w:val="00F663E4"/>
    <w:rsid w:val="00F66822"/>
    <w:rsid w:val="00F66A6E"/>
    <w:rsid w:val="00F66D44"/>
    <w:rsid w:val="00F67329"/>
    <w:rsid w:val="00F674DA"/>
    <w:rsid w:val="00F67D3F"/>
    <w:rsid w:val="00F67EE8"/>
    <w:rsid w:val="00F7002C"/>
    <w:rsid w:val="00F700D8"/>
    <w:rsid w:val="00F708F1"/>
    <w:rsid w:val="00F70FDD"/>
    <w:rsid w:val="00F71320"/>
    <w:rsid w:val="00F715E5"/>
    <w:rsid w:val="00F722BE"/>
    <w:rsid w:val="00F72844"/>
    <w:rsid w:val="00F729DC"/>
    <w:rsid w:val="00F729F1"/>
    <w:rsid w:val="00F72B73"/>
    <w:rsid w:val="00F731D7"/>
    <w:rsid w:val="00F73702"/>
    <w:rsid w:val="00F73BCF"/>
    <w:rsid w:val="00F74166"/>
    <w:rsid w:val="00F752A2"/>
    <w:rsid w:val="00F75776"/>
    <w:rsid w:val="00F75AC3"/>
    <w:rsid w:val="00F75ADB"/>
    <w:rsid w:val="00F75EF5"/>
    <w:rsid w:val="00F7602D"/>
    <w:rsid w:val="00F76363"/>
    <w:rsid w:val="00F7685D"/>
    <w:rsid w:val="00F76C6C"/>
    <w:rsid w:val="00F76D4A"/>
    <w:rsid w:val="00F77119"/>
    <w:rsid w:val="00F77E63"/>
    <w:rsid w:val="00F8037E"/>
    <w:rsid w:val="00F803B7"/>
    <w:rsid w:val="00F806C9"/>
    <w:rsid w:val="00F807F7"/>
    <w:rsid w:val="00F8099F"/>
    <w:rsid w:val="00F816F6"/>
    <w:rsid w:val="00F82D8A"/>
    <w:rsid w:val="00F8324B"/>
    <w:rsid w:val="00F838A8"/>
    <w:rsid w:val="00F83A8A"/>
    <w:rsid w:val="00F84A5A"/>
    <w:rsid w:val="00F85A9D"/>
    <w:rsid w:val="00F85B83"/>
    <w:rsid w:val="00F860D8"/>
    <w:rsid w:val="00F86914"/>
    <w:rsid w:val="00F86B73"/>
    <w:rsid w:val="00F870BF"/>
    <w:rsid w:val="00F8754B"/>
    <w:rsid w:val="00F9012C"/>
    <w:rsid w:val="00F90377"/>
    <w:rsid w:val="00F90ADE"/>
    <w:rsid w:val="00F9176D"/>
    <w:rsid w:val="00F91D3B"/>
    <w:rsid w:val="00F91D8E"/>
    <w:rsid w:val="00F91FB6"/>
    <w:rsid w:val="00F923B9"/>
    <w:rsid w:val="00F927E3"/>
    <w:rsid w:val="00F92F2C"/>
    <w:rsid w:val="00F934BB"/>
    <w:rsid w:val="00F939B6"/>
    <w:rsid w:val="00F93EC8"/>
    <w:rsid w:val="00F9440D"/>
    <w:rsid w:val="00F94A68"/>
    <w:rsid w:val="00F94BC8"/>
    <w:rsid w:val="00F94C99"/>
    <w:rsid w:val="00F96019"/>
    <w:rsid w:val="00F9640C"/>
    <w:rsid w:val="00F9667A"/>
    <w:rsid w:val="00F9727D"/>
    <w:rsid w:val="00F97B70"/>
    <w:rsid w:val="00F97BCC"/>
    <w:rsid w:val="00FA057A"/>
    <w:rsid w:val="00FA0665"/>
    <w:rsid w:val="00FA0A8E"/>
    <w:rsid w:val="00FA189A"/>
    <w:rsid w:val="00FA1A50"/>
    <w:rsid w:val="00FA1D9A"/>
    <w:rsid w:val="00FA1F76"/>
    <w:rsid w:val="00FA26F8"/>
    <w:rsid w:val="00FA276F"/>
    <w:rsid w:val="00FA3509"/>
    <w:rsid w:val="00FA357D"/>
    <w:rsid w:val="00FA3AE6"/>
    <w:rsid w:val="00FA3E60"/>
    <w:rsid w:val="00FA3EC1"/>
    <w:rsid w:val="00FA40E6"/>
    <w:rsid w:val="00FA4628"/>
    <w:rsid w:val="00FA49E0"/>
    <w:rsid w:val="00FA5819"/>
    <w:rsid w:val="00FA5C9E"/>
    <w:rsid w:val="00FA5D5F"/>
    <w:rsid w:val="00FA66C6"/>
    <w:rsid w:val="00FA6F3D"/>
    <w:rsid w:val="00FA77FB"/>
    <w:rsid w:val="00FA7D36"/>
    <w:rsid w:val="00FB016A"/>
    <w:rsid w:val="00FB055C"/>
    <w:rsid w:val="00FB0D77"/>
    <w:rsid w:val="00FB0D91"/>
    <w:rsid w:val="00FB0E86"/>
    <w:rsid w:val="00FB0F89"/>
    <w:rsid w:val="00FB172B"/>
    <w:rsid w:val="00FB274B"/>
    <w:rsid w:val="00FB39F2"/>
    <w:rsid w:val="00FB3FE2"/>
    <w:rsid w:val="00FB3FEE"/>
    <w:rsid w:val="00FB5967"/>
    <w:rsid w:val="00FB5AFD"/>
    <w:rsid w:val="00FB5B5B"/>
    <w:rsid w:val="00FB5D5B"/>
    <w:rsid w:val="00FB6CE2"/>
    <w:rsid w:val="00FB77CF"/>
    <w:rsid w:val="00FB7A8F"/>
    <w:rsid w:val="00FB7ACB"/>
    <w:rsid w:val="00FB7F03"/>
    <w:rsid w:val="00FC01EC"/>
    <w:rsid w:val="00FC051A"/>
    <w:rsid w:val="00FC0E47"/>
    <w:rsid w:val="00FC1402"/>
    <w:rsid w:val="00FC15F6"/>
    <w:rsid w:val="00FC194F"/>
    <w:rsid w:val="00FC1B18"/>
    <w:rsid w:val="00FC2295"/>
    <w:rsid w:val="00FC29D5"/>
    <w:rsid w:val="00FC2AF3"/>
    <w:rsid w:val="00FC2DCC"/>
    <w:rsid w:val="00FC35FA"/>
    <w:rsid w:val="00FC370E"/>
    <w:rsid w:val="00FC3D15"/>
    <w:rsid w:val="00FC3D4C"/>
    <w:rsid w:val="00FC40E0"/>
    <w:rsid w:val="00FC4846"/>
    <w:rsid w:val="00FC5486"/>
    <w:rsid w:val="00FC58D3"/>
    <w:rsid w:val="00FC6222"/>
    <w:rsid w:val="00FC6EC0"/>
    <w:rsid w:val="00FC7770"/>
    <w:rsid w:val="00FC77C7"/>
    <w:rsid w:val="00FC7F65"/>
    <w:rsid w:val="00FD0D3F"/>
    <w:rsid w:val="00FD0F5C"/>
    <w:rsid w:val="00FD1298"/>
    <w:rsid w:val="00FD1CCA"/>
    <w:rsid w:val="00FD277B"/>
    <w:rsid w:val="00FD2CBA"/>
    <w:rsid w:val="00FD362E"/>
    <w:rsid w:val="00FD3816"/>
    <w:rsid w:val="00FD3AEE"/>
    <w:rsid w:val="00FD4281"/>
    <w:rsid w:val="00FD510F"/>
    <w:rsid w:val="00FD56F6"/>
    <w:rsid w:val="00FD5DF2"/>
    <w:rsid w:val="00FD5E28"/>
    <w:rsid w:val="00FD5E9E"/>
    <w:rsid w:val="00FD675A"/>
    <w:rsid w:val="00FD6EA3"/>
    <w:rsid w:val="00FD7514"/>
    <w:rsid w:val="00FD77A4"/>
    <w:rsid w:val="00FE03DA"/>
    <w:rsid w:val="00FE0897"/>
    <w:rsid w:val="00FE0940"/>
    <w:rsid w:val="00FE0989"/>
    <w:rsid w:val="00FE0E36"/>
    <w:rsid w:val="00FE102E"/>
    <w:rsid w:val="00FE1A57"/>
    <w:rsid w:val="00FE1FB4"/>
    <w:rsid w:val="00FE23B0"/>
    <w:rsid w:val="00FE24A9"/>
    <w:rsid w:val="00FE28C4"/>
    <w:rsid w:val="00FE34DC"/>
    <w:rsid w:val="00FE354B"/>
    <w:rsid w:val="00FE371A"/>
    <w:rsid w:val="00FE37E9"/>
    <w:rsid w:val="00FE3D93"/>
    <w:rsid w:val="00FE4329"/>
    <w:rsid w:val="00FE44CB"/>
    <w:rsid w:val="00FE45BD"/>
    <w:rsid w:val="00FE4D06"/>
    <w:rsid w:val="00FE574B"/>
    <w:rsid w:val="00FE6632"/>
    <w:rsid w:val="00FE66ED"/>
    <w:rsid w:val="00FE68E7"/>
    <w:rsid w:val="00FE6C64"/>
    <w:rsid w:val="00FE6F3D"/>
    <w:rsid w:val="00FE76FA"/>
    <w:rsid w:val="00FE77D3"/>
    <w:rsid w:val="00FF02F7"/>
    <w:rsid w:val="00FF062D"/>
    <w:rsid w:val="00FF0D5B"/>
    <w:rsid w:val="00FF1329"/>
    <w:rsid w:val="00FF1643"/>
    <w:rsid w:val="00FF1B15"/>
    <w:rsid w:val="00FF1CE1"/>
    <w:rsid w:val="00FF1E0B"/>
    <w:rsid w:val="00FF2021"/>
    <w:rsid w:val="00FF24A7"/>
    <w:rsid w:val="00FF2948"/>
    <w:rsid w:val="00FF2A25"/>
    <w:rsid w:val="00FF2A98"/>
    <w:rsid w:val="00FF2C48"/>
    <w:rsid w:val="00FF2F44"/>
    <w:rsid w:val="00FF314A"/>
    <w:rsid w:val="00FF34CD"/>
    <w:rsid w:val="00FF352D"/>
    <w:rsid w:val="00FF360F"/>
    <w:rsid w:val="00FF3965"/>
    <w:rsid w:val="00FF396F"/>
    <w:rsid w:val="00FF3AA1"/>
    <w:rsid w:val="00FF4397"/>
    <w:rsid w:val="00FF463E"/>
    <w:rsid w:val="00FF4BAF"/>
    <w:rsid w:val="00FF4ED3"/>
    <w:rsid w:val="00FF50D5"/>
    <w:rsid w:val="00FF537D"/>
    <w:rsid w:val="00FF64E9"/>
    <w:rsid w:val="00FF6E8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8419AC-E1D3-4081-855A-93506C9C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Footnote1,Footnote2,Footnote3,stile 1,Footnote4,Footnote5,Footnote6,Footnote7,Footnote8,Footnote9,Footnote10,Footnote11,Footnote21,Footnote31,Footnote41,Footnote51,Footnote61,Footnote71,Footnote81,Footnote91,single spa"/>
    <w:basedOn w:val="Normal"/>
    <w:link w:val="FootnoteTextChar"/>
    <w:uiPriority w:val="99"/>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Footnote1 Char,Footnote2 Char,Footnote3 Char,stile 1 Char,Footnote4 Char,Footnote5 Char,Footnote6 Char,Footnote7 Char,Footnote8 Char,Footnote9 Char,Footnote10 Char,Footnote11 Char,Footnote21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46098401">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669023205">
      <w:bodyDiv w:val="1"/>
      <w:marLeft w:val="0"/>
      <w:marRight w:val="0"/>
      <w:marTop w:val="0"/>
      <w:marBottom w:val="0"/>
      <w:divBdr>
        <w:top w:val="none" w:sz="0" w:space="0" w:color="auto"/>
        <w:left w:val="none" w:sz="0" w:space="0" w:color="auto"/>
        <w:bottom w:val="none" w:sz="0" w:space="0" w:color="auto"/>
        <w:right w:val="none" w:sz="0" w:space="0" w:color="auto"/>
      </w:divBdr>
    </w:div>
    <w:div w:id="721250821">
      <w:bodyDiv w:val="1"/>
      <w:marLeft w:val="0"/>
      <w:marRight w:val="0"/>
      <w:marTop w:val="0"/>
      <w:marBottom w:val="0"/>
      <w:divBdr>
        <w:top w:val="none" w:sz="0" w:space="0" w:color="auto"/>
        <w:left w:val="none" w:sz="0" w:space="0" w:color="auto"/>
        <w:bottom w:val="none" w:sz="0" w:space="0" w:color="auto"/>
        <w:right w:val="none" w:sz="0" w:space="0" w:color="auto"/>
      </w:divBdr>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151099104">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52327598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36472099">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септември 2022 г.</c:v>
                </c:pt>
              </c:strCache>
            </c:strRef>
          </c:tx>
          <c:spPr>
            <a:pattFill prst="pct5">
              <a:fgClr>
                <a:srgbClr val="FFFFFF"/>
              </a:fgClr>
              <a:bgClr>
                <a:srgbClr val="000000"/>
              </a:bgClr>
            </a:pattFill>
            <a:ln w="12683">
              <a:solidFill>
                <a:srgbClr val="000000"/>
              </a:solidFill>
              <a:prstDash val="solid"/>
            </a:ln>
          </c:spPr>
          <c:invertIfNegative val="0"/>
          <c:dLbls>
            <c:dLbl>
              <c:idx val="2"/>
              <c:layout>
                <c:manualLayout>
                  <c:x val="0"/>
                  <c:y val="-4.340277777777857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734-4527-B1EB-E611A9019B4A}"/>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734-4527-B1EB-E611A9019B4A}"/>
                </c:ext>
              </c:extLst>
            </c:dLbl>
            <c:dLbl>
              <c:idx val="5"/>
              <c:layout>
                <c:manualLayout>
                  <c:x val="-1.7522696819640421E-16"/>
                  <c:y val="-9.4250706880301596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734-4527-B1EB-E611A9019B4A}"/>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10089.390503000001</c:v>
                </c:pt>
                <c:pt idx="1">
                  <c:v>10.313608</c:v>
                </c:pt>
                <c:pt idx="2">
                  <c:v>712.19044400000007</c:v>
                </c:pt>
                <c:pt idx="3">
                  <c:v>557.48676899999998</c:v>
                </c:pt>
                <c:pt idx="4">
                  <c:v>13748.344723</c:v>
                </c:pt>
                <c:pt idx="5">
                  <c:v>1237.3098400000001</c:v>
                </c:pt>
              </c:numCache>
            </c:numRef>
          </c:val>
          <c:extLst>
            <c:ext xmlns:c16="http://schemas.microsoft.com/office/drawing/2014/chart" uri="{C3380CC4-5D6E-409C-BE32-E72D297353CC}">
              <c16:uniqueId val="{00000003-4734-4527-B1EB-E611A9019B4A}"/>
            </c:ext>
          </c:extLst>
        </c:ser>
        <c:ser>
          <c:idx val="1"/>
          <c:order val="1"/>
          <c:tx>
            <c:strRef>
              <c:f>Sheet1!$C$36</c:f>
              <c:strCache>
                <c:ptCount val="1"/>
                <c:pt idx="0">
                  <c:v>към септември  2023 г.</c:v>
                </c:pt>
              </c:strCache>
            </c:strRef>
          </c:tx>
          <c:spPr>
            <a:pattFill prst="smConfetti">
              <a:fgClr>
                <a:srgbClr val="333333"/>
              </a:fgClr>
              <a:bgClr>
                <a:srgbClr val="FFFFFF"/>
              </a:bgClr>
            </a:pattFill>
            <a:ln w="12683">
              <a:solidFill>
                <a:srgbClr val="000000"/>
              </a:solidFill>
              <a:prstDash val="solid"/>
            </a:ln>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734-4527-B1EB-E611A9019B4A}"/>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734-4527-B1EB-E611A9019B4A}"/>
                </c:ext>
              </c:extLst>
            </c:dLbl>
            <c:dLbl>
              <c:idx val="2"/>
              <c:layout>
                <c:manualLayout>
                  <c:x val="2.2504468494836203E-3"/>
                  <c:y val="-1.16011865704286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734-4527-B1EB-E611A9019B4A}"/>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734-4527-B1EB-E611A9019B4A}"/>
                </c:ext>
              </c:extLst>
            </c:dLbl>
            <c:dLbl>
              <c:idx val="4"/>
              <c:layout>
                <c:manualLayout>
                  <c:x val="2.8449113763692161E-4"/>
                  <c:y val="0.1279206310148731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734-4527-B1EB-E611A9019B4A}"/>
                </c:ext>
              </c:extLst>
            </c:dLbl>
            <c:dLbl>
              <c:idx val="5"/>
              <c:layout>
                <c:manualLayout>
                  <c:x val="1.921184583109907E-3"/>
                  <c:y val="-1.3155394925304459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734-4527-B1EB-E611A9019B4A}"/>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10365.018063</c:v>
                </c:pt>
                <c:pt idx="1">
                  <c:v>8.7818649999999998</c:v>
                </c:pt>
                <c:pt idx="2">
                  <c:v>1011.3725030000001</c:v>
                </c:pt>
                <c:pt idx="3">
                  <c:v>699.15947000000006</c:v>
                </c:pt>
                <c:pt idx="4">
                  <c:v>16753.925906</c:v>
                </c:pt>
                <c:pt idx="5">
                  <c:v>1252.082163</c:v>
                </c:pt>
              </c:numCache>
            </c:numRef>
          </c:val>
          <c:extLst>
            <c:ext xmlns:c16="http://schemas.microsoft.com/office/drawing/2014/chart" uri="{C3380CC4-5D6E-409C-BE32-E72D297353CC}">
              <c16:uniqueId val="{0000000A-4734-4527-B1EB-E611A9019B4A}"/>
            </c:ext>
          </c:extLst>
        </c:ser>
        <c:dLbls>
          <c:showLegendKey val="0"/>
          <c:showVal val="0"/>
          <c:showCatName val="0"/>
          <c:showSerName val="0"/>
          <c:showPercent val="0"/>
          <c:showBubbleSize val="0"/>
        </c:dLbls>
        <c:gapWidth val="150"/>
        <c:axId val="363648896"/>
        <c:axId val="363650432"/>
      </c:barChart>
      <c:catAx>
        <c:axId val="363648896"/>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363650432"/>
        <c:crosses val="autoZero"/>
        <c:auto val="1"/>
        <c:lblAlgn val="ctr"/>
        <c:lblOffset val="100"/>
        <c:tickLblSkip val="1"/>
        <c:tickMarkSkip val="1"/>
        <c:noMultiLvlLbl val="0"/>
      </c:catAx>
      <c:valAx>
        <c:axId val="363650432"/>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 ##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363648896"/>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38042784974458832"/>
          <c:y val="0.91659665892376085"/>
          <c:w val="0.27736291028137611"/>
          <c:h val="8.2830786585230104E-2"/>
        </c:manualLayout>
      </c:layout>
      <c:overlay val="0"/>
      <c:spPr>
        <a:solidFill>
          <a:srgbClr val="FFFFFF"/>
        </a:solidFill>
        <a:ln w="3171">
          <a:solidFill>
            <a:sysClr val="window" lastClr="FFFFFF">
              <a:lumMod val="85000"/>
            </a:sysClr>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091FA-F2C9-4C48-9BFE-187FF85E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16860</Words>
  <Characters>88271</Characters>
  <Application>Microsoft Office Word</Application>
  <DocSecurity>0</DocSecurity>
  <Lines>735</Lines>
  <Paragraphs>209</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КБПА ВД</cp:lastModifiedBy>
  <cp:revision>34</cp:revision>
  <cp:lastPrinted>2023-08-03T13:36:00Z</cp:lastPrinted>
  <dcterms:created xsi:type="dcterms:W3CDTF">2023-11-07T14:06:00Z</dcterms:created>
  <dcterms:modified xsi:type="dcterms:W3CDTF">2023-11-10T13:05:00Z</dcterms:modified>
</cp:coreProperties>
</file>