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15" w:rsidRPr="00BA099B" w:rsidRDefault="00063E15" w:rsidP="008314D1">
      <w:pPr>
        <w:pStyle w:val="Title"/>
        <w:pBdr>
          <w:bottom w:val="double" w:sz="6" w:space="0" w:color="auto"/>
        </w:pBdr>
      </w:pPr>
      <w:r w:rsidRPr="00BA099B">
        <w:t>М И Н И С Т Е Р С Т В О   Н А   Ф И Н А Н С И Т Е</w:t>
      </w:r>
    </w:p>
    <w:p w:rsidR="005F7245" w:rsidRPr="00BA099B" w:rsidRDefault="005F7245" w:rsidP="00063E15">
      <w:pPr>
        <w:rPr>
          <w:sz w:val="16"/>
          <w:szCs w:val="16"/>
        </w:rPr>
      </w:pPr>
    </w:p>
    <w:p w:rsidR="0019151C" w:rsidRDefault="0019151C" w:rsidP="0019151C"/>
    <w:p w:rsidR="00E10331" w:rsidRPr="00BA099B" w:rsidRDefault="00E10331" w:rsidP="0019151C"/>
    <w:p w:rsidR="00E9260C" w:rsidRPr="00BA099B" w:rsidRDefault="00E9260C" w:rsidP="009B536C">
      <w:pPr>
        <w:pStyle w:val="Heading1"/>
        <w:rPr>
          <w:sz w:val="24"/>
        </w:rPr>
      </w:pPr>
      <w:r w:rsidRPr="00BA099B">
        <w:rPr>
          <w:sz w:val="24"/>
        </w:rPr>
        <w:t>ИНФОРМАЦИЯ</w:t>
      </w:r>
    </w:p>
    <w:p w:rsidR="00E9260C" w:rsidRPr="00BA099B" w:rsidRDefault="00E9260C" w:rsidP="009B536C">
      <w:pPr>
        <w:jc w:val="center"/>
        <w:rPr>
          <w:b/>
          <w:bCs/>
        </w:rPr>
      </w:pPr>
      <w:r w:rsidRPr="00BA099B">
        <w:rPr>
          <w:b/>
          <w:bCs/>
        </w:rPr>
        <w:t xml:space="preserve">ЗА </w:t>
      </w:r>
      <w:r w:rsidR="004E7BF8" w:rsidRPr="00BA099B">
        <w:rPr>
          <w:b/>
          <w:bCs/>
        </w:rPr>
        <w:t xml:space="preserve">КАСОВОТО </w:t>
      </w:r>
      <w:r w:rsidRPr="00BA099B">
        <w:rPr>
          <w:b/>
          <w:bCs/>
        </w:rPr>
        <w:t xml:space="preserve">ИЗПЪЛНЕНИЕ НА </w:t>
      </w:r>
      <w:r w:rsidR="004E7BF8" w:rsidRPr="00BA099B">
        <w:rPr>
          <w:b/>
          <w:bCs/>
        </w:rPr>
        <w:t>ДЪРЖАВНИЯ</w:t>
      </w:r>
      <w:r w:rsidRPr="00BA099B">
        <w:rPr>
          <w:b/>
          <w:bCs/>
        </w:rPr>
        <w:t xml:space="preserve"> БЮДЖЕТ</w:t>
      </w:r>
      <w:r w:rsidR="004E7BF8" w:rsidRPr="00BA099B">
        <w:rPr>
          <w:b/>
          <w:bCs/>
        </w:rPr>
        <w:t xml:space="preserve"> И НА ОСНОВНИТЕ ПОКАЗАТЕЛИ НА КОНСОЛИДИРАНАТА ФИСКАЛНА ПРОГРАМА </w:t>
      </w:r>
    </w:p>
    <w:p w:rsidR="003F47AB" w:rsidRPr="00BA099B" w:rsidRDefault="003F47AB" w:rsidP="003F47AB">
      <w:pPr>
        <w:jc w:val="center"/>
        <w:rPr>
          <w:b/>
          <w:bCs/>
        </w:rPr>
      </w:pPr>
      <w:r w:rsidRPr="00BA099B">
        <w:rPr>
          <w:b/>
          <w:bCs/>
        </w:rPr>
        <w:t xml:space="preserve">ЗА </w:t>
      </w:r>
      <w:r w:rsidR="00DB65C2" w:rsidRPr="00BA099B">
        <w:rPr>
          <w:b/>
          <w:bCs/>
        </w:rPr>
        <w:t xml:space="preserve">ПЪРВОТО ТРИМЕСЕЧИЕ </w:t>
      </w:r>
      <w:r w:rsidRPr="00BA099B">
        <w:rPr>
          <w:b/>
          <w:bCs/>
        </w:rPr>
        <w:t>НА 20</w:t>
      </w:r>
      <w:r w:rsidR="006D5D56" w:rsidRPr="00030658">
        <w:rPr>
          <w:b/>
          <w:bCs/>
        </w:rPr>
        <w:t>21</w:t>
      </w:r>
      <w:r w:rsidRPr="00BA099B">
        <w:rPr>
          <w:b/>
          <w:bCs/>
        </w:rPr>
        <w:t xml:space="preserve"> ГОДИНА</w:t>
      </w:r>
    </w:p>
    <w:p w:rsidR="00430A35" w:rsidRDefault="00430A35" w:rsidP="003A06C5">
      <w:pPr>
        <w:rPr>
          <w:b/>
          <w:bCs/>
        </w:rPr>
      </w:pPr>
    </w:p>
    <w:p w:rsidR="00E10331" w:rsidRDefault="00E10331" w:rsidP="003A06C5">
      <w:pPr>
        <w:rPr>
          <w:b/>
          <w:bCs/>
        </w:rPr>
      </w:pPr>
    </w:p>
    <w:p w:rsidR="00E10331" w:rsidRPr="006D5D56" w:rsidRDefault="00E10331" w:rsidP="003A06C5">
      <w:pPr>
        <w:rPr>
          <w:b/>
          <w:bCs/>
          <w:color w:val="4F81BD" w:themeColor="accent1"/>
        </w:rPr>
      </w:pPr>
    </w:p>
    <w:p w:rsidR="00441E7C" w:rsidRPr="00B5703E" w:rsidRDefault="00441E7C" w:rsidP="00441E7C">
      <w:pPr>
        <w:spacing w:before="240" w:after="120"/>
        <w:ind w:firstLine="567"/>
        <w:jc w:val="both"/>
        <w:rPr>
          <w:u w:val="single"/>
        </w:rPr>
      </w:pPr>
      <w:r w:rsidRPr="00B5703E">
        <w:rPr>
          <w:b/>
          <w:u w:val="single"/>
        </w:rPr>
        <w:t>Априлски Нотификационни таблици за дефицита и дълга на България</w:t>
      </w:r>
    </w:p>
    <w:p w:rsidR="00E10331" w:rsidRPr="006D5D56" w:rsidRDefault="00E10331" w:rsidP="00441E7C">
      <w:pPr>
        <w:spacing w:before="120" w:after="120"/>
        <w:jc w:val="both"/>
        <w:rPr>
          <w:color w:val="4F81BD" w:themeColor="accent1"/>
          <w:sz w:val="8"/>
          <w:szCs w:val="8"/>
        </w:rPr>
      </w:pPr>
    </w:p>
    <w:p w:rsidR="00B5703E" w:rsidRPr="00E5710B" w:rsidRDefault="00B5703E" w:rsidP="00B5703E">
      <w:pPr>
        <w:spacing w:before="120" w:after="120"/>
        <w:jc w:val="both"/>
        <w:rPr>
          <w:color w:val="000000" w:themeColor="text1"/>
        </w:rPr>
      </w:pPr>
      <w:r w:rsidRPr="00E5710B">
        <w:rPr>
          <w:color w:val="000000" w:themeColor="text1"/>
        </w:rPr>
        <w:t>Съгласно априлските Нотификационни таблици за дефицита и дълга на България салдото на сектор „Държавно управление“ за 20</w:t>
      </w:r>
      <w:r>
        <w:rPr>
          <w:color w:val="000000" w:themeColor="text1"/>
        </w:rPr>
        <w:t>20</w:t>
      </w:r>
      <w:r w:rsidRPr="00E5710B">
        <w:rPr>
          <w:color w:val="000000" w:themeColor="text1"/>
        </w:rPr>
        <w:t xml:space="preserve"> г. е </w:t>
      </w:r>
      <w:r>
        <w:rPr>
          <w:color w:val="000000" w:themeColor="text1"/>
        </w:rPr>
        <w:t>отрицателно</w:t>
      </w:r>
      <w:r w:rsidRPr="00E5710B">
        <w:rPr>
          <w:color w:val="000000" w:themeColor="text1"/>
        </w:rPr>
        <w:t xml:space="preserve"> в размер на </w:t>
      </w:r>
      <w:r>
        <w:rPr>
          <w:color w:val="000000" w:themeColor="text1"/>
        </w:rPr>
        <w:t>3,4</w:t>
      </w:r>
      <w:r w:rsidRPr="00E5710B">
        <w:rPr>
          <w:color w:val="000000" w:themeColor="text1"/>
        </w:rPr>
        <w:t xml:space="preserve"> % от БВП. </w:t>
      </w:r>
      <w:r w:rsidR="006F0F53" w:rsidRPr="00474AE6">
        <w:t>Съпоставено с държавите</w:t>
      </w:r>
      <w:r w:rsidR="00412C54">
        <w:t xml:space="preserve"> </w:t>
      </w:r>
      <w:r w:rsidR="006F0F53" w:rsidRPr="00474AE6">
        <w:t>членки Българя се нарежда на трето място сред страните с най-нисък дефицит за 2020 г., след Дания и Швеция</w:t>
      </w:r>
      <w:r w:rsidR="006F0F53" w:rsidRPr="0068480B">
        <w:rPr>
          <w:b/>
        </w:rPr>
        <w:t>.</w:t>
      </w:r>
    </w:p>
    <w:p w:rsidR="00B5703E" w:rsidRPr="00DB657F" w:rsidRDefault="00B5703E" w:rsidP="00B5703E">
      <w:pPr>
        <w:spacing w:after="120"/>
        <w:jc w:val="both"/>
        <w:rPr>
          <w:color w:val="31849B" w:themeColor="accent5" w:themeShade="BF"/>
        </w:rPr>
      </w:pPr>
      <w:r w:rsidRPr="001E4243">
        <w:rPr>
          <w:color w:val="000000" w:themeColor="text1"/>
        </w:rPr>
        <w:t>На база на публикуваните в края на април данни на Евростат за дефицита и дълга на държавите</w:t>
      </w:r>
      <w:r w:rsidRPr="00D40081">
        <w:rPr>
          <w:color w:val="000000" w:themeColor="text1"/>
        </w:rPr>
        <w:t xml:space="preserve"> </w:t>
      </w:r>
      <w:r w:rsidRPr="001E4243">
        <w:rPr>
          <w:color w:val="000000" w:themeColor="text1"/>
        </w:rPr>
        <w:t>членки през 20</w:t>
      </w:r>
      <w:r>
        <w:rPr>
          <w:color w:val="000000" w:themeColor="text1"/>
        </w:rPr>
        <w:t>20</w:t>
      </w:r>
      <w:r w:rsidRPr="001E4243">
        <w:rPr>
          <w:color w:val="000000" w:themeColor="text1"/>
        </w:rPr>
        <w:t xml:space="preserve"> г. се отчита </w:t>
      </w:r>
      <w:r>
        <w:rPr>
          <w:color w:val="000000" w:themeColor="text1"/>
        </w:rPr>
        <w:t xml:space="preserve">значително влошаване по отношение на осреднените стойности за дефицита и дълга на държавите от </w:t>
      </w:r>
      <w:r w:rsidRPr="001E4243">
        <w:rPr>
          <w:color w:val="000000" w:themeColor="text1"/>
        </w:rPr>
        <w:t>ЕС. Осреднената стойност на дефицита за държавите</w:t>
      </w:r>
      <w:r w:rsidR="0098306A">
        <w:rPr>
          <w:color w:val="000000" w:themeColor="text1"/>
        </w:rPr>
        <w:t xml:space="preserve"> </w:t>
      </w:r>
      <w:r w:rsidRPr="001E4243">
        <w:rPr>
          <w:color w:val="000000" w:themeColor="text1"/>
        </w:rPr>
        <w:t>членки на ЕС за 20</w:t>
      </w:r>
      <w:r>
        <w:rPr>
          <w:color w:val="000000" w:themeColor="text1"/>
        </w:rPr>
        <w:t>20</w:t>
      </w:r>
      <w:r w:rsidRPr="001E4243">
        <w:rPr>
          <w:color w:val="000000" w:themeColor="text1"/>
        </w:rPr>
        <w:t xml:space="preserve"> г. се равнява на </w:t>
      </w:r>
      <w:r>
        <w:rPr>
          <w:color w:val="000000" w:themeColor="text1"/>
        </w:rPr>
        <w:t>6,9 % от БВП спрямо</w:t>
      </w:r>
      <w:r w:rsidRPr="001E4243">
        <w:rPr>
          <w:color w:val="000000" w:themeColor="text1"/>
        </w:rPr>
        <w:t xml:space="preserve"> отчетения дефицит в размер на 0,</w:t>
      </w:r>
      <w:r>
        <w:rPr>
          <w:color w:val="000000" w:themeColor="text1"/>
        </w:rPr>
        <w:t>5</w:t>
      </w:r>
      <w:r w:rsidRPr="001E4243">
        <w:rPr>
          <w:color w:val="000000" w:themeColor="text1"/>
        </w:rPr>
        <w:t xml:space="preserve"> % от БВП за 201</w:t>
      </w:r>
      <w:r>
        <w:rPr>
          <w:color w:val="000000" w:themeColor="text1"/>
        </w:rPr>
        <w:t>9</w:t>
      </w:r>
      <w:r w:rsidRPr="001E4243">
        <w:rPr>
          <w:color w:val="000000" w:themeColor="text1"/>
        </w:rPr>
        <w:t xml:space="preserve"> г., а</w:t>
      </w:r>
      <w:r>
        <w:rPr>
          <w:color w:val="000000" w:themeColor="text1"/>
        </w:rPr>
        <w:t xml:space="preserve"> за страните от еврозоната – 7,2 % от БВП за 2020 г. спрямо </w:t>
      </w:r>
      <w:r w:rsidRPr="001E4243">
        <w:rPr>
          <w:color w:val="000000" w:themeColor="text1"/>
        </w:rPr>
        <w:t>0,</w:t>
      </w:r>
      <w:r>
        <w:rPr>
          <w:color w:val="000000" w:themeColor="text1"/>
        </w:rPr>
        <w:t>6</w:t>
      </w:r>
      <w:r w:rsidRPr="001E4243">
        <w:rPr>
          <w:color w:val="000000" w:themeColor="text1"/>
        </w:rPr>
        <w:t xml:space="preserve"> % от БВП за 201</w:t>
      </w:r>
      <w:r>
        <w:rPr>
          <w:color w:val="000000" w:themeColor="text1"/>
        </w:rPr>
        <w:t>9</w:t>
      </w:r>
      <w:r w:rsidRPr="001E4243">
        <w:rPr>
          <w:color w:val="000000" w:themeColor="text1"/>
        </w:rPr>
        <w:t xml:space="preserve"> г. </w:t>
      </w:r>
      <w:r>
        <w:rPr>
          <w:color w:val="000000" w:themeColor="text1"/>
        </w:rPr>
        <w:t>Всички</w:t>
      </w:r>
      <w:r w:rsidRPr="001E4243">
        <w:rPr>
          <w:color w:val="000000" w:themeColor="text1"/>
        </w:rPr>
        <w:t xml:space="preserve"> държави</w:t>
      </w:r>
      <w:r w:rsidRPr="00D40081">
        <w:rPr>
          <w:color w:val="000000" w:themeColor="text1"/>
        </w:rPr>
        <w:t xml:space="preserve"> </w:t>
      </w:r>
      <w:r w:rsidRPr="001E4243">
        <w:rPr>
          <w:color w:val="000000" w:themeColor="text1"/>
        </w:rPr>
        <w:t xml:space="preserve">членки </w:t>
      </w:r>
      <w:r>
        <w:rPr>
          <w:color w:val="000000" w:themeColor="text1"/>
        </w:rPr>
        <w:t xml:space="preserve">с изключение на Дания </w:t>
      </w:r>
      <w:r w:rsidRPr="001E4243">
        <w:rPr>
          <w:color w:val="000000" w:themeColor="text1"/>
        </w:rPr>
        <w:t xml:space="preserve">отчитат </w:t>
      </w:r>
      <w:r>
        <w:rPr>
          <w:color w:val="000000" w:themeColor="text1"/>
        </w:rPr>
        <w:t>дефицит</w:t>
      </w:r>
      <w:r w:rsidRPr="001E4243">
        <w:rPr>
          <w:color w:val="000000" w:themeColor="text1"/>
        </w:rPr>
        <w:t xml:space="preserve"> за 20</w:t>
      </w:r>
      <w:r>
        <w:rPr>
          <w:color w:val="000000" w:themeColor="text1"/>
        </w:rPr>
        <w:t>20</w:t>
      </w:r>
      <w:r w:rsidRPr="001E4243">
        <w:rPr>
          <w:color w:val="000000" w:themeColor="text1"/>
        </w:rPr>
        <w:t xml:space="preserve"> г.</w:t>
      </w:r>
      <w:r>
        <w:rPr>
          <w:color w:val="000000" w:themeColor="text1"/>
        </w:rPr>
        <w:t xml:space="preserve"> над</w:t>
      </w:r>
      <w:r w:rsidRPr="001E4243">
        <w:rPr>
          <w:color w:val="000000" w:themeColor="text1"/>
        </w:rPr>
        <w:t xml:space="preserve"> референтната стойност</w:t>
      </w:r>
      <w:r>
        <w:rPr>
          <w:color w:val="000000" w:themeColor="text1"/>
        </w:rPr>
        <w:t xml:space="preserve"> от 3 на сто от БВП в</w:t>
      </w:r>
      <w:r w:rsidRPr="001E4243">
        <w:rPr>
          <w:color w:val="000000" w:themeColor="text1"/>
        </w:rPr>
        <w:t xml:space="preserve"> Пакта за стабилност и растеж. </w:t>
      </w:r>
    </w:p>
    <w:p w:rsidR="00B5703E" w:rsidRDefault="00B5703E" w:rsidP="00B5703E">
      <w:pPr>
        <w:spacing w:after="120"/>
        <w:jc w:val="both"/>
        <w:rPr>
          <w:color w:val="000000" w:themeColor="text1"/>
        </w:rPr>
      </w:pPr>
      <w:r w:rsidRPr="00E5710B">
        <w:rPr>
          <w:color w:val="000000" w:themeColor="text1"/>
        </w:rPr>
        <w:t xml:space="preserve">По отношение на дълга, България </w:t>
      </w:r>
      <w:r>
        <w:rPr>
          <w:color w:val="000000" w:themeColor="text1"/>
        </w:rPr>
        <w:t>е трета</w:t>
      </w:r>
      <w:r w:rsidRPr="00E5710B">
        <w:rPr>
          <w:color w:val="000000" w:themeColor="text1"/>
        </w:rPr>
        <w:t xml:space="preserve"> след Естония</w:t>
      </w:r>
      <w:r>
        <w:rPr>
          <w:color w:val="000000" w:themeColor="text1"/>
        </w:rPr>
        <w:t xml:space="preserve"> и Люксембург</w:t>
      </w:r>
      <w:r w:rsidRPr="00E5710B">
        <w:rPr>
          <w:color w:val="000000" w:themeColor="text1"/>
        </w:rPr>
        <w:t>, с най-нисък дълг на сектор „Държавно управление“ в ЕС за 20</w:t>
      </w:r>
      <w:r>
        <w:rPr>
          <w:color w:val="000000" w:themeColor="text1"/>
        </w:rPr>
        <w:t>20</w:t>
      </w:r>
      <w:r w:rsidRPr="00E5710B">
        <w:rPr>
          <w:color w:val="000000" w:themeColor="text1"/>
        </w:rPr>
        <w:t xml:space="preserve"> г. </w:t>
      </w:r>
      <w:r w:rsidRPr="00D40081">
        <w:rPr>
          <w:color w:val="000000" w:themeColor="text1"/>
        </w:rPr>
        <w:t xml:space="preserve">– </w:t>
      </w:r>
      <w:r w:rsidRPr="00E5710B">
        <w:rPr>
          <w:color w:val="000000" w:themeColor="text1"/>
        </w:rPr>
        <w:t>2</w:t>
      </w:r>
      <w:r>
        <w:rPr>
          <w:color w:val="000000" w:themeColor="text1"/>
        </w:rPr>
        <w:t>5,0 % от БВП</w:t>
      </w:r>
      <w:r w:rsidRPr="00E5710B">
        <w:rPr>
          <w:color w:val="000000" w:themeColor="text1"/>
        </w:rPr>
        <w:t xml:space="preserve">. </w:t>
      </w:r>
      <w:r>
        <w:rPr>
          <w:color w:val="000000" w:themeColor="text1"/>
        </w:rPr>
        <w:t>Четиринадесет</w:t>
      </w:r>
      <w:r w:rsidRPr="001E4243">
        <w:rPr>
          <w:color w:val="000000" w:themeColor="text1"/>
        </w:rPr>
        <w:t xml:space="preserve"> държави</w:t>
      </w:r>
      <w:r w:rsidRPr="00D40081">
        <w:rPr>
          <w:color w:val="000000" w:themeColor="text1"/>
        </w:rPr>
        <w:t xml:space="preserve"> </w:t>
      </w:r>
      <w:r w:rsidRPr="001E4243">
        <w:rPr>
          <w:color w:val="000000" w:themeColor="text1"/>
        </w:rPr>
        <w:t xml:space="preserve">членки надвишават референтната стойност от 60 % от БВП в Пакта за стабилност и растеж, като средно за ЕС дългът </w:t>
      </w:r>
      <w:r>
        <w:rPr>
          <w:color w:val="000000" w:themeColor="text1"/>
        </w:rPr>
        <w:t>нараства</w:t>
      </w:r>
      <w:r w:rsidRPr="001E4243">
        <w:rPr>
          <w:color w:val="000000" w:themeColor="text1"/>
        </w:rPr>
        <w:t xml:space="preserve"> с </w:t>
      </w:r>
      <w:r>
        <w:rPr>
          <w:color w:val="000000" w:themeColor="text1"/>
        </w:rPr>
        <w:t>безпрецедентните за последните 20 години 13,2 пр. п. на годишна база до 90,7</w:t>
      </w:r>
      <w:r w:rsidRPr="001E4243">
        <w:rPr>
          <w:color w:val="000000" w:themeColor="text1"/>
        </w:rPr>
        <w:t> % от БВП за 20</w:t>
      </w:r>
      <w:r>
        <w:rPr>
          <w:color w:val="000000" w:themeColor="text1"/>
        </w:rPr>
        <w:t>20</w:t>
      </w:r>
      <w:r w:rsidRPr="001E4243">
        <w:rPr>
          <w:color w:val="000000" w:themeColor="text1"/>
        </w:rPr>
        <w:t xml:space="preserve"> година. </w:t>
      </w:r>
    </w:p>
    <w:p w:rsidR="00E10331" w:rsidRPr="006D5D56" w:rsidRDefault="00E10331" w:rsidP="00441E7C">
      <w:pPr>
        <w:spacing w:after="120"/>
        <w:jc w:val="both"/>
        <w:rPr>
          <w:color w:val="4F81BD" w:themeColor="accent1"/>
          <w:sz w:val="8"/>
          <w:szCs w:val="8"/>
        </w:rPr>
      </w:pPr>
    </w:p>
    <w:p w:rsidR="005750C2" w:rsidRPr="003B6166" w:rsidRDefault="005750C2" w:rsidP="005750C2">
      <w:pPr>
        <w:spacing w:after="120"/>
        <w:ind w:firstLine="709"/>
        <w:jc w:val="both"/>
        <w:rPr>
          <w:lang w:eastAsia="bg-BG"/>
        </w:rPr>
      </w:pPr>
      <w:r w:rsidRPr="0070438D">
        <w:rPr>
          <w:b/>
          <w:bCs/>
          <w:u w:val="single"/>
          <w:lang w:eastAsia="bg-BG"/>
        </w:rPr>
        <w:t>Развитие на икономическата среда</w:t>
      </w:r>
    </w:p>
    <w:p w:rsidR="003B6166" w:rsidRPr="003B6166" w:rsidRDefault="003B6166" w:rsidP="003B6166">
      <w:pPr>
        <w:spacing w:before="120" w:after="120"/>
        <w:jc w:val="both"/>
      </w:pPr>
      <w:r w:rsidRPr="003B6166">
        <w:t>В началото на 2021 г. бе отчетено подобрение в динамиката на показателите от бизнес наблюденията. През първите три месеца индикаторът за бизнес климата в страната се повиши спрямо края на 2020 г. Подобрение бе отчетено във всички сектори, най-вече в промишлеността и строителството. Промишленото производство се понижи с 5</w:t>
      </w:r>
      <w:r w:rsidR="0045615C">
        <w:t>,</w:t>
      </w:r>
      <w:r w:rsidRPr="003B6166">
        <w:t>2</w:t>
      </w:r>
      <w:r w:rsidR="0045615C">
        <w:t xml:space="preserve"> </w:t>
      </w:r>
      <w:r w:rsidRPr="003B6166">
        <w:t>% в периода януари-февруари, като през февруари спадът се забави, а оборотите от износ нараснаха. Нагласите на потребителите също се подобриха през първо тримесечие и това бе съчетано със забавяне на спада на оборотите в търговията на дребно до 4</w:t>
      </w:r>
      <w:r w:rsidR="0045615C">
        <w:t>,</w:t>
      </w:r>
      <w:r w:rsidRPr="003B6166">
        <w:t>3</w:t>
      </w:r>
      <w:r w:rsidR="00851BF8">
        <w:t xml:space="preserve"> </w:t>
      </w:r>
      <w:r w:rsidRPr="003B6166">
        <w:t>% през януари и 0</w:t>
      </w:r>
      <w:r w:rsidR="0045615C">
        <w:t>,</w:t>
      </w:r>
      <w:r w:rsidRPr="003B6166">
        <w:t>4</w:t>
      </w:r>
      <w:r w:rsidR="00851BF8">
        <w:t xml:space="preserve"> </w:t>
      </w:r>
      <w:r w:rsidRPr="003B6166">
        <w:t>% през февруари, като през февруари бе отчетен растеж в търговията с нехранителни стоки.</w:t>
      </w:r>
    </w:p>
    <w:p w:rsidR="003B6166" w:rsidRPr="00D40081" w:rsidRDefault="003B6166" w:rsidP="003B6166">
      <w:pPr>
        <w:spacing w:before="120" w:after="120"/>
        <w:jc w:val="both"/>
      </w:pPr>
      <w:r w:rsidRPr="003B6166">
        <w:t>През първите три месеца на 2021 г. броят на регистрираните безработни следваше постоянна тенденция на намаление. В края на март те бяха 214</w:t>
      </w:r>
      <w:r w:rsidR="0045615C">
        <w:t>,</w:t>
      </w:r>
      <w:r w:rsidRPr="003B6166">
        <w:t>1 хил.д., което е с 2</w:t>
      </w:r>
      <w:r w:rsidR="0045615C">
        <w:t>,</w:t>
      </w:r>
      <w:r w:rsidRPr="003B6166">
        <w:t>7</w:t>
      </w:r>
      <w:r w:rsidR="00851BF8">
        <w:t xml:space="preserve"> </w:t>
      </w:r>
      <w:r w:rsidRPr="003B6166">
        <w:t xml:space="preserve">% по-малко спрямо края на март 2020 г. Продължиха да действат краткосрочните мерки за запазване на заетостта в икономически дейности, засегнати от </w:t>
      </w:r>
      <w:r w:rsidRPr="003B6166">
        <w:rPr>
          <w:lang w:val="en-GB"/>
        </w:rPr>
        <w:t>COVID</w:t>
      </w:r>
      <w:r w:rsidRPr="00D40081">
        <w:t>-19</w:t>
      </w:r>
      <w:r w:rsidRPr="003B6166">
        <w:t xml:space="preserve"> кризата. По данни на НОИ само през първите месеци на 2021 г. по мярката „60/40“ (ПМС 416/2020) за защита на съществуващите работни места са изразходвани около 285 </w:t>
      </w:r>
      <w:r w:rsidR="008F15D8">
        <w:t>млн</w:t>
      </w:r>
      <w:r w:rsidRPr="003B6166">
        <w:t>. лв. (към 22 април) и са защитени около 170 хил. работни места.</w:t>
      </w:r>
    </w:p>
    <w:p w:rsidR="003B6166" w:rsidRPr="003B6166" w:rsidRDefault="003B6166" w:rsidP="003B6166">
      <w:pPr>
        <w:spacing w:before="120" w:after="120"/>
        <w:jc w:val="both"/>
      </w:pPr>
      <w:r w:rsidRPr="003B6166">
        <w:t>След ясно изразената тенденция на забавяне през 2020 г., годишният темп на инфлация за кратко премина на отрицателна територия през януари 2021 г., след което отчете положителна стойност от 0</w:t>
      </w:r>
      <w:r w:rsidR="00F57054">
        <w:t>,</w:t>
      </w:r>
      <w:r w:rsidRPr="003B6166">
        <w:t>2</w:t>
      </w:r>
      <w:r w:rsidR="00851BF8">
        <w:t xml:space="preserve"> </w:t>
      </w:r>
      <w:r w:rsidRPr="003B6166">
        <w:t>% през февруари и се ускори до 0</w:t>
      </w:r>
      <w:r w:rsidR="00F57054">
        <w:t>,</w:t>
      </w:r>
      <w:r w:rsidRPr="003B6166">
        <w:t>8</w:t>
      </w:r>
      <w:r w:rsidR="00851BF8">
        <w:t xml:space="preserve"> </w:t>
      </w:r>
      <w:r w:rsidRPr="003B6166">
        <w:t>% през март спрямо съответния месец на предходната година. Това до голяма степен се дължеше на продължаващото ускорение при поскъпването на услугите до 2</w:t>
      </w:r>
      <w:r w:rsidR="00F57054">
        <w:t>,</w:t>
      </w:r>
      <w:r w:rsidRPr="003B6166">
        <w:t>8</w:t>
      </w:r>
      <w:r w:rsidR="00851BF8">
        <w:t xml:space="preserve"> </w:t>
      </w:r>
      <w:r w:rsidRPr="003B6166">
        <w:t xml:space="preserve">% на годишна база и същественото свиване на отрицателния принос на енергийните стоки. Поевтиняването на </w:t>
      </w:r>
      <w:r w:rsidRPr="003B6166">
        <w:lastRenderedPageBreak/>
        <w:t>транспортните горива продължи да се забавя до 2</w:t>
      </w:r>
      <w:r w:rsidR="00F57054">
        <w:t>,</w:t>
      </w:r>
      <w:r w:rsidRPr="003B6166">
        <w:t>4</w:t>
      </w:r>
      <w:r w:rsidR="00851BF8">
        <w:t xml:space="preserve"> </w:t>
      </w:r>
      <w:r w:rsidRPr="003B6166">
        <w:t>%, при понижение от 11</w:t>
      </w:r>
      <w:r w:rsidR="00F57054">
        <w:t>,</w:t>
      </w:r>
      <w:r w:rsidRPr="003B6166">
        <w:t>8</w:t>
      </w:r>
      <w:r w:rsidR="00851BF8">
        <w:t xml:space="preserve"> </w:t>
      </w:r>
      <w:r w:rsidRPr="003B6166">
        <w:t>% през предходния месец, а поскъпването на годишна база на суровия петрол през март достигна почти 84</w:t>
      </w:r>
      <w:r w:rsidR="00851BF8">
        <w:t xml:space="preserve"> </w:t>
      </w:r>
      <w:r w:rsidRPr="003B6166">
        <w:t>% в левово изражение. Базисната инфлация бе 1</w:t>
      </w:r>
      <w:r w:rsidR="00F57054">
        <w:t>,</w:t>
      </w:r>
      <w:r w:rsidRPr="003B6166">
        <w:t>4</w:t>
      </w:r>
      <w:r w:rsidR="00851BF8">
        <w:t xml:space="preserve"> </w:t>
      </w:r>
      <w:r w:rsidRPr="003B6166">
        <w:t xml:space="preserve">% на годишна база, като остана на нивото си от предходния месец. </w:t>
      </w:r>
    </w:p>
    <w:p w:rsidR="003B6166" w:rsidRPr="003B6166" w:rsidRDefault="003B6166" w:rsidP="003B6166">
      <w:pPr>
        <w:spacing w:before="120" w:after="120"/>
        <w:jc w:val="both"/>
      </w:pPr>
      <w:r w:rsidRPr="003B6166">
        <w:t>Износът на стоки се понижи с 0</w:t>
      </w:r>
      <w:r w:rsidR="00F57054">
        <w:t>,</w:t>
      </w:r>
      <w:r w:rsidRPr="003B6166">
        <w:t>7</w:t>
      </w:r>
      <w:r w:rsidR="00851BF8">
        <w:t xml:space="preserve"> </w:t>
      </w:r>
      <w:r w:rsidRPr="003B6166">
        <w:t>% през януари-февруари спрямо същия период на 2020 г., при</w:t>
      </w:r>
      <w:r w:rsidRPr="00D40081">
        <w:t xml:space="preserve"> 1</w:t>
      </w:r>
      <w:r w:rsidR="00F57054">
        <w:t>,</w:t>
      </w:r>
      <w:r w:rsidRPr="00D40081">
        <w:t>2</w:t>
      </w:r>
      <w:r w:rsidR="00851BF8">
        <w:t xml:space="preserve"> </w:t>
      </w:r>
      <w:r w:rsidRPr="00D40081">
        <w:t xml:space="preserve">% </w:t>
      </w:r>
      <w:r w:rsidRPr="003B6166">
        <w:t>по-нисък внос. Водеща за номиналния спад както на износа, така и на вноса бе търговията с нефт и нефтопродукти със страни извън ЕС, при която бяха отчетени по-съществени понижения на количества</w:t>
      </w:r>
      <w:r w:rsidR="000E2207">
        <w:t>та</w:t>
      </w:r>
      <w:r w:rsidRPr="003B6166">
        <w:t xml:space="preserve"> в условия на покачване на цените</w:t>
      </w:r>
      <w:r w:rsidRPr="00D40081">
        <w:t>.</w:t>
      </w:r>
      <w:r w:rsidRPr="003B6166">
        <w:t xml:space="preserve"> Мерките срещу разпространението на </w:t>
      </w:r>
      <w:r w:rsidRPr="003B6166">
        <w:rPr>
          <w:lang w:val="en-GB"/>
        </w:rPr>
        <w:t>COVID</w:t>
      </w:r>
      <w:r w:rsidRPr="00D40081">
        <w:t>-19</w:t>
      </w:r>
      <w:r w:rsidRPr="003B6166">
        <w:t xml:space="preserve"> продължиха да ограничават международния туризъм и се отразиха в двуцифрени спадове на износа и вноса на услуги от по 31</w:t>
      </w:r>
      <w:r w:rsidR="00851BF8">
        <w:t xml:space="preserve"> </w:t>
      </w:r>
      <w:r w:rsidRPr="003B6166">
        <w:t>%. Излишъкът по текущата сметка за първите два месеца на годината изравни салдото от същия период на 2020 г., 0</w:t>
      </w:r>
      <w:r w:rsidR="00F57054">
        <w:t>,</w:t>
      </w:r>
      <w:r w:rsidRPr="003B6166">
        <w:t>7</w:t>
      </w:r>
      <w:r w:rsidR="00851BF8">
        <w:t xml:space="preserve"> </w:t>
      </w:r>
      <w:r w:rsidRPr="003B6166">
        <w:t>% от БВП.</w:t>
      </w:r>
    </w:p>
    <w:p w:rsidR="003B6166" w:rsidRPr="00D40081" w:rsidRDefault="003B6166" w:rsidP="003B6166">
      <w:pPr>
        <w:spacing w:before="120" w:after="120"/>
        <w:jc w:val="both"/>
      </w:pPr>
      <w:r w:rsidRPr="003B6166">
        <w:t>В края на първото тримесечие годишният растеж на кредита за частния сектор се ускори леко до 4</w:t>
      </w:r>
      <w:r w:rsidR="00851BF8">
        <w:t>,</w:t>
      </w:r>
      <w:r w:rsidRPr="003B6166">
        <w:t>6</w:t>
      </w:r>
      <w:r w:rsidR="00851BF8">
        <w:t xml:space="preserve"> </w:t>
      </w:r>
      <w:r w:rsidRPr="003B6166">
        <w:t>%, след тенденцията на забавяне през 2020 г</w:t>
      </w:r>
      <w:r w:rsidRPr="00D40081">
        <w:t xml:space="preserve">. </w:t>
      </w:r>
      <w:r w:rsidRPr="003B6166">
        <w:t>Ускорението бе резултат от динамиката на кредита за домакинствата (нарастване със 7</w:t>
      </w:r>
      <w:r w:rsidR="00F57054">
        <w:t>,</w:t>
      </w:r>
      <w:r w:rsidRPr="003B6166">
        <w:t>1</w:t>
      </w:r>
      <w:r w:rsidR="00851BF8">
        <w:t xml:space="preserve"> </w:t>
      </w:r>
      <w:r w:rsidRPr="003B6166">
        <w:t>%, спрямо 6</w:t>
      </w:r>
      <w:r w:rsidR="00851BF8">
        <w:t>,</w:t>
      </w:r>
      <w:r w:rsidRPr="003B6166">
        <w:t>6</w:t>
      </w:r>
      <w:r w:rsidR="00851BF8">
        <w:t xml:space="preserve"> </w:t>
      </w:r>
      <w:r w:rsidRPr="003B6166">
        <w:t>% в края на 2020 г.), докато годишният растеж на кредита за нефинансовите предприятия се забави до 2</w:t>
      </w:r>
      <w:r w:rsidR="00F57054">
        <w:t>,</w:t>
      </w:r>
      <w:r w:rsidRPr="003B6166">
        <w:t>7</w:t>
      </w:r>
      <w:r w:rsidR="00851BF8">
        <w:t xml:space="preserve"> </w:t>
      </w:r>
      <w:r w:rsidRPr="003B6166">
        <w:t>% спрямо 3</w:t>
      </w:r>
      <w:r w:rsidR="00851BF8">
        <w:t xml:space="preserve"> </w:t>
      </w:r>
      <w:r w:rsidRPr="003B6166">
        <w:t>% към декември. Потребителските кредити нараснаха с 5</w:t>
      </w:r>
      <w:r w:rsidR="00F57054">
        <w:t>,</w:t>
      </w:r>
      <w:r w:rsidRPr="003B6166">
        <w:t>5</w:t>
      </w:r>
      <w:r w:rsidR="00851BF8">
        <w:t xml:space="preserve"> </w:t>
      </w:r>
      <w:r w:rsidRPr="003B6166">
        <w:t>% при 5</w:t>
      </w:r>
      <w:r w:rsidR="00851BF8">
        <w:t xml:space="preserve"> </w:t>
      </w:r>
      <w:r w:rsidRPr="003B6166">
        <w:t>% в края на 2020 г. Жилищните кредити бяха засегнати в най-малка степен от влошената икономическа среда и продължиха да нарастват с двуцифрени темпове като предпочитана алтернативна форма за инвестиция в среда на ниски лихвени проценти по депозитите. В края на март годишният им растеж възлезе на 11</w:t>
      </w:r>
      <w:r w:rsidR="00F57054">
        <w:t>,</w:t>
      </w:r>
      <w:r w:rsidRPr="003B6166">
        <w:t>9</w:t>
      </w:r>
      <w:r w:rsidR="00851BF8">
        <w:t xml:space="preserve"> </w:t>
      </w:r>
      <w:r w:rsidRPr="003B6166">
        <w:t>%</w:t>
      </w:r>
      <w:r w:rsidR="005B3700">
        <w:t>,</w:t>
      </w:r>
      <w:r w:rsidRPr="003B6166">
        <w:t xml:space="preserve"> при 11</w:t>
      </w:r>
      <w:r w:rsidR="00F57054">
        <w:t>,</w:t>
      </w:r>
      <w:r w:rsidRPr="003B6166">
        <w:t>6</w:t>
      </w:r>
      <w:r w:rsidR="00851BF8">
        <w:t xml:space="preserve"> </w:t>
      </w:r>
      <w:r w:rsidRPr="003B6166">
        <w:t>% в края на 2020 г. Ускорен растеж бе регистриран и при депозитите на нефинансовите предприятия и домакинствата, отчитайки по-изразената склонност към спестявания във все още несигурна среда и ограничена инвестиционна активност.</w:t>
      </w:r>
    </w:p>
    <w:p w:rsidR="00FC5486" w:rsidRPr="00FC5486" w:rsidRDefault="00FC5486" w:rsidP="00FC5486">
      <w:pPr>
        <w:spacing w:before="240"/>
        <w:jc w:val="both"/>
        <w:rPr>
          <w:b/>
          <w:u w:val="single"/>
        </w:rPr>
      </w:pPr>
      <w:r w:rsidRPr="00FC5486">
        <w:rPr>
          <w:b/>
          <w:u w:val="single"/>
        </w:rPr>
        <w:t xml:space="preserve">Основни акценти във връзка с текущото наблюдение на изпълнението на консолидираната фискална програма </w:t>
      </w:r>
      <w:r w:rsidR="00DB3562">
        <w:rPr>
          <w:b/>
          <w:u w:val="single"/>
        </w:rPr>
        <w:t>за</w:t>
      </w:r>
      <w:r w:rsidRPr="00FC5486">
        <w:rPr>
          <w:b/>
          <w:u w:val="single"/>
        </w:rPr>
        <w:t xml:space="preserve"> първото тримесечие на 2021 г.</w:t>
      </w:r>
    </w:p>
    <w:p w:rsidR="00FC5486" w:rsidRPr="00FC5486" w:rsidRDefault="00E15BCB" w:rsidP="00FC5486">
      <w:pPr>
        <w:spacing w:before="240"/>
        <w:jc w:val="both"/>
      </w:pPr>
      <w:r w:rsidRPr="00E15BCB">
        <w:t>На база на данните от месечните отчети за касовото изпълнение на разпоредителите с бюджет към края на месец март бюджетното салдо по КФП за първото тримесечие е дефицит в размер на 0,5 на сто от прогнозния БВП, като дефицитът за годината в разчетите към ЗДБРБ за 2021</w:t>
      </w:r>
      <w:r>
        <w:t> </w:t>
      </w:r>
      <w:r w:rsidRPr="00E15BCB">
        <w:t xml:space="preserve"> г. е планиран да възлезе на 3,9 % от прогнозния БВП. Отчетеното влошаване на бюджетната позиция за тримесечието се дължи основно на нарастване на разходите, докато приходите са близки до отчетените за същия период на предходната година</w:t>
      </w:r>
      <w:r w:rsidR="00FC5486" w:rsidRPr="00FC5486">
        <w:t>.</w:t>
      </w:r>
    </w:p>
    <w:p w:rsidR="00FC5486" w:rsidRPr="00FC5486" w:rsidRDefault="00FC5486" w:rsidP="00FC5486">
      <w:pPr>
        <w:spacing w:before="240"/>
        <w:jc w:val="both"/>
        <w:rPr>
          <w:b/>
          <w:i/>
        </w:rPr>
      </w:pPr>
      <w:r w:rsidRPr="00FC5486">
        <w:rPr>
          <w:b/>
          <w:i/>
        </w:rPr>
        <w:t>Приходи</w:t>
      </w:r>
    </w:p>
    <w:p w:rsidR="00FC5486" w:rsidRPr="00FC5486" w:rsidRDefault="00FC5486" w:rsidP="00FC5486">
      <w:pPr>
        <w:autoSpaceDE w:val="0"/>
        <w:autoSpaceDN w:val="0"/>
        <w:adjustRightInd w:val="0"/>
        <w:spacing w:before="120"/>
        <w:jc w:val="both"/>
        <w:rPr>
          <w:noProof/>
        </w:rPr>
      </w:pPr>
      <w:r w:rsidRPr="00FC5486">
        <w:rPr>
          <w:noProof/>
        </w:rPr>
        <w:t xml:space="preserve">От страна на приходите не се наблюдава осезаемо свиване при повечето от основните данъци и осигурителни вноски, като общо приходите, помощите и даренията дори нарастват номинално </w:t>
      </w:r>
      <w:r w:rsidR="00547FD8">
        <w:rPr>
          <w:noProof/>
        </w:rPr>
        <w:t>спрямо същия период на 2020 г. с близо</w:t>
      </w:r>
      <w:r w:rsidRPr="00FC5486">
        <w:rPr>
          <w:noProof/>
        </w:rPr>
        <w:t xml:space="preserve"> 0,4 млрд. лв. (3,4 на сто). Тази съпоставка показва, че започналото въстановяване през втората половина на 2020 г. продължава и през първото тримесечие на 2021 г., като постъпленията в бюджета надвишават отчетените за първите три месеца на предходната година, когато ефектите от пандемията все още н</w:t>
      </w:r>
      <w:r w:rsidR="004F2318">
        <w:rPr>
          <w:noProof/>
        </w:rPr>
        <w:t>е</w:t>
      </w:r>
      <w:r w:rsidRPr="00FC5486">
        <w:rPr>
          <w:noProof/>
        </w:rPr>
        <w:t xml:space="preserve"> бяха засегнали приходите. Изпълнението спрямо заложените параметри с разчетите към ЗДБРБ за 202</w:t>
      </w:r>
      <w:r w:rsidR="00547FD8">
        <w:rPr>
          <w:noProof/>
        </w:rPr>
        <w:t>1</w:t>
      </w:r>
      <w:r w:rsidR="002E2F63">
        <w:rPr>
          <w:noProof/>
        </w:rPr>
        <w:t xml:space="preserve"> г. е 23,8 на сто</w:t>
      </w:r>
      <w:r w:rsidRPr="00FC5486">
        <w:rPr>
          <w:noProof/>
        </w:rPr>
        <w:t xml:space="preserve">, като следва да се има предвид, че с </w:t>
      </w:r>
      <w:r w:rsidRPr="00FC5486">
        <w:t>приетите законодателни промени в крайните срокове за подаване на годишната данъчна декларация за 2020 г. по Закона за корпоративното подоходно облагане</w:t>
      </w:r>
      <w:r w:rsidR="00B50E5D">
        <w:t xml:space="preserve"> (ЗКПО)</w:t>
      </w:r>
      <w:r w:rsidRPr="00FC5486">
        <w:t>, както и за внасяне на корпоративния данък, данъка върху разходите, данъка върху приходите на бюджетните предприятия, както и на данъка върху дейността от опериране на кораби (от 31 март на 30 юни 2021 г.), част от постъпленията се изместват от края на първото тримесечие в края на второто тримесечие.</w:t>
      </w:r>
      <w:r w:rsidRPr="00FC5486">
        <w:rPr>
          <w:noProof/>
        </w:rPr>
        <w:t xml:space="preserve"> Съпоставен</w:t>
      </w:r>
      <w:r w:rsidR="00547FD8">
        <w:rPr>
          <w:noProof/>
        </w:rPr>
        <w:t>и</w:t>
      </w:r>
      <w:r w:rsidRPr="00FC5486">
        <w:rPr>
          <w:noProof/>
        </w:rPr>
        <w:t xml:space="preserve"> с предходната година, данъчните, вкл. осигурителните приходи нарастват номинално с </w:t>
      </w:r>
      <w:r w:rsidR="00547FD8">
        <w:rPr>
          <w:noProof/>
        </w:rPr>
        <w:t xml:space="preserve">над </w:t>
      </w:r>
      <w:r w:rsidRPr="00FC5486">
        <w:rPr>
          <w:noProof/>
        </w:rPr>
        <w:t>0,2 млрд. лв. (2,9 %), като приходите от данъци по държавния бюджет остават близки до отчетените за същия период на предходната година, а приходите от социални и здравноосигурителни вноски отчитат ръст от</w:t>
      </w:r>
      <w:r w:rsidR="00547FD8">
        <w:rPr>
          <w:noProof/>
        </w:rPr>
        <w:t xml:space="preserve"> близо</w:t>
      </w:r>
      <w:r w:rsidRPr="00FC5486">
        <w:rPr>
          <w:noProof/>
        </w:rPr>
        <w:t xml:space="preserve"> 0,2 млрд. лв. (6,7 %). </w:t>
      </w:r>
    </w:p>
    <w:p w:rsidR="008202BA" w:rsidRPr="006E16AA" w:rsidRDefault="00FC5486" w:rsidP="008202BA">
      <w:pPr>
        <w:autoSpaceDE w:val="0"/>
        <w:autoSpaceDN w:val="0"/>
        <w:adjustRightInd w:val="0"/>
        <w:spacing w:before="120"/>
        <w:jc w:val="both"/>
        <w:rPr>
          <w:noProof/>
        </w:rPr>
      </w:pPr>
      <w:r w:rsidRPr="00FC5486">
        <w:rPr>
          <w:noProof/>
        </w:rPr>
        <w:lastRenderedPageBreak/>
        <w:t>Забавяне се отчита основно при акцизите и данъците п</w:t>
      </w:r>
      <w:r w:rsidR="00FF2A25">
        <w:rPr>
          <w:noProof/>
        </w:rPr>
        <w:t>о ЗКПО, докато приходите от ДДС и</w:t>
      </w:r>
      <w:r w:rsidRPr="00FC5486">
        <w:rPr>
          <w:noProof/>
        </w:rPr>
        <w:t xml:space="preserve"> приходите от осигурителни вноски отчитат номинален ръст спрямо предходната година. Положителен ефект върху постъпленията от ДДФЛ и осигурителни вноски оказаха редица фактори, в т.ч. увеличението на възнагражденията в бюджетния сектор и сектор образование от началото на 2021 г., изплатените допълнителни възнаграждения на здравните работници и служителите на администрациите на първа линия в борбата с пандемията, мерките за субсидирана заетост „60/40“, „80/20“, „Запази ме“ и други. При постъпленията от ДДС се отчита подобрение при ДДС от ВОП, което компенсира напълно по-ниските приходи от ДД</w:t>
      </w:r>
      <w:r w:rsidR="00B82B78">
        <w:rPr>
          <w:noProof/>
        </w:rPr>
        <w:t xml:space="preserve">С от внос. </w:t>
      </w:r>
      <w:r w:rsidR="00B82B78" w:rsidRPr="00B82B78">
        <w:rPr>
          <w:noProof/>
        </w:rPr>
        <w:t>Текущите параметри по изпълнението на данъчните и осигурителните приходи за първото тримесечие на годината не дават основания да се очаква изоставане спрямо годишните разчети, но предвид ранния етап на изпълнението на бюджета и променените срокове по данъчния календар, както и в зависимост от развитието на епидемичната обстановка</w:t>
      </w:r>
      <w:r w:rsidR="00B82B78">
        <w:rPr>
          <w:noProof/>
        </w:rPr>
        <w:t>,</w:t>
      </w:r>
      <w:r w:rsidR="00B82B78" w:rsidRPr="00B82B78">
        <w:rPr>
          <w:noProof/>
        </w:rPr>
        <w:t xml:space="preserve"> по-надежден анализ на очерталите се тенденции ще може да се направи на база на параметрите към полугодието, съответно към деветмесечието на настоящата година</w:t>
      </w:r>
      <w:r w:rsidRPr="00B82B78">
        <w:rPr>
          <w:noProof/>
        </w:rPr>
        <w:t>.</w:t>
      </w:r>
      <w:r w:rsidR="008202BA" w:rsidRPr="00B82B78">
        <w:rPr>
          <w:noProof/>
        </w:rPr>
        <w:t xml:space="preserve"> Потенциален</w:t>
      </w:r>
      <w:r w:rsidR="008202BA" w:rsidRPr="006E16AA">
        <w:rPr>
          <w:noProof/>
        </w:rPr>
        <w:t xml:space="preserve"> риск в годишен план в частта на приходите представляват планираните авансови постъпления </w:t>
      </w:r>
      <w:r w:rsidR="008202BA" w:rsidRPr="006E16AA">
        <w:t>от Инструмента за възстановяване и устойчивост на ЕС, които зависят от сроковете, в които ще бъде одобрен и представен в ЕК Националния план за възстановяване и устойчивост на Република България, и съответно сроковете за неговото одобряване от ЕК.</w:t>
      </w:r>
    </w:p>
    <w:p w:rsidR="00FC5486" w:rsidRPr="00FC5486" w:rsidRDefault="00FC5486" w:rsidP="00FC5486">
      <w:pPr>
        <w:spacing w:before="240"/>
        <w:jc w:val="both"/>
        <w:rPr>
          <w:b/>
          <w:i/>
        </w:rPr>
      </w:pPr>
      <w:r w:rsidRPr="00FC5486">
        <w:rPr>
          <w:b/>
          <w:i/>
        </w:rPr>
        <w:t>Разходи</w:t>
      </w:r>
    </w:p>
    <w:p w:rsidR="00FC5486" w:rsidRPr="00FC5486" w:rsidRDefault="00FC5486" w:rsidP="00295917">
      <w:pPr>
        <w:spacing w:before="120" w:after="120"/>
        <w:jc w:val="both"/>
        <w:rPr>
          <w:rFonts w:eastAsia="Calibri"/>
        </w:rPr>
      </w:pPr>
      <w:r w:rsidRPr="00FC5486">
        <w:rPr>
          <w:rFonts w:eastAsia="Calibri"/>
        </w:rPr>
        <w:t>Разходите по КФП (вкл. вноската на Република България в бюджета на ЕС) към март 2021 г. нарастват номинално с 2,4 млрд. лв. и представляват 22,8 % от годишните разчети към ЗДБРБ за 2021 г. Значителният ръст на разходите</w:t>
      </w:r>
      <w:r w:rsidR="00FF2A25">
        <w:rPr>
          <w:rFonts w:eastAsia="Calibri"/>
        </w:rPr>
        <w:t>,</w:t>
      </w:r>
      <w:r w:rsidRPr="00FC5486">
        <w:rPr>
          <w:rFonts w:eastAsia="Calibri"/>
        </w:rPr>
        <w:t xml:space="preserve"> съпоставен с първите три месеца на предходната година</w:t>
      </w:r>
      <w:r w:rsidR="00FF2A25">
        <w:rPr>
          <w:rFonts w:eastAsia="Calibri"/>
        </w:rPr>
        <w:t>,</w:t>
      </w:r>
      <w:r w:rsidRPr="00FC5486">
        <w:rPr>
          <w:rFonts w:eastAsia="Calibri"/>
        </w:rPr>
        <w:t xml:space="preserve"> е свързан</w:t>
      </w:r>
      <w:r w:rsidR="00FF2A25">
        <w:rPr>
          <w:rFonts w:eastAsia="Calibri"/>
        </w:rPr>
        <w:t>,</w:t>
      </w:r>
      <w:r w:rsidRPr="00FC5486">
        <w:rPr>
          <w:rFonts w:eastAsia="Calibri"/>
        </w:rPr>
        <w:t xml:space="preserve"> от една страна</w:t>
      </w:r>
      <w:r w:rsidR="00FF2A25">
        <w:rPr>
          <w:rFonts w:eastAsia="Calibri"/>
        </w:rPr>
        <w:t>,</w:t>
      </w:r>
      <w:r w:rsidRPr="00FC5486">
        <w:rPr>
          <w:rFonts w:eastAsia="Calibri"/>
        </w:rPr>
        <w:t xml:space="preserve"> с по-ниската база през 2020 г., когато има отчетени незначителни по размер разходи за борба с пандемията от </w:t>
      </w:r>
      <w:r w:rsidRPr="00FC5486">
        <w:rPr>
          <w:rFonts w:eastAsia="Calibri"/>
          <w:lang w:val="en-US"/>
        </w:rPr>
        <w:t>COVID</w:t>
      </w:r>
      <w:r w:rsidRPr="00FC5486">
        <w:rPr>
          <w:rFonts w:eastAsia="Calibri"/>
        </w:rPr>
        <w:t xml:space="preserve">-19, докато през първото тримесечие на 2021 г. тези разходи са съществени, и от друга страна – </w:t>
      </w:r>
      <w:r w:rsidR="008128C4">
        <w:rPr>
          <w:rFonts w:eastAsia="Calibri"/>
        </w:rPr>
        <w:t>с</w:t>
      </w:r>
      <w:r w:rsidRPr="00FC5486">
        <w:rPr>
          <w:rFonts w:eastAsia="Calibri"/>
        </w:rPr>
        <w:t xml:space="preserve"> политиката по доходите и политиките в социалната сфера, заложени в одобрения ЗДБРБ за 2021 г.</w:t>
      </w:r>
    </w:p>
    <w:p w:rsidR="00FC5486" w:rsidRPr="00FC5486" w:rsidRDefault="00FC5486" w:rsidP="00FC5486">
      <w:pPr>
        <w:spacing w:before="240"/>
        <w:jc w:val="both"/>
        <w:rPr>
          <w:rFonts w:eastAsia="Calibri"/>
        </w:rPr>
      </w:pPr>
      <w:r w:rsidRPr="00FC5486">
        <w:rPr>
          <w:rFonts w:eastAsia="Calibri"/>
        </w:rPr>
        <w:t xml:space="preserve">Съществен принос </w:t>
      </w:r>
      <w:r w:rsidR="006B7656">
        <w:rPr>
          <w:rFonts w:eastAsia="Calibri"/>
        </w:rPr>
        <w:t xml:space="preserve">за </w:t>
      </w:r>
      <w:r w:rsidRPr="00FC5486">
        <w:rPr>
          <w:rFonts w:eastAsia="Calibri"/>
        </w:rPr>
        <w:t xml:space="preserve">нарастването на разходите през първото тримесечие на 2021 г. имат разходите, свързани с мерките за борба с COVID-19 и преодоляване на социално-икономическите последствия от пандемията. Извършените разходи </w:t>
      </w:r>
      <w:r w:rsidR="006B7656">
        <w:rPr>
          <w:rFonts w:eastAsia="Calibri"/>
        </w:rPr>
        <w:t>по</w:t>
      </w:r>
      <w:r w:rsidRPr="00FC5486">
        <w:rPr>
          <w:rFonts w:eastAsia="Calibri"/>
        </w:rPr>
        <w:t xml:space="preserve"> мерки за предотвратяване разпространението на COVID-19 и лечението на заболелите, мерки за подкрепа на бизнеса и социални мерки за периода от 01.01.2021 г. до 31.03.2021 г. по предварителни данни са в общ размер на 1,3 млрд. лв., в т.ч. 0,6 млрд. лв. за подкрепа на домакинствата, 0,4 млрд. лв. за органите, натоварени</w:t>
      </w:r>
      <w:r w:rsidRPr="00D40081">
        <w:rPr>
          <w:rFonts w:eastAsia="Calibri"/>
        </w:rPr>
        <w:t xml:space="preserve"> </w:t>
      </w:r>
      <w:r w:rsidRPr="006B7656">
        <w:rPr>
          <w:rFonts w:eastAsia="Calibri"/>
        </w:rPr>
        <w:t xml:space="preserve">с дейности по овладяване на пандемията и последствията от </w:t>
      </w:r>
      <w:r w:rsidRPr="00FC5486">
        <w:rPr>
          <w:rFonts w:eastAsia="Calibri"/>
          <w:lang w:val="en-US"/>
        </w:rPr>
        <w:t>COVID</w:t>
      </w:r>
      <w:r w:rsidRPr="00D40081">
        <w:rPr>
          <w:rFonts w:eastAsia="Calibri"/>
        </w:rPr>
        <w:t>-19</w:t>
      </w:r>
      <w:r w:rsidRPr="00FC5486">
        <w:rPr>
          <w:rFonts w:eastAsia="Calibri"/>
        </w:rPr>
        <w:t>, вкл. служителите на първа линия в борбата с пандемията</w:t>
      </w:r>
      <w:r w:rsidRPr="00D40081">
        <w:rPr>
          <w:rFonts w:eastAsia="Calibri"/>
        </w:rPr>
        <w:t xml:space="preserve"> и 0,</w:t>
      </w:r>
      <w:r w:rsidRPr="006B7656">
        <w:rPr>
          <w:rFonts w:eastAsia="Calibri"/>
        </w:rPr>
        <w:t>3</w:t>
      </w:r>
      <w:r w:rsidR="008A40CE" w:rsidRPr="006B7656">
        <w:rPr>
          <w:rFonts w:eastAsia="Calibri"/>
        </w:rPr>
        <w:t> </w:t>
      </w:r>
      <w:r w:rsidRPr="006B7656">
        <w:rPr>
          <w:rFonts w:eastAsia="Calibri"/>
        </w:rPr>
        <w:t>млн. лв.</w:t>
      </w:r>
      <w:r w:rsidRPr="00FC5486">
        <w:rPr>
          <w:rFonts w:eastAsia="Calibri"/>
        </w:rPr>
        <w:t xml:space="preserve"> за подкрепа на бизнеса. Принос за нарастване на разходите за субсидии за </w:t>
      </w:r>
      <w:r w:rsidRPr="00F5455E">
        <w:rPr>
          <w:rFonts w:eastAsia="Calibri"/>
        </w:rPr>
        <w:t>нефинансови предприятия имат плащанията по мярката „60/40“</w:t>
      </w:r>
      <w:r w:rsidR="006D257F" w:rsidRPr="00F5455E">
        <w:rPr>
          <w:rFonts w:eastAsia="Calibri"/>
        </w:rPr>
        <w:t xml:space="preserve"> и</w:t>
      </w:r>
      <w:r w:rsidRPr="00F5455E">
        <w:rPr>
          <w:rFonts w:eastAsia="Calibri"/>
        </w:rPr>
        <w:t xml:space="preserve"> мярката „80/20“</w:t>
      </w:r>
      <w:r w:rsidR="00F62660" w:rsidRPr="00F5455E">
        <w:rPr>
          <w:rFonts w:eastAsia="Calibri"/>
        </w:rPr>
        <w:t xml:space="preserve"> (165 млн. лв.)</w:t>
      </w:r>
      <w:r w:rsidRPr="00F5455E">
        <w:rPr>
          <w:rFonts w:eastAsia="Calibri"/>
        </w:rPr>
        <w:t>, мярката „Запази ме“, мярката „Подкрепа чрез оборотен капитал за малки и средни</w:t>
      </w:r>
      <w:r w:rsidRPr="00FC5486">
        <w:rPr>
          <w:rFonts w:eastAsia="Calibri"/>
        </w:rPr>
        <w:t xml:space="preserve"> предприятия, засегнати от временните противоепидемични мерки“, администрирана от НАП, мерки, финансирани по Оперативните програми и фондовете на ЕС и други. В частта на разходите за пенсии са изразходени 314,2 млн. лв. за добавки в размер на 50 лева към пенсиите на всички пенсионери за месеците от януари до март. Наред с това влияние върху разходите за пенсии оказва и увеличението на размера на минималната пенсия за осигурителен стаж и възраст и на максималния размер на пенсията от началото на годината, както и базов</w:t>
      </w:r>
      <w:r w:rsidR="00881978">
        <w:rPr>
          <w:rFonts w:eastAsia="Calibri"/>
        </w:rPr>
        <w:t>ия</w:t>
      </w:r>
      <w:r w:rsidRPr="00FC5486">
        <w:rPr>
          <w:rFonts w:eastAsia="Calibri"/>
        </w:rPr>
        <w:t xml:space="preserve"> ефект от увеличението на пенсиите през юли 2020 г. В частта на здравноосигурителните разходи се отчита нарастване, свързано с по-високите разходи за борба с пандемията и въведените механизми за финансиране на здравните заведения по време на действието на извънредна епидемиологична обстановка, вкл. разходи за ваксини, медикаменти, тестове, консумативи и предпазни средства, средства за подкрепа на персонала на първа линия в борбата с COVID-19 (допълнително месечно нетно възнаграждение в размер на 1 000 лв.), заплащане на изпълнителите на медицинска помощ за поставяне на ваксини срещу COVID-19, месечна добавка към възнагражденията на лекарите в размер на 600 лв., на </w:t>
      </w:r>
      <w:r w:rsidRPr="00FC5486">
        <w:rPr>
          <w:rFonts w:eastAsia="Calibri"/>
        </w:rPr>
        <w:lastRenderedPageBreak/>
        <w:t xml:space="preserve">специалисти от професионално направление „Здравни грижи“ в размер на 360 лв. и на санитари в размер на 120 лв. и други. Освен това, през първото тримесечие на текущата година е изпълнена част от инвестиционната програма на Министерството на отбраната, в т.ч. по </w:t>
      </w:r>
      <w:r w:rsidR="00763152">
        <w:rPr>
          <w:rFonts w:eastAsia="Calibri"/>
        </w:rPr>
        <w:t>а</w:t>
      </w:r>
      <w:r w:rsidRPr="00FC5486">
        <w:rPr>
          <w:rFonts w:eastAsia="Calibri"/>
        </w:rPr>
        <w:t>ктуализирания проект за инвестиционен разход „Придобиване на многофункционален модулен патрулен кораб за ВМС“</w:t>
      </w:r>
      <w:r w:rsidR="006E46D5">
        <w:rPr>
          <w:rFonts w:eastAsia="Calibri"/>
        </w:rPr>
        <w:t xml:space="preserve"> </w:t>
      </w:r>
      <w:r w:rsidRPr="00FC5486">
        <w:rPr>
          <w:rFonts w:eastAsia="Calibri"/>
        </w:rPr>
        <w:t>- 150,0 млн. лв.; проектиране и изграждане на редица обекти във военни формирования от Военновъздушните сили, като част от изграждането на интегрирана система и инфраструктура за усвояване, експлоатация и осигуряване на новия тип боен самолет - 26,5 млн. лв.; реализация на инвестиционен проект „Модернизация на Т-72 за нуждите на танковите формирования от Сухопътни войски“ - 28,7 млн. лв., както и разходи на МРРБ за текущ ремонт и поддръжка, вкл. зимно поддържане, в размер на 207,7 млн. лв.; разходи за лихви по обслужването на държавния дълг и други</w:t>
      </w:r>
      <w:r w:rsidRPr="00D40081">
        <w:rPr>
          <w:rFonts w:eastAsia="Calibri"/>
        </w:rPr>
        <w:t>.</w:t>
      </w:r>
    </w:p>
    <w:p w:rsidR="005042A1" w:rsidRPr="005042A1" w:rsidRDefault="005042A1" w:rsidP="005042A1">
      <w:pPr>
        <w:spacing w:before="240"/>
        <w:jc w:val="both"/>
        <w:rPr>
          <w:rFonts w:eastAsia="Calibri"/>
          <w:b/>
        </w:rPr>
      </w:pPr>
      <w:r w:rsidRPr="005042A1">
        <w:rPr>
          <w:rFonts w:eastAsia="Calibri"/>
        </w:rPr>
        <w:t>Третата вълна на пандемията в началото на годината наложи предприемането на нови ограничения в условията на извънредна епидемична обстановка, което оказва натиск върху разходите за обезпечаване на ресурс за финансирането на мерките за борба с пандемията и намаляване на негативните социално-икономически последствия от нея. За финансиране на част от тези мерки бяха осигурени и допълнителни средства за сметка на ограничителя на разходите, бюджетните взаимоотношения, субсидиите и другите текущи и капиталови трансфери по реда на чл. 106, ал. 1 на ЗДБРБ за 2021 г. В зависимост от развитието на пандемията и процеса по ваксинация на населението  е възможен потенциален риск  за натиск върху разходите през следващите месеци до края на годината.</w:t>
      </w:r>
    </w:p>
    <w:p w:rsidR="00FC5486" w:rsidRPr="00A57824" w:rsidRDefault="00FC5486" w:rsidP="00FC5486">
      <w:pPr>
        <w:spacing w:before="240"/>
        <w:jc w:val="both"/>
        <w:rPr>
          <w:i/>
          <w:lang w:val="en-US"/>
        </w:rPr>
      </w:pPr>
      <w:r w:rsidRPr="005042A1">
        <w:rPr>
          <w:rFonts w:eastAsia="Calibri"/>
        </w:rPr>
        <w:t xml:space="preserve"> </w:t>
      </w:r>
      <w:r w:rsidRPr="005042A1">
        <w:rPr>
          <w:b/>
          <w:i/>
        </w:rPr>
        <w:t>Бюджетна позиция</w:t>
      </w:r>
    </w:p>
    <w:p w:rsidR="00FC5486" w:rsidRPr="00FC5486" w:rsidRDefault="00FC5486" w:rsidP="00FC5486">
      <w:pPr>
        <w:spacing w:before="120"/>
        <w:jc w:val="both"/>
        <w:rPr>
          <w:iCs/>
        </w:rPr>
      </w:pPr>
      <w:r w:rsidRPr="00FC5486">
        <w:rPr>
          <w:iCs/>
        </w:rPr>
        <w:t xml:space="preserve">На база на данните от месечните отчети за касовото изпълнение на бюджетите на </w:t>
      </w:r>
      <w:r w:rsidRPr="005C2F7B">
        <w:rPr>
          <w:iCs/>
        </w:rPr>
        <w:t xml:space="preserve">първостепенните разпоредители с бюджет салдото по консолидираната фискална програма </w:t>
      </w:r>
      <w:r w:rsidR="005C2F7B" w:rsidRPr="005C2F7B">
        <w:rPr>
          <w:iCs/>
        </w:rPr>
        <w:t>за първото тримесечие на</w:t>
      </w:r>
      <w:r w:rsidRPr="005C2F7B">
        <w:rPr>
          <w:iCs/>
        </w:rPr>
        <w:t xml:space="preserve"> 202</w:t>
      </w:r>
      <w:r w:rsidR="005C2F7B" w:rsidRPr="005C2F7B">
        <w:rPr>
          <w:iCs/>
        </w:rPr>
        <w:t>1</w:t>
      </w:r>
      <w:r w:rsidRPr="005C2F7B">
        <w:rPr>
          <w:iCs/>
        </w:rPr>
        <w:t xml:space="preserve"> г. е отрицателно в размер на 619,4 млн. лв. (0,5 % от прогнозния</w:t>
      </w:r>
      <w:r w:rsidRPr="00FC5486">
        <w:rPr>
          <w:iCs/>
        </w:rPr>
        <w:t xml:space="preserve"> БВП). </w:t>
      </w:r>
    </w:p>
    <w:p w:rsidR="00774DE7" w:rsidRPr="006D5D56" w:rsidRDefault="00774DE7">
      <w:pPr>
        <w:rPr>
          <w:color w:val="4F81BD" w:themeColor="accent1"/>
          <w:highlight w:val="yellow"/>
        </w:rPr>
      </w:pPr>
      <w:r w:rsidRPr="006D5D56">
        <w:rPr>
          <w:color w:val="4F81BD" w:themeColor="accent1"/>
          <w:highlight w:val="yellow"/>
        </w:rPr>
        <w:br w:type="page"/>
      </w:r>
    </w:p>
    <w:p w:rsidR="00E74802" w:rsidRPr="00864133" w:rsidRDefault="00E74802" w:rsidP="001F7F82">
      <w:pPr>
        <w:pStyle w:val="Heading1"/>
        <w:numPr>
          <w:ilvl w:val="0"/>
          <w:numId w:val="10"/>
        </w:numPr>
        <w:ind w:right="-108"/>
        <w:jc w:val="both"/>
        <w:rPr>
          <w:sz w:val="24"/>
        </w:rPr>
      </w:pPr>
      <w:r w:rsidRPr="00864133">
        <w:rPr>
          <w:sz w:val="24"/>
        </w:rPr>
        <w:lastRenderedPageBreak/>
        <w:t>Основни показатели по консолидираната фискална програма</w:t>
      </w:r>
      <w:r w:rsidRPr="00864133">
        <w:rPr>
          <w:rStyle w:val="FootnoteReference"/>
          <w:sz w:val="24"/>
        </w:rPr>
        <w:footnoteReference w:id="2"/>
      </w:r>
      <w:r w:rsidRPr="00864133">
        <w:rPr>
          <w:sz w:val="24"/>
        </w:rPr>
        <w:t xml:space="preserve"> за </w:t>
      </w:r>
      <w:r w:rsidR="001F7F82" w:rsidRPr="00864133">
        <w:rPr>
          <w:sz w:val="24"/>
        </w:rPr>
        <w:t xml:space="preserve">първото тримесечие </w:t>
      </w:r>
      <w:r w:rsidRPr="00864133">
        <w:rPr>
          <w:sz w:val="24"/>
        </w:rPr>
        <w:t>на 20</w:t>
      </w:r>
      <w:r w:rsidR="001F7F82" w:rsidRPr="00864133">
        <w:rPr>
          <w:sz w:val="24"/>
        </w:rPr>
        <w:t>2</w:t>
      </w:r>
      <w:r w:rsidR="00864133" w:rsidRPr="00864133">
        <w:rPr>
          <w:sz w:val="24"/>
        </w:rPr>
        <w:t>1</w:t>
      </w:r>
      <w:r w:rsidRPr="00864133">
        <w:rPr>
          <w:sz w:val="24"/>
        </w:rPr>
        <w:t> г.</w:t>
      </w:r>
    </w:p>
    <w:p w:rsidR="00430A35" w:rsidRPr="006D5D56" w:rsidRDefault="00430A35" w:rsidP="00430A35">
      <w:pPr>
        <w:rPr>
          <w:color w:val="4F81BD" w:themeColor="accent1"/>
          <w:sz w:val="6"/>
          <w:szCs w:val="12"/>
        </w:rPr>
      </w:pPr>
    </w:p>
    <w:p w:rsidR="00661BE3" w:rsidRPr="006524F2" w:rsidRDefault="00661BE3" w:rsidP="00661BE3">
      <w:pPr>
        <w:jc w:val="both"/>
      </w:pPr>
      <w:r w:rsidRPr="006524F2">
        <w:t>Изпълнението на основните показатели по консолидираната фискална програма за първото тримесечие на 2021 г.</w:t>
      </w:r>
      <w:r w:rsidR="007D18FE">
        <w:rPr>
          <w:rStyle w:val="FootnoteReference"/>
        </w:rPr>
        <w:footnoteReference w:id="3"/>
      </w:r>
      <w:r w:rsidRPr="006524F2">
        <w:t xml:space="preserve"> е представено в следната таблица:</w:t>
      </w:r>
    </w:p>
    <w:p w:rsidR="00661BE3" w:rsidRPr="006D5D56" w:rsidRDefault="00661BE3" w:rsidP="00661BE3">
      <w:pPr>
        <w:jc w:val="both"/>
        <w:rPr>
          <w:color w:val="4F81BD" w:themeColor="accent1"/>
          <w:sz w:val="4"/>
          <w:szCs w:val="4"/>
        </w:rPr>
      </w:pPr>
    </w:p>
    <w:p w:rsidR="00661BE3" w:rsidRPr="006524F2" w:rsidRDefault="00661BE3" w:rsidP="00661BE3">
      <w:pPr>
        <w:spacing w:before="120"/>
        <w:rPr>
          <w:b/>
          <w:i/>
          <w:sz w:val="18"/>
          <w:szCs w:val="18"/>
        </w:rPr>
      </w:pPr>
      <w:r w:rsidRPr="006524F2">
        <w:rPr>
          <w:b/>
          <w:i/>
          <w:sz w:val="22"/>
          <w:szCs w:val="22"/>
        </w:rPr>
        <w:t>Таблица</w:t>
      </w:r>
      <w:r w:rsidRPr="006524F2">
        <w:rPr>
          <w:b/>
          <w:i/>
          <w:sz w:val="22"/>
          <w:szCs w:val="22"/>
          <w:vertAlign w:val="superscript"/>
        </w:rPr>
        <w:footnoteReference w:id="4"/>
      </w:r>
      <w:r w:rsidRPr="006524F2">
        <w:rPr>
          <w:b/>
          <w:i/>
          <w:sz w:val="22"/>
          <w:szCs w:val="22"/>
        </w:rPr>
        <w:t xml:space="preserve"> №1</w:t>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22"/>
          <w:szCs w:val="22"/>
        </w:rPr>
        <w:tab/>
      </w:r>
      <w:r w:rsidRPr="006524F2">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661BE3" w:rsidRPr="006524F2" w:rsidTr="006B7656">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Разчет 20</w:t>
            </w:r>
            <w:r w:rsidRPr="006524F2">
              <w:rPr>
                <w:b/>
                <w:bCs/>
                <w:sz w:val="18"/>
                <w:szCs w:val="18"/>
                <w:lang w:val="en-US"/>
              </w:rPr>
              <w:t>2</w:t>
            </w:r>
            <w:r w:rsidRPr="006524F2">
              <w:rPr>
                <w:b/>
                <w:bCs/>
                <w:sz w:val="18"/>
                <w:szCs w:val="18"/>
              </w:rPr>
              <w:t>1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661BE3" w:rsidRPr="006524F2" w:rsidRDefault="00661BE3" w:rsidP="006B7656">
            <w:pPr>
              <w:jc w:val="center"/>
              <w:rPr>
                <w:b/>
                <w:bCs/>
                <w:sz w:val="18"/>
                <w:szCs w:val="18"/>
              </w:rPr>
            </w:pPr>
            <w:r w:rsidRPr="006524F2">
              <w:rPr>
                <w:b/>
                <w:bCs/>
                <w:sz w:val="18"/>
                <w:szCs w:val="18"/>
              </w:rPr>
              <w:t>Отчет към 31.03.20</w:t>
            </w:r>
            <w:r w:rsidRPr="006524F2">
              <w:rPr>
                <w:b/>
                <w:bCs/>
                <w:sz w:val="18"/>
                <w:szCs w:val="18"/>
                <w:lang w:val="en-US"/>
              </w:rPr>
              <w:t>2</w:t>
            </w:r>
            <w:r w:rsidRPr="006524F2">
              <w:rPr>
                <w:b/>
                <w:bCs/>
                <w:sz w:val="18"/>
                <w:szCs w:val="18"/>
              </w:rPr>
              <w:t>1 г.</w:t>
            </w:r>
          </w:p>
        </w:tc>
        <w:tc>
          <w:tcPr>
            <w:tcW w:w="1300" w:type="dxa"/>
            <w:tcBorders>
              <w:top w:val="single" w:sz="8" w:space="0" w:color="auto"/>
              <w:left w:val="nil"/>
              <w:bottom w:val="nil"/>
              <w:right w:val="single" w:sz="8"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Изпълнение</w:t>
            </w:r>
          </w:p>
        </w:tc>
      </w:tr>
      <w:tr w:rsidR="00661BE3" w:rsidRPr="006524F2" w:rsidTr="006B7656">
        <w:trPr>
          <w:trHeight w:val="255"/>
        </w:trPr>
        <w:tc>
          <w:tcPr>
            <w:tcW w:w="4263" w:type="dxa"/>
            <w:vMerge/>
            <w:tcBorders>
              <w:top w:val="single" w:sz="8" w:space="0" w:color="auto"/>
              <w:left w:val="single" w:sz="8" w:space="0" w:color="auto"/>
              <w:bottom w:val="single" w:sz="4" w:space="0" w:color="000000"/>
              <w:right w:val="nil"/>
            </w:tcBorders>
            <w:vAlign w:val="center"/>
            <w:hideMark/>
          </w:tcPr>
          <w:p w:rsidR="00661BE3" w:rsidRPr="006524F2" w:rsidRDefault="00661BE3" w:rsidP="006B765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661BE3" w:rsidRPr="006524F2" w:rsidRDefault="00661BE3" w:rsidP="006B7656">
            <w:pPr>
              <w:jc w:val="center"/>
              <w:rPr>
                <w:b/>
                <w:bCs/>
                <w:sz w:val="18"/>
                <w:szCs w:val="18"/>
              </w:rPr>
            </w:pPr>
            <w:r w:rsidRPr="006524F2">
              <w:rPr>
                <w:b/>
                <w:bCs/>
                <w:sz w:val="18"/>
                <w:szCs w:val="18"/>
              </w:rPr>
              <w:t>спрямо разчет</w:t>
            </w:r>
          </w:p>
        </w:tc>
      </w:tr>
      <w:tr w:rsidR="00661BE3" w:rsidRPr="006524F2" w:rsidTr="006B7656">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661BE3" w:rsidRPr="006524F2" w:rsidRDefault="00661BE3" w:rsidP="006B7656">
            <w:pPr>
              <w:jc w:val="center"/>
              <w:rPr>
                <w:sz w:val="18"/>
                <w:szCs w:val="18"/>
              </w:rPr>
            </w:pPr>
            <w:r w:rsidRPr="006524F2">
              <w:rPr>
                <w:sz w:val="18"/>
                <w:szCs w:val="18"/>
              </w:rPr>
              <w:t>к.6=к.3:к.2</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b/>
                <w:bCs/>
                <w:sz w:val="18"/>
                <w:szCs w:val="18"/>
              </w:rPr>
            </w:pPr>
            <w:r w:rsidRPr="006524F2">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47 596,2</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11 348,1</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10 650,3</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697,8</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b/>
                <w:bCs/>
                <w:sz w:val="18"/>
                <w:szCs w:val="18"/>
              </w:rPr>
            </w:pPr>
            <w:r>
              <w:rPr>
                <w:b/>
                <w:bCs/>
                <w:sz w:val="18"/>
                <w:szCs w:val="18"/>
              </w:rPr>
              <w:t>23,8%</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37 035,4</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8 830,3</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8 830,3</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23,8%</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6 598,2</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1 814,1</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1 815,2</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-1,1</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27,5%</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3 962,7</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703,7</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4,7</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699,0</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17,8%</w:t>
            </w:r>
          </w:p>
        </w:tc>
      </w:tr>
      <w:tr w:rsidR="00661BE3" w:rsidRPr="006D5D56" w:rsidTr="006B7656">
        <w:trPr>
          <w:trHeight w:val="480"/>
        </w:trPr>
        <w:tc>
          <w:tcPr>
            <w:tcW w:w="4263" w:type="dxa"/>
            <w:tcBorders>
              <w:top w:val="single" w:sz="4" w:space="0" w:color="auto"/>
              <w:left w:val="single" w:sz="8" w:space="0" w:color="auto"/>
              <w:bottom w:val="nil"/>
              <w:right w:val="nil"/>
            </w:tcBorders>
            <w:shd w:val="clear" w:color="auto" w:fill="auto"/>
            <w:vAlign w:val="bottom"/>
            <w:hideMark/>
          </w:tcPr>
          <w:p w:rsidR="00661BE3" w:rsidRPr="006524F2" w:rsidRDefault="00661BE3" w:rsidP="006B7656">
            <w:pPr>
              <w:rPr>
                <w:b/>
                <w:bCs/>
                <w:sz w:val="18"/>
                <w:szCs w:val="18"/>
              </w:rPr>
            </w:pPr>
            <w:r w:rsidRPr="006524F2">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52 483,2</w:t>
            </w:r>
          </w:p>
        </w:tc>
        <w:tc>
          <w:tcPr>
            <w:tcW w:w="1087" w:type="dxa"/>
            <w:tcBorders>
              <w:top w:val="single" w:sz="4" w:space="0" w:color="auto"/>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11 967,5</w:t>
            </w:r>
          </w:p>
        </w:tc>
        <w:tc>
          <w:tcPr>
            <w:tcW w:w="1252" w:type="dxa"/>
            <w:tcBorders>
              <w:top w:val="single" w:sz="4" w:space="0" w:color="auto"/>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11 082,0</w:t>
            </w:r>
          </w:p>
        </w:tc>
        <w:tc>
          <w:tcPr>
            <w:tcW w:w="1199" w:type="dxa"/>
            <w:tcBorders>
              <w:top w:val="single" w:sz="4" w:space="0" w:color="auto"/>
              <w:left w:val="nil"/>
              <w:bottom w:val="nil"/>
              <w:right w:val="nil"/>
            </w:tcBorders>
            <w:shd w:val="clear" w:color="auto" w:fill="auto"/>
            <w:noWrap/>
            <w:vAlign w:val="bottom"/>
            <w:hideMark/>
          </w:tcPr>
          <w:p w:rsidR="00661BE3" w:rsidRDefault="00661BE3" w:rsidP="006B7656">
            <w:pPr>
              <w:jc w:val="right"/>
              <w:rPr>
                <w:b/>
                <w:bCs/>
                <w:sz w:val="18"/>
                <w:szCs w:val="18"/>
              </w:rPr>
            </w:pPr>
            <w:r>
              <w:rPr>
                <w:b/>
                <w:bCs/>
                <w:sz w:val="18"/>
                <w:szCs w:val="18"/>
              </w:rPr>
              <w:t>885,5</w:t>
            </w:r>
          </w:p>
        </w:tc>
        <w:tc>
          <w:tcPr>
            <w:tcW w:w="1300" w:type="dxa"/>
            <w:tcBorders>
              <w:top w:val="single" w:sz="4" w:space="0" w:color="auto"/>
              <w:left w:val="nil"/>
              <w:bottom w:val="nil"/>
              <w:right w:val="single" w:sz="8" w:space="0" w:color="auto"/>
            </w:tcBorders>
            <w:shd w:val="clear" w:color="auto" w:fill="auto"/>
            <w:noWrap/>
            <w:vAlign w:val="bottom"/>
            <w:hideMark/>
          </w:tcPr>
          <w:p w:rsidR="00661BE3" w:rsidRDefault="00661BE3" w:rsidP="006B7656">
            <w:pPr>
              <w:jc w:val="right"/>
              <w:rPr>
                <w:b/>
                <w:bCs/>
                <w:sz w:val="18"/>
                <w:szCs w:val="18"/>
              </w:rPr>
            </w:pPr>
            <w:r>
              <w:rPr>
                <w:b/>
                <w:bCs/>
                <w:sz w:val="18"/>
                <w:szCs w:val="18"/>
              </w:rPr>
              <w:t>22,8%</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50 132,3</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11 169,5</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10 284,0</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885,5</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22,3%</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43 998,5</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10 349,4</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9 872,9</w:t>
            </w:r>
          </w:p>
        </w:tc>
        <w:tc>
          <w:tcPr>
            <w:tcW w:w="1199"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476,5</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23,5%</w:t>
            </w:r>
          </w:p>
        </w:tc>
      </w:tr>
      <w:tr w:rsidR="00C664A3" w:rsidRPr="006D5D56" w:rsidTr="00FD5E9E">
        <w:trPr>
          <w:trHeight w:val="255"/>
        </w:trPr>
        <w:tc>
          <w:tcPr>
            <w:tcW w:w="4263" w:type="dxa"/>
            <w:tcBorders>
              <w:top w:val="nil"/>
              <w:left w:val="single" w:sz="8" w:space="0" w:color="auto"/>
              <w:bottom w:val="nil"/>
              <w:right w:val="nil"/>
            </w:tcBorders>
            <w:shd w:val="clear" w:color="auto" w:fill="auto"/>
            <w:noWrap/>
            <w:vAlign w:val="bottom"/>
          </w:tcPr>
          <w:p w:rsidR="00C664A3" w:rsidRPr="006524F2" w:rsidRDefault="00C664A3" w:rsidP="00C664A3">
            <w:pPr>
              <w:rPr>
                <w:sz w:val="18"/>
                <w:szCs w:val="18"/>
              </w:rPr>
            </w:pPr>
            <w:r w:rsidRPr="006524F2">
              <w:rPr>
                <w:sz w:val="18"/>
                <w:szCs w:val="18"/>
              </w:rPr>
              <w:t xml:space="preserve">    Предоставени тек. и капит. трансфери за чужбина</w:t>
            </w:r>
          </w:p>
        </w:tc>
        <w:tc>
          <w:tcPr>
            <w:tcW w:w="992" w:type="dxa"/>
            <w:tcBorders>
              <w:top w:val="nil"/>
              <w:left w:val="nil"/>
              <w:bottom w:val="nil"/>
              <w:right w:val="nil"/>
            </w:tcBorders>
            <w:shd w:val="clear" w:color="auto" w:fill="auto"/>
            <w:noWrap/>
            <w:vAlign w:val="bottom"/>
          </w:tcPr>
          <w:p w:rsidR="00C664A3" w:rsidRDefault="00C664A3" w:rsidP="00C664A3">
            <w:pPr>
              <w:jc w:val="right"/>
              <w:rPr>
                <w:sz w:val="18"/>
                <w:szCs w:val="18"/>
              </w:rPr>
            </w:pPr>
            <w:r>
              <w:rPr>
                <w:sz w:val="18"/>
                <w:szCs w:val="18"/>
              </w:rPr>
              <w:t>18,0</w:t>
            </w:r>
          </w:p>
        </w:tc>
        <w:tc>
          <w:tcPr>
            <w:tcW w:w="1087" w:type="dxa"/>
            <w:tcBorders>
              <w:top w:val="nil"/>
              <w:left w:val="nil"/>
              <w:bottom w:val="nil"/>
              <w:right w:val="nil"/>
            </w:tcBorders>
            <w:shd w:val="clear" w:color="auto" w:fill="auto"/>
            <w:noWrap/>
            <w:vAlign w:val="bottom"/>
          </w:tcPr>
          <w:p w:rsidR="00C664A3" w:rsidRDefault="00C664A3" w:rsidP="00C664A3">
            <w:pPr>
              <w:jc w:val="right"/>
              <w:rPr>
                <w:sz w:val="18"/>
                <w:szCs w:val="18"/>
              </w:rPr>
            </w:pPr>
            <w:r>
              <w:rPr>
                <w:sz w:val="18"/>
                <w:szCs w:val="18"/>
              </w:rPr>
              <w:t>6,5</w:t>
            </w:r>
          </w:p>
        </w:tc>
        <w:tc>
          <w:tcPr>
            <w:tcW w:w="1252" w:type="dxa"/>
            <w:tcBorders>
              <w:top w:val="nil"/>
              <w:left w:val="nil"/>
              <w:bottom w:val="nil"/>
              <w:right w:val="nil"/>
            </w:tcBorders>
            <w:shd w:val="clear" w:color="auto" w:fill="auto"/>
            <w:noWrap/>
            <w:vAlign w:val="bottom"/>
          </w:tcPr>
          <w:p w:rsidR="00C664A3" w:rsidRDefault="00C664A3" w:rsidP="00C664A3">
            <w:pPr>
              <w:jc w:val="right"/>
              <w:rPr>
                <w:sz w:val="18"/>
                <w:szCs w:val="18"/>
              </w:rPr>
            </w:pPr>
            <w:r>
              <w:rPr>
                <w:sz w:val="18"/>
                <w:szCs w:val="18"/>
              </w:rPr>
              <w:t>2,1</w:t>
            </w:r>
          </w:p>
        </w:tc>
        <w:tc>
          <w:tcPr>
            <w:tcW w:w="1199" w:type="dxa"/>
            <w:tcBorders>
              <w:top w:val="nil"/>
              <w:left w:val="nil"/>
              <w:bottom w:val="nil"/>
              <w:right w:val="nil"/>
            </w:tcBorders>
            <w:shd w:val="clear" w:color="auto" w:fill="auto"/>
            <w:noWrap/>
            <w:vAlign w:val="bottom"/>
          </w:tcPr>
          <w:p w:rsidR="00C664A3" w:rsidRDefault="00C664A3" w:rsidP="00C664A3">
            <w:pPr>
              <w:jc w:val="right"/>
              <w:rPr>
                <w:sz w:val="18"/>
                <w:szCs w:val="18"/>
              </w:rPr>
            </w:pPr>
            <w:r>
              <w:rPr>
                <w:sz w:val="18"/>
                <w:szCs w:val="18"/>
              </w:rPr>
              <w:t>4,4</w:t>
            </w:r>
          </w:p>
        </w:tc>
        <w:tc>
          <w:tcPr>
            <w:tcW w:w="1300" w:type="dxa"/>
            <w:tcBorders>
              <w:top w:val="nil"/>
              <w:left w:val="nil"/>
              <w:bottom w:val="nil"/>
              <w:right w:val="single" w:sz="4" w:space="0" w:color="auto"/>
            </w:tcBorders>
            <w:shd w:val="clear" w:color="auto" w:fill="auto"/>
            <w:noWrap/>
            <w:vAlign w:val="bottom"/>
          </w:tcPr>
          <w:p w:rsidR="00C664A3" w:rsidRDefault="00C664A3" w:rsidP="00C664A3">
            <w:pPr>
              <w:jc w:val="right"/>
              <w:rPr>
                <w:sz w:val="18"/>
                <w:szCs w:val="18"/>
              </w:rPr>
            </w:pPr>
            <w:r>
              <w:rPr>
                <w:sz w:val="18"/>
                <w:szCs w:val="18"/>
              </w:rPr>
              <w:t>36,0%</w:t>
            </w:r>
          </w:p>
        </w:tc>
      </w:tr>
      <w:tr w:rsidR="00685DBD" w:rsidRPr="006D5D56" w:rsidTr="00FD5E9E">
        <w:trPr>
          <w:trHeight w:val="255"/>
        </w:trPr>
        <w:tc>
          <w:tcPr>
            <w:tcW w:w="4263" w:type="dxa"/>
            <w:tcBorders>
              <w:top w:val="nil"/>
              <w:left w:val="single" w:sz="8" w:space="0" w:color="auto"/>
              <w:bottom w:val="nil"/>
              <w:right w:val="nil"/>
            </w:tcBorders>
            <w:shd w:val="clear" w:color="auto" w:fill="auto"/>
            <w:noWrap/>
            <w:vAlign w:val="bottom"/>
            <w:hideMark/>
          </w:tcPr>
          <w:p w:rsidR="00685DBD" w:rsidRPr="006524F2" w:rsidRDefault="00685DBD" w:rsidP="00685DBD">
            <w:pPr>
              <w:rPr>
                <w:sz w:val="18"/>
                <w:szCs w:val="18"/>
              </w:rPr>
            </w:pPr>
            <w:r w:rsidRPr="006524F2">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6 115,9</w:t>
            </w:r>
          </w:p>
        </w:tc>
        <w:tc>
          <w:tcPr>
            <w:tcW w:w="1087"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813,6</w:t>
            </w:r>
          </w:p>
        </w:tc>
        <w:tc>
          <w:tcPr>
            <w:tcW w:w="1252"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409,0</w:t>
            </w:r>
          </w:p>
        </w:tc>
        <w:tc>
          <w:tcPr>
            <w:tcW w:w="1199"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404,6</w:t>
            </w:r>
          </w:p>
        </w:tc>
        <w:tc>
          <w:tcPr>
            <w:tcW w:w="1300" w:type="dxa"/>
            <w:tcBorders>
              <w:top w:val="nil"/>
              <w:left w:val="nil"/>
              <w:bottom w:val="nil"/>
              <w:right w:val="single" w:sz="4" w:space="0" w:color="auto"/>
            </w:tcBorders>
            <w:shd w:val="clear" w:color="auto" w:fill="auto"/>
            <w:noWrap/>
            <w:vAlign w:val="bottom"/>
            <w:hideMark/>
          </w:tcPr>
          <w:p w:rsidR="00685DBD" w:rsidRDefault="00685DBD" w:rsidP="00685DBD">
            <w:pPr>
              <w:jc w:val="right"/>
              <w:rPr>
                <w:sz w:val="18"/>
                <w:szCs w:val="18"/>
              </w:rPr>
            </w:pPr>
            <w:r>
              <w:rPr>
                <w:sz w:val="18"/>
                <w:szCs w:val="18"/>
              </w:rPr>
              <w:t>13,3%</w:t>
            </w:r>
          </w:p>
        </w:tc>
      </w:tr>
      <w:tr w:rsidR="00685DBD" w:rsidRPr="006D5D56" w:rsidTr="00FD5E9E">
        <w:trPr>
          <w:trHeight w:val="255"/>
        </w:trPr>
        <w:tc>
          <w:tcPr>
            <w:tcW w:w="4263" w:type="dxa"/>
            <w:tcBorders>
              <w:top w:val="nil"/>
              <w:left w:val="single" w:sz="8" w:space="0" w:color="auto"/>
              <w:bottom w:val="nil"/>
              <w:right w:val="nil"/>
            </w:tcBorders>
            <w:shd w:val="clear" w:color="auto" w:fill="auto"/>
            <w:noWrap/>
            <w:vAlign w:val="bottom"/>
            <w:hideMark/>
          </w:tcPr>
          <w:p w:rsidR="00685DBD" w:rsidRPr="006524F2" w:rsidRDefault="00685DBD" w:rsidP="00685DBD">
            <w:pPr>
              <w:rPr>
                <w:sz w:val="18"/>
                <w:szCs w:val="18"/>
              </w:rPr>
            </w:pPr>
            <w:r w:rsidRPr="006524F2">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31,3</w:t>
            </w:r>
          </w:p>
        </w:tc>
        <w:tc>
          <w:tcPr>
            <w:tcW w:w="1087"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-22,9</w:t>
            </w:r>
          </w:p>
        </w:tc>
        <w:tc>
          <w:tcPr>
            <w:tcW w:w="1252" w:type="dxa"/>
            <w:tcBorders>
              <w:top w:val="nil"/>
              <w:left w:val="nil"/>
              <w:bottom w:val="nil"/>
              <w:right w:val="nil"/>
            </w:tcBorders>
            <w:shd w:val="clear" w:color="auto" w:fill="auto"/>
            <w:noWrap/>
            <w:vAlign w:val="bottom"/>
            <w:hideMark/>
          </w:tcPr>
          <w:p w:rsidR="00685DBD" w:rsidRDefault="00685DBD" w:rsidP="00685DBD">
            <w:pPr>
              <w:jc w:val="right"/>
              <w:rPr>
                <w:sz w:val="18"/>
                <w:szCs w:val="18"/>
              </w:rPr>
            </w:pPr>
            <w:r>
              <w:rPr>
                <w:sz w:val="18"/>
                <w:szCs w:val="18"/>
              </w:rPr>
              <w:t>-22,9</w:t>
            </w:r>
          </w:p>
        </w:tc>
        <w:tc>
          <w:tcPr>
            <w:tcW w:w="1199" w:type="dxa"/>
            <w:tcBorders>
              <w:top w:val="nil"/>
              <w:left w:val="nil"/>
              <w:bottom w:val="nil"/>
              <w:right w:val="nil"/>
            </w:tcBorders>
            <w:shd w:val="clear" w:color="auto" w:fill="auto"/>
            <w:noWrap/>
            <w:vAlign w:val="bottom"/>
          </w:tcPr>
          <w:p w:rsidR="00685DBD" w:rsidRDefault="00685DBD" w:rsidP="00685DBD">
            <w:pPr>
              <w:jc w:val="right"/>
              <w:rPr>
                <w:sz w:val="18"/>
                <w:szCs w:val="18"/>
              </w:rPr>
            </w:pPr>
          </w:p>
        </w:tc>
        <w:tc>
          <w:tcPr>
            <w:tcW w:w="1300" w:type="dxa"/>
            <w:tcBorders>
              <w:top w:val="nil"/>
              <w:left w:val="nil"/>
              <w:bottom w:val="nil"/>
              <w:right w:val="single" w:sz="4" w:space="0" w:color="auto"/>
            </w:tcBorders>
            <w:shd w:val="clear" w:color="auto" w:fill="auto"/>
            <w:noWrap/>
            <w:vAlign w:val="bottom"/>
          </w:tcPr>
          <w:p w:rsidR="00685DBD" w:rsidRDefault="00685DBD" w:rsidP="00685DBD">
            <w:pPr>
              <w:jc w:val="right"/>
              <w:rPr>
                <w:sz w:val="18"/>
                <w:szCs w:val="18"/>
              </w:rPr>
            </w:pP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657,2</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318,8</w:t>
            </w:r>
          </w:p>
        </w:tc>
        <w:tc>
          <w:tcPr>
            <w:tcW w:w="125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318,8</w:t>
            </w:r>
          </w:p>
        </w:tc>
        <w:tc>
          <w:tcPr>
            <w:tcW w:w="1199" w:type="dxa"/>
            <w:tcBorders>
              <w:top w:val="nil"/>
              <w:left w:val="nil"/>
              <w:bottom w:val="nil"/>
              <w:right w:val="nil"/>
            </w:tcBorders>
            <w:shd w:val="clear" w:color="auto" w:fill="auto"/>
            <w:noWrap/>
            <w:vAlign w:val="bottom"/>
          </w:tcPr>
          <w:p w:rsidR="00661BE3" w:rsidRDefault="00661BE3" w:rsidP="006B7656">
            <w:pPr>
              <w:jc w:val="right"/>
              <w:rPr>
                <w:sz w:val="18"/>
                <w:szCs w:val="18"/>
              </w:rPr>
            </w:pPr>
            <w:r>
              <w:rPr>
                <w:sz w:val="18"/>
                <w:szCs w:val="18"/>
              </w:rPr>
              <w:t>0,0</w:t>
            </w: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48,5%</w:t>
            </w:r>
          </w:p>
        </w:tc>
      </w:tr>
      <w:tr w:rsidR="00661BE3" w:rsidRPr="006D5D56" w:rsidTr="006B7656">
        <w:trPr>
          <w:trHeight w:val="255"/>
        </w:trPr>
        <w:tc>
          <w:tcPr>
            <w:tcW w:w="4263" w:type="dxa"/>
            <w:tcBorders>
              <w:top w:val="nil"/>
              <w:left w:val="single" w:sz="8" w:space="0" w:color="auto"/>
              <w:bottom w:val="nil"/>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r>
              <w:rPr>
                <w:sz w:val="18"/>
                <w:szCs w:val="18"/>
              </w:rPr>
              <w:t>231,1</w:t>
            </w:r>
          </w:p>
        </w:tc>
        <w:tc>
          <w:tcPr>
            <w:tcW w:w="1087" w:type="dxa"/>
            <w:tcBorders>
              <w:top w:val="nil"/>
              <w:left w:val="nil"/>
              <w:bottom w:val="nil"/>
              <w:right w:val="nil"/>
            </w:tcBorders>
            <w:shd w:val="clear" w:color="auto" w:fill="auto"/>
            <w:noWrap/>
            <w:vAlign w:val="bottom"/>
            <w:hideMark/>
          </w:tcPr>
          <w:p w:rsidR="00661BE3" w:rsidRDefault="00661BE3" w:rsidP="006B7656">
            <w:pPr>
              <w:jc w:val="right"/>
              <w:rPr>
                <w:sz w:val="18"/>
                <w:szCs w:val="18"/>
              </w:rPr>
            </w:pPr>
          </w:p>
        </w:tc>
        <w:tc>
          <w:tcPr>
            <w:tcW w:w="1252" w:type="dxa"/>
            <w:tcBorders>
              <w:top w:val="nil"/>
              <w:left w:val="nil"/>
              <w:bottom w:val="nil"/>
              <w:right w:val="nil"/>
            </w:tcBorders>
            <w:shd w:val="clear" w:color="auto" w:fill="auto"/>
            <w:noWrap/>
            <w:vAlign w:val="bottom"/>
            <w:hideMark/>
          </w:tcPr>
          <w:p w:rsidR="00661BE3" w:rsidRDefault="00661BE3" w:rsidP="006B7656">
            <w:pPr>
              <w:rPr>
                <w:sz w:val="20"/>
                <w:szCs w:val="20"/>
              </w:rPr>
            </w:pPr>
          </w:p>
        </w:tc>
        <w:tc>
          <w:tcPr>
            <w:tcW w:w="1199" w:type="dxa"/>
            <w:tcBorders>
              <w:top w:val="nil"/>
              <w:left w:val="nil"/>
              <w:bottom w:val="nil"/>
              <w:right w:val="nil"/>
            </w:tcBorders>
            <w:shd w:val="clear" w:color="auto" w:fill="auto"/>
            <w:noWrap/>
            <w:vAlign w:val="bottom"/>
          </w:tcPr>
          <w:p w:rsidR="00661BE3" w:rsidRDefault="00661BE3" w:rsidP="006B7656">
            <w:pPr>
              <w:rPr>
                <w:sz w:val="20"/>
                <w:szCs w:val="20"/>
              </w:rPr>
            </w:pPr>
          </w:p>
        </w:tc>
        <w:tc>
          <w:tcPr>
            <w:tcW w:w="1300" w:type="dxa"/>
            <w:tcBorders>
              <w:top w:val="nil"/>
              <w:left w:val="nil"/>
              <w:bottom w:val="nil"/>
              <w:right w:val="single" w:sz="8" w:space="0" w:color="auto"/>
            </w:tcBorders>
            <w:shd w:val="clear" w:color="auto" w:fill="auto"/>
            <w:noWrap/>
            <w:vAlign w:val="bottom"/>
            <w:hideMark/>
          </w:tcPr>
          <w:p w:rsidR="00661BE3" w:rsidRDefault="00661BE3" w:rsidP="006B7656">
            <w:pPr>
              <w:rPr>
                <w:sz w:val="18"/>
                <w:szCs w:val="18"/>
              </w:rPr>
            </w:pPr>
            <w:r>
              <w:rPr>
                <w:sz w:val="18"/>
                <w:szCs w:val="18"/>
              </w:rPr>
              <w:t> </w:t>
            </w:r>
          </w:p>
        </w:tc>
      </w:tr>
      <w:tr w:rsidR="00661BE3" w:rsidRPr="006D5D56" w:rsidTr="006B7656">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661BE3" w:rsidRPr="006524F2" w:rsidRDefault="00661BE3" w:rsidP="006B7656">
            <w:pPr>
              <w:rPr>
                <w:sz w:val="18"/>
                <w:szCs w:val="18"/>
              </w:rPr>
            </w:pPr>
            <w:r w:rsidRPr="006524F2">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661BE3" w:rsidRDefault="00661BE3" w:rsidP="006B7656">
            <w:pPr>
              <w:jc w:val="right"/>
              <w:rPr>
                <w:sz w:val="18"/>
                <w:szCs w:val="18"/>
              </w:rPr>
            </w:pPr>
            <w:r>
              <w:rPr>
                <w:sz w:val="18"/>
                <w:szCs w:val="18"/>
              </w:rPr>
              <w:t>1 462,6</w:t>
            </w:r>
          </w:p>
        </w:tc>
        <w:tc>
          <w:tcPr>
            <w:tcW w:w="1087" w:type="dxa"/>
            <w:tcBorders>
              <w:top w:val="nil"/>
              <w:left w:val="nil"/>
              <w:bottom w:val="single" w:sz="4" w:space="0" w:color="auto"/>
              <w:right w:val="nil"/>
            </w:tcBorders>
            <w:shd w:val="clear" w:color="auto" w:fill="auto"/>
            <w:noWrap/>
            <w:vAlign w:val="bottom"/>
            <w:hideMark/>
          </w:tcPr>
          <w:p w:rsidR="00661BE3" w:rsidRDefault="00661BE3" w:rsidP="006B7656">
            <w:pPr>
              <w:jc w:val="right"/>
              <w:rPr>
                <w:sz w:val="18"/>
                <w:szCs w:val="18"/>
              </w:rPr>
            </w:pPr>
            <w:r>
              <w:rPr>
                <w:sz w:val="18"/>
                <w:szCs w:val="18"/>
              </w:rPr>
              <w:t>479,3</w:t>
            </w:r>
          </w:p>
        </w:tc>
        <w:tc>
          <w:tcPr>
            <w:tcW w:w="1252" w:type="dxa"/>
            <w:tcBorders>
              <w:top w:val="nil"/>
              <w:left w:val="nil"/>
              <w:bottom w:val="single" w:sz="4" w:space="0" w:color="auto"/>
              <w:right w:val="nil"/>
            </w:tcBorders>
            <w:shd w:val="clear" w:color="auto" w:fill="auto"/>
            <w:noWrap/>
            <w:vAlign w:val="bottom"/>
            <w:hideMark/>
          </w:tcPr>
          <w:p w:rsidR="00661BE3" w:rsidRDefault="00661BE3" w:rsidP="006B7656">
            <w:pPr>
              <w:jc w:val="right"/>
              <w:rPr>
                <w:sz w:val="18"/>
                <w:szCs w:val="18"/>
              </w:rPr>
            </w:pPr>
            <w:r>
              <w:rPr>
                <w:sz w:val="18"/>
                <w:szCs w:val="18"/>
              </w:rPr>
              <w:t>479,3</w:t>
            </w:r>
          </w:p>
        </w:tc>
        <w:tc>
          <w:tcPr>
            <w:tcW w:w="1199" w:type="dxa"/>
            <w:tcBorders>
              <w:top w:val="nil"/>
              <w:left w:val="nil"/>
              <w:bottom w:val="single" w:sz="4" w:space="0" w:color="auto"/>
              <w:right w:val="nil"/>
            </w:tcBorders>
            <w:shd w:val="clear" w:color="auto" w:fill="auto"/>
            <w:noWrap/>
            <w:vAlign w:val="bottom"/>
          </w:tcPr>
          <w:p w:rsidR="00661BE3" w:rsidRDefault="00661BE3" w:rsidP="006B7656">
            <w:pPr>
              <w:rPr>
                <w:sz w:val="18"/>
                <w:szCs w:val="18"/>
              </w:rPr>
            </w:pPr>
            <w:r>
              <w:rPr>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661BE3" w:rsidRDefault="00661BE3" w:rsidP="006B7656">
            <w:pPr>
              <w:jc w:val="right"/>
              <w:rPr>
                <w:sz w:val="18"/>
                <w:szCs w:val="18"/>
              </w:rPr>
            </w:pPr>
            <w:r>
              <w:rPr>
                <w:sz w:val="18"/>
                <w:szCs w:val="18"/>
              </w:rPr>
              <w:t>32,8%</w:t>
            </w:r>
          </w:p>
        </w:tc>
      </w:tr>
      <w:tr w:rsidR="00661BE3" w:rsidRPr="006D5D56" w:rsidTr="006B7656">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661BE3" w:rsidRPr="006524F2" w:rsidRDefault="00661BE3" w:rsidP="006B7656">
            <w:pPr>
              <w:rPr>
                <w:sz w:val="18"/>
                <w:szCs w:val="18"/>
              </w:rPr>
            </w:pPr>
            <w:r w:rsidRPr="006524F2">
              <w:rPr>
                <w:sz w:val="18"/>
                <w:szCs w:val="18"/>
              </w:rPr>
              <w:t>Трансфери</w:t>
            </w:r>
            <w:r w:rsidRPr="006524F2">
              <w:rPr>
                <w:sz w:val="18"/>
                <w:szCs w:val="18"/>
                <w:lang w:val="en-US"/>
              </w:rPr>
              <w:t xml:space="preserve"> </w:t>
            </w:r>
            <w:r w:rsidRPr="006524F2">
              <w:rPr>
                <w:sz w:val="18"/>
                <w:szCs w:val="18"/>
              </w:rPr>
              <w:t>-</w:t>
            </w:r>
            <w:r w:rsidRPr="006524F2">
              <w:rPr>
                <w:sz w:val="18"/>
                <w:szCs w:val="18"/>
                <w:lang w:val="en-US"/>
              </w:rPr>
              <w:t xml:space="preserve"> </w:t>
            </w:r>
            <w:r w:rsidRPr="006524F2">
              <w:rPr>
                <w:sz w:val="18"/>
                <w:szCs w:val="18"/>
              </w:rPr>
              <w:t>нето</w:t>
            </w:r>
          </w:p>
        </w:tc>
        <w:tc>
          <w:tcPr>
            <w:tcW w:w="992" w:type="dxa"/>
            <w:tcBorders>
              <w:top w:val="nil"/>
              <w:left w:val="nil"/>
              <w:bottom w:val="single" w:sz="4" w:space="0" w:color="auto"/>
              <w:right w:val="nil"/>
            </w:tcBorders>
            <w:shd w:val="clear" w:color="auto" w:fill="auto"/>
            <w:noWrap/>
            <w:vAlign w:val="bottom"/>
            <w:hideMark/>
          </w:tcPr>
          <w:p w:rsidR="00661BE3" w:rsidRDefault="00661BE3" w:rsidP="006B7656">
            <w:pPr>
              <w:rPr>
                <w:color w:val="0070C0"/>
                <w:sz w:val="18"/>
                <w:szCs w:val="18"/>
              </w:rPr>
            </w:pPr>
            <w:r>
              <w:rPr>
                <w:color w:val="0070C0"/>
                <w:sz w:val="18"/>
                <w:szCs w:val="18"/>
              </w:rPr>
              <w:t> </w:t>
            </w:r>
          </w:p>
        </w:tc>
        <w:tc>
          <w:tcPr>
            <w:tcW w:w="1087" w:type="dxa"/>
            <w:tcBorders>
              <w:top w:val="nil"/>
              <w:left w:val="nil"/>
              <w:bottom w:val="single" w:sz="4" w:space="0" w:color="auto"/>
              <w:right w:val="nil"/>
            </w:tcBorders>
            <w:shd w:val="clear" w:color="auto" w:fill="auto"/>
            <w:noWrap/>
            <w:vAlign w:val="bottom"/>
            <w:hideMark/>
          </w:tcPr>
          <w:p w:rsidR="00661BE3" w:rsidRDefault="00661BE3" w:rsidP="006B7656">
            <w:pPr>
              <w:rPr>
                <w:color w:val="0070C0"/>
                <w:sz w:val="18"/>
                <w:szCs w:val="18"/>
              </w:rPr>
            </w:pPr>
            <w:r>
              <w:rPr>
                <w:color w:val="0070C0"/>
                <w:sz w:val="18"/>
                <w:szCs w:val="18"/>
              </w:rPr>
              <w:t> </w:t>
            </w:r>
          </w:p>
        </w:tc>
        <w:tc>
          <w:tcPr>
            <w:tcW w:w="1252" w:type="dxa"/>
            <w:tcBorders>
              <w:top w:val="nil"/>
              <w:left w:val="nil"/>
              <w:bottom w:val="single" w:sz="4" w:space="0" w:color="auto"/>
              <w:right w:val="nil"/>
            </w:tcBorders>
            <w:shd w:val="clear" w:color="auto" w:fill="auto"/>
            <w:noWrap/>
            <w:vAlign w:val="bottom"/>
            <w:hideMark/>
          </w:tcPr>
          <w:p w:rsidR="00661BE3" w:rsidRDefault="00661BE3" w:rsidP="006B7656">
            <w:pPr>
              <w:jc w:val="right"/>
              <w:rPr>
                <w:sz w:val="18"/>
                <w:szCs w:val="18"/>
              </w:rPr>
            </w:pPr>
            <w:r>
              <w:rPr>
                <w:sz w:val="18"/>
                <w:szCs w:val="18"/>
              </w:rPr>
              <w:t>-150,6</w:t>
            </w:r>
          </w:p>
        </w:tc>
        <w:tc>
          <w:tcPr>
            <w:tcW w:w="1199" w:type="dxa"/>
            <w:tcBorders>
              <w:top w:val="nil"/>
              <w:left w:val="nil"/>
              <w:bottom w:val="single" w:sz="4" w:space="0" w:color="auto"/>
              <w:right w:val="nil"/>
            </w:tcBorders>
            <w:shd w:val="clear" w:color="auto" w:fill="auto"/>
            <w:noWrap/>
            <w:vAlign w:val="bottom"/>
            <w:hideMark/>
          </w:tcPr>
          <w:p w:rsidR="00661BE3" w:rsidRDefault="00661BE3" w:rsidP="006B7656">
            <w:pPr>
              <w:jc w:val="right"/>
              <w:rPr>
                <w:sz w:val="18"/>
                <w:szCs w:val="18"/>
              </w:rPr>
            </w:pPr>
            <w:r>
              <w:rPr>
                <w:sz w:val="18"/>
                <w:szCs w:val="18"/>
              </w:rPr>
              <w:t>150,6</w:t>
            </w:r>
          </w:p>
        </w:tc>
        <w:tc>
          <w:tcPr>
            <w:tcW w:w="1300" w:type="dxa"/>
            <w:tcBorders>
              <w:top w:val="nil"/>
              <w:left w:val="nil"/>
              <w:bottom w:val="single" w:sz="4" w:space="0" w:color="auto"/>
              <w:right w:val="single" w:sz="8" w:space="0" w:color="auto"/>
            </w:tcBorders>
            <w:shd w:val="clear" w:color="auto" w:fill="auto"/>
            <w:noWrap/>
            <w:vAlign w:val="bottom"/>
            <w:hideMark/>
          </w:tcPr>
          <w:p w:rsidR="00661BE3" w:rsidRDefault="00661BE3" w:rsidP="006B7656">
            <w:pPr>
              <w:rPr>
                <w:sz w:val="18"/>
                <w:szCs w:val="18"/>
              </w:rPr>
            </w:pPr>
            <w:r>
              <w:rPr>
                <w:sz w:val="18"/>
                <w:szCs w:val="18"/>
              </w:rPr>
              <w:t> </w:t>
            </w:r>
          </w:p>
        </w:tc>
      </w:tr>
      <w:tr w:rsidR="00661BE3" w:rsidRPr="006D5D56" w:rsidTr="006B7656">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661BE3" w:rsidRPr="006524F2" w:rsidRDefault="00661BE3" w:rsidP="006B7656">
            <w:pPr>
              <w:rPr>
                <w:b/>
                <w:bCs/>
                <w:sz w:val="18"/>
                <w:szCs w:val="18"/>
              </w:rPr>
            </w:pPr>
            <w:r w:rsidRPr="006524F2">
              <w:rPr>
                <w:b/>
                <w:bCs/>
                <w:sz w:val="18"/>
                <w:szCs w:val="18"/>
              </w:rPr>
              <w:t>БЮДЖЕТНО САЛДО</w:t>
            </w:r>
          </w:p>
        </w:tc>
        <w:tc>
          <w:tcPr>
            <w:tcW w:w="992" w:type="dxa"/>
            <w:tcBorders>
              <w:top w:val="nil"/>
              <w:left w:val="nil"/>
              <w:bottom w:val="single" w:sz="8" w:space="0" w:color="auto"/>
              <w:right w:val="nil"/>
            </w:tcBorders>
            <w:shd w:val="clear" w:color="auto" w:fill="auto"/>
            <w:noWrap/>
            <w:vAlign w:val="bottom"/>
            <w:hideMark/>
          </w:tcPr>
          <w:p w:rsidR="00661BE3" w:rsidRDefault="00661BE3" w:rsidP="006B7656">
            <w:pPr>
              <w:jc w:val="right"/>
              <w:rPr>
                <w:b/>
                <w:bCs/>
                <w:sz w:val="18"/>
                <w:szCs w:val="18"/>
              </w:rPr>
            </w:pPr>
            <w:r>
              <w:rPr>
                <w:b/>
                <w:bCs/>
                <w:sz w:val="18"/>
                <w:szCs w:val="18"/>
              </w:rPr>
              <w:t>-4 887,0</w:t>
            </w:r>
          </w:p>
        </w:tc>
        <w:tc>
          <w:tcPr>
            <w:tcW w:w="1087" w:type="dxa"/>
            <w:tcBorders>
              <w:top w:val="nil"/>
              <w:left w:val="nil"/>
              <w:bottom w:val="single" w:sz="8" w:space="0" w:color="auto"/>
              <w:right w:val="nil"/>
            </w:tcBorders>
            <w:shd w:val="clear" w:color="auto" w:fill="auto"/>
            <w:noWrap/>
            <w:vAlign w:val="bottom"/>
            <w:hideMark/>
          </w:tcPr>
          <w:p w:rsidR="00661BE3" w:rsidRDefault="00661BE3" w:rsidP="006B7656">
            <w:pPr>
              <w:jc w:val="right"/>
              <w:rPr>
                <w:b/>
                <w:bCs/>
                <w:sz w:val="18"/>
                <w:szCs w:val="18"/>
              </w:rPr>
            </w:pPr>
            <w:r>
              <w:rPr>
                <w:b/>
                <w:bCs/>
                <w:sz w:val="18"/>
                <w:szCs w:val="18"/>
              </w:rPr>
              <w:t>-619,4</w:t>
            </w:r>
          </w:p>
        </w:tc>
        <w:tc>
          <w:tcPr>
            <w:tcW w:w="1252" w:type="dxa"/>
            <w:tcBorders>
              <w:top w:val="nil"/>
              <w:left w:val="nil"/>
              <w:bottom w:val="single" w:sz="8" w:space="0" w:color="auto"/>
              <w:right w:val="nil"/>
            </w:tcBorders>
            <w:shd w:val="clear" w:color="auto" w:fill="auto"/>
            <w:noWrap/>
            <w:vAlign w:val="bottom"/>
            <w:hideMark/>
          </w:tcPr>
          <w:p w:rsidR="00661BE3" w:rsidRDefault="00661BE3" w:rsidP="006B7656">
            <w:pPr>
              <w:jc w:val="right"/>
              <w:rPr>
                <w:b/>
                <w:bCs/>
                <w:sz w:val="18"/>
                <w:szCs w:val="18"/>
              </w:rPr>
            </w:pPr>
            <w:r>
              <w:rPr>
                <w:b/>
                <w:bCs/>
                <w:sz w:val="18"/>
                <w:szCs w:val="18"/>
              </w:rPr>
              <w:t>-582,3</w:t>
            </w:r>
          </w:p>
        </w:tc>
        <w:tc>
          <w:tcPr>
            <w:tcW w:w="1199" w:type="dxa"/>
            <w:tcBorders>
              <w:top w:val="nil"/>
              <w:left w:val="nil"/>
              <w:bottom w:val="single" w:sz="8" w:space="0" w:color="auto"/>
              <w:right w:val="nil"/>
            </w:tcBorders>
            <w:shd w:val="clear" w:color="auto" w:fill="auto"/>
            <w:noWrap/>
            <w:vAlign w:val="bottom"/>
            <w:hideMark/>
          </w:tcPr>
          <w:p w:rsidR="00661BE3" w:rsidRDefault="00661BE3" w:rsidP="006B7656">
            <w:pPr>
              <w:jc w:val="right"/>
              <w:rPr>
                <w:b/>
                <w:bCs/>
                <w:sz w:val="18"/>
                <w:szCs w:val="18"/>
              </w:rPr>
            </w:pPr>
            <w:r>
              <w:rPr>
                <w:b/>
                <w:bCs/>
                <w:sz w:val="18"/>
                <w:szCs w:val="18"/>
              </w:rPr>
              <w:t>-37,1</w:t>
            </w:r>
          </w:p>
        </w:tc>
        <w:tc>
          <w:tcPr>
            <w:tcW w:w="1300" w:type="dxa"/>
            <w:tcBorders>
              <w:top w:val="nil"/>
              <w:left w:val="nil"/>
              <w:bottom w:val="single" w:sz="8" w:space="0" w:color="auto"/>
              <w:right w:val="single" w:sz="8" w:space="0" w:color="auto"/>
            </w:tcBorders>
            <w:shd w:val="clear" w:color="auto" w:fill="auto"/>
            <w:noWrap/>
            <w:vAlign w:val="bottom"/>
            <w:hideMark/>
          </w:tcPr>
          <w:p w:rsidR="00661BE3" w:rsidRDefault="00661BE3" w:rsidP="006B7656">
            <w:pPr>
              <w:rPr>
                <w:b/>
                <w:bCs/>
                <w:sz w:val="18"/>
                <w:szCs w:val="18"/>
              </w:rPr>
            </w:pPr>
            <w:r>
              <w:rPr>
                <w:b/>
                <w:bCs/>
                <w:sz w:val="18"/>
                <w:szCs w:val="18"/>
              </w:rPr>
              <w:t> </w:t>
            </w:r>
          </w:p>
        </w:tc>
      </w:tr>
    </w:tbl>
    <w:p w:rsidR="00661BE3" w:rsidRPr="006D5D56" w:rsidRDefault="00661BE3" w:rsidP="00661BE3">
      <w:pPr>
        <w:ind w:left="360"/>
        <w:jc w:val="both"/>
        <w:rPr>
          <w:color w:val="4F81BD" w:themeColor="accent1"/>
          <w:sz w:val="22"/>
        </w:rPr>
      </w:pPr>
    </w:p>
    <w:p w:rsidR="00661BE3" w:rsidRPr="00BF31BB" w:rsidRDefault="00661BE3" w:rsidP="00661BE3">
      <w:pPr>
        <w:numPr>
          <w:ilvl w:val="1"/>
          <w:numId w:val="11"/>
        </w:numPr>
        <w:tabs>
          <w:tab w:val="num" w:pos="426"/>
        </w:tabs>
        <w:ind w:left="0" w:firstLine="0"/>
        <w:jc w:val="both"/>
        <w:rPr>
          <w:rFonts w:eastAsia="Calibri"/>
        </w:rPr>
      </w:pPr>
      <w:r w:rsidRPr="00654E45">
        <w:rPr>
          <w:b/>
        </w:rPr>
        <w:t>Приходите, помощите и даренията по консолидираната фискална програма</w:t>
      </w:r>
      <w:r w:rsidRPr="00654E45">
        <w:t xml:space="preserve"> (КФП) </w:t>
      </w:r>
      <w:r w:rsidR="006517D3">
        <w:t>за</w:t>
      </w:r>
      <w:r w:rsidRPr="00BF31BB">
        <w:rPr>
          <w:b/>
        </w:rPr>
        <w:t xml:space="preserve"> </w:t>
      </w:r>
      <w:r w:rsidRPr="00BF31BB">
        <w:t xml:space="preserve">първото тримесечие на 2021 г. са в размер на </w:t>
      </w:r>
      <w:r w:rsidRPr="00BF31BB">
        <w:rPr>
          <w:b/>
          <w:bCs/>
        </w:rPr>
        <w:t>11 348,1</w:t>
      </w:r>
      <w:r w:rsidRPr="00BF31BB">
        <w:rPr>
          <w:b/>
          <w:bCs/>
          <w:lang w:val="en-US"/>
        </w:rPr>
        <w:t> </w:t>
      </w:r>
      <w:r w:rsidRPr="00BF31BB">
        <w:rPr>
          <w:b/>
        </w:rPr>
        <w:t>млн. лв.,</w:t>
      </w:r>
      <w:r w:rsidRPr="00BF31BB">
        <w:t xml:space="preserve"> което представлява 23,8 % от годишните разчети към ЗДБРБ за 2021 г. </w:t>
      </w:r>
      <w:r w:rsidR="00386827" w:rsidRPr="00070EEB">
        <w:rPr>
          <w:rFonts w:eastAsia="Calibri"/>
        </w:rPr>
        <w:t>Съпоставени със същия период на предход</w:t>
      </w:r>
      <w:r w:rsidR="00386827">
        <w:rPr>
          <w:rFonts w:eastAsia="Calibri"/>
        </w:rPr>
        <w:t>н</w:t>
      </w:r>
      <w:r w:rsidR="00386827" w:rsidRPr="00070EEB">
        <w:rPr>
          <w:rFonts w:eastAsia="Calibri"/>
        </w:rPr>
        <w:t>ата година, когато приходите в бюджета все още не бяха засегнати от негативните ефекти от избухването на пандемията от COVID-19 в България, постъпленията към март 2021 г. нарастват с 370,8 млн. лв. (3,4%)</w:t>
      </w:r>
      <w:r w:rsidR="00386827" w:rsidRPr="004578A6">
        <w:rPr>
          <w:rFonts w:eastAsia="Calibri"/>
        </w:rPr>
        <w:t xml:space="preserve">. При данъчните и неданъчните приходи се наблюдава </w:t>
      </w:r>
      <w:r w:rsidR="00386827">
        <w:rPr>
          <w:rFonts w:eastAsia="Calibri"/>
        </w:rPr>
        <w:t>ръст</w:t>
      </w:r>
      <w:r w:rsidR="00386827" w:rsidRPr="004578A6">
        <w:rPr>
          <w:rFonts w:eastAsia="Calibri"/>
        </w:rPr>
        <w:t xml:space="preserve"> с 501,6</w:t>
      </w:r>
      <w:r w:rsidR="00386827" w:rsidRPr="004578A6">
        <w:rPr>
          <w:b/>
          <w:bCs/>
          <w:lang w:val="en-US"/>
        </w:rPr>
        <w:t> </w:t>
      </w:r>
      <w:r w:rsidR="00386827" w:rsidRPr="004578A6">
        <w:rPr>
          <w:rFonts w:eastAsia="Calibri"/>
        </w:rPr>
        <w:t>млн. лв. (4,9 %), а постъпленията от помощи и дарения (основно грантове по програмите и фондовете на ЕС) намаляват със 130,8</w:t>
      </w:r>
      <w:r w:rsidR="00386827">
        <w:rPr>
          <w:rFonts w:eastAsia="Calibri"/>
        </w:rPr>
        <w:t> </w:t>
      </w:r>
      <w:r w:rsidR="00386827" w:rsidRPr="004578A6">
        <w:rPr>
          <w:rFonts w:eastAsia="Calibri"/>
        </w:rPr>
        <w:t>млн. лв. (15,7 %), сравнени с края на март 2020 година</w:t>
      </w:r>
      <w:r w:rsidRPr="00BF31BB">
        <w:rPr>
          <w:rFonts w:eastAsia="Calibri"/>
        </w:rPr>
        <w:t>.</w:t>
      </w:r>
    </w:p>
    <w:p w:rsidR="00EC2127" w:rsidRPr="00D7088F" w:rsidRDefault="00661BE3" w:rsidP="00EC2127">
      <w:pPr>
        <w:spacing w:before="120"/>
        <w:jc w:val="both"/>
      </w:pPr>
      <w:r w:rsidRPr="00483F12">
        <w:t>Общата сума</w:t>
      </w:r>
      <w:r w:rsidRPr="00483F12">
        <w:rPr>
          <w:b/>
        </w:rPr>
        <w:t xml:space="preserve"> </w:t>
      </w:r>
      <w:r w:rsidRPr="00483F12">
        <w:t>на</w:t>
      </w:r>
      <w:r w:rsidRPr="00483F12">
        <w:rPr>
          <w:b/>
        </w:rPr>
        <w:t xml:space="preserve"> </w:t>
      </w:r>
      <w:r w:rsidRPr="00483F12">
        <w:rPr>
          <w:b/>
          <w:i/>
        </w:rPr>
        <w:t>данъчните постъпления</w:t>
      </w:r>
      <w:r w:rsidRPr="00483F12">
        <w:t xml:space="preserve"> (вкл. приходите от осигурителни вноски) са в размер на </w:t>
      </w:r>
      <w:r w:rsidRPr="00483F12">
        <w:rPr>
          <w:b/>
          <w:i/>
        </w:rPr>
        <w:t>8 830,3 млн. лв</w:t>
      </w:r>
      <w:r w:rsidRPr="00483F12">
        <w:rPr>
          <w:i/>
        </w:rPr>
        <w:t>.</w:t>
      </w:r>
      <w:r w:rsidRPr="00483F12">
        <w:t xml:space="preserve">, което представлява 77,8 % от общите постъпления по КФП за периода. Постъпленията в групата представляват 23,8 % от разчета за годината и нарастват номинално с 249,6 млн. лв. (2,9 %) спрямо отчетените към март 2020 година. </w:t>
      </w:r>
      <w:r w:rsidR="00EC2127" w:rsidRPr="0096775B">
        <w:t>Върху данъчните приходи оказват влияние приетите законодателни промени в крайните срокове за подаване на годишната данъчна декларация за 2020 г. по Закона за корпоративното подоходно облагане, както и за внасяне на корпоративния данък, данъка върху разходите, данъка върху приходите на бюджетните предприятия, както и на данъка върху дейността от опериране на кораби (от 31 март на 30 юни 2021 г.). През 2020 г.</w:t>
      </w:r>
      <w:r w:rsidR="00EC2127">
        <w:t>,</w:t>
      </w:r>
      <w:r w:rsidR="00EC2127" w:rsidRPr="0096775B">
        <w:t xml:space="preserve"> предвид предприетите бързи мерки, свързани с началото на пандемията, също бе удължен срокът по ЗКПО, но една част от данъчно задължените лица вече бяха подали годишна данъчна декларация за 2019 г., както и </w:t>
      </w:r>
      <w:r w:rsidR="00EC2127" w:rsidRPr="0096775B">
        <w:lastRenderedPageBreak/>
        <w:t xml:space="preserve">внесли изравнителна вноска по корпоративния данък в регламентирания </w:t>
      </w:r>
      <w:r w:rsidR="00EC2127" w:rsidRPr="00661213">
        <w:t>срок преди промяната</w:t>
      </w:r>
      <w:r w:rsidR="00EC2127" w:rsidRPr="0096775B">
        <w:t xml:space="preserve"> – 31.03.2020 година.</w:t>
      </w:r>
    </w:p>
    <w:p w:rsidR="00661BE3" w:rsidRPr="00E818AA" w:rsidRDefault="00661BE3" w:rsidP="00661BE3">
      <w:pPr>
        <w:spacing w:before="120"/>
        <w:jc w:val="both"/>
      </w:pPr>
      <w:r w:rsidRPr="00483F12">
        <w:t xml:space="preserve">Приходите в частта на </w:t>
      </w:r>
      <w:r w:rsidRPr="00483F12">
        <w:rPr>
          <w:i/>
        </w:rPr>
        <w:t xml:space="preserve">преките данъци </w:t>
      </w:r>
      <w:r w:rsidRPr="00483F12">
        <w:t>възлизат на 1 263,2 млн. лв., което представлява 18,1 % от разчета за 2021 г. Съпоставени със същия период на 2020 г., преките данъци намаляват с 3,5 % (45,4 млн. лв</w:t>
      </w:r>
      <w:r w:rsidRPr="00122FFF">
        <w:t>.).</w:t>
      </w:r>
      <w:r w:rsidRPr="00122FFF">
        <w:rPr>
          <w:rFonts w:ascii="Arial" w:hAnsi="Arial" w:cs="Arial"/>
        </w:rPr>
        <w:t xml:space="preserve"> </w:t>
      </w:r>
      <w:r w:rsidRPr="00122FFF">
        <w:t xml:space="preserve">Приходите от </w:t>
      </w:r>
      <w:r w:rsidRPr="00122FFF">
        <w:rPr>
          <w:i/>
        </w:rPr>
        <w:t>косвени данъци</w:t>
      </w:r>
      <w:r w:rsidRPr="00122FFF">
        <w:t xml:space="preserve"> са в размер на 4 402,7 млн. лв., което представлява 25</w:t>
      </w:r>
      <w:r w:rsidRPr="00F76F18">
        <w:t xml:space="preserve">,8 % от годишния разчет. Съпоставени с първото тримесечие на 2020 г., косвените данъци  </w:t>
      </w:r>
      <w:r w:rsidRPr="00E818AA">
        <w:t xml:space="preserve">отчитат увеличение от 1,7 % (74,6 млн. лв.). Постъпленията от </w:t>
      </w:r>
      <w:r w:rsidRPr="00E818AA">
        <w:rPr>
          <w:i/>
        </w:rPr>
        <w:t>други данъци</w:t>
      </w:r>
      <w:r w:rsidRPr="00E818AA">
        <w:t xml:space="preserve"> (включват други данъци по ЗКПО, имуществени данъци и др.) са 336,5 млн. лв., което представлява 26,2 % от разчетите към ЗДБРБ за 2021 г. и сравнени със същия период на 2020 г. нарастват с 14,2 % (41,8 млн. лв.). Приходите от </w:t>
      </w:r>
      <w:r w:rsidRPr="00E818AA">
        <w:rPr>
          <w:b/>
          <w:i/>
        </w:rPr>
        <w:t>социалноосигурителни и здравни вноски</w:t>
      </w:r>
      <w:r w:rsidRPr="00E818AA">
        <w:rPr>
          <w:b/>
        </w:rPr>
        <w:t xml:space="preserve"> </w:t>
      </w:r>
      <w:r w:rsidRPr="00E818AA">
        <w:t xml:space="preserve">към 31.03.2021 г. са в размер на 2 827,8 млн. лв. или 24,2 % от планираните за годината, като спрямо същия период на предходната година нарастват със 178,6 млн. лева. (6,7 %). </w:t>
      </w:r>
    </w:p>
    <w:p w:rsidR="00661BE3" w:rsidRPr="00E818AA" w:rsidRDefault="00661BE3" w:rsidP="00661BE3">
      <w:pPr>
        <w:spacing w:before="120"/>
        <w:jc w:val="both"/>
      </w:pPr>
      <w:r w:rsidRPr="00E818AA">
        <w:rPr>
          <w:b/>
          <w:bCs/>
          <w:i/>
          <w:iCs/>
        </w:rPr>
        <w:t>Неданъчните приходи</w:t>
      </w:r>
      <w:r w:rsidRPr="00E818AA">
        <w:rPr>
          <w:b/>
          <w:bCs/>
          <w:iCs/>
        </w:rPr>
        <w:t xml:space="preserve"> </w:t>
      </w:r>
      <w:r w:rsidRPr="00E818AA">
        <w:t xml:space="preserve">са в размер на </w:t>
      </w:r>
      <w:r w:rsidRPr="00E818AA">
        <w:rPr>
          <w:b/>
          <w:bCs/>
          <w:i/>
        </w:rPr>
        <w:t>1 814,1 млн. лв.</w:t>
      </w:r>
      <w:r w:rsidRPr="00E818AA">
        <w:rPr>
          <w:b/>
          <w:bCs/>
        </w:rPr>
        <w:t>,</w:t>
      </w:r>
      <w:r w:rsidRPr="00E818AA">
        <w:rPr>
          <w:b/>
          <w:i/>
        </w:rPr>
        <w:t xml:space="preserve"> </w:t>
      </w:r>
      <w:r w:rsidRPr="00E818AA">
        <w:t>което представлява</w:t>
      </w:r>
      <w:r w:rsidRPr="00E818AA">
        <w:rPr>
          <w:i/>
        </w:rPr>
        <w:t xml:space="preserve"> </w:t>
      </w:r>
      <w:r w:rsidRPr="00E818AA">
        <w:t>27,5 %</w:t>
      </w:r>
      <w:r w:rsidRPr="00E818AA">
        <w:rPr>
          <w:b/>
          <w:i/>
        </w:rPr>
        <w:t xml:space="preserve"> </w:t>
      </w:r>
      <w:r w:rsidRPr="00E818AA">
        <w:t>от</w:t>
      </w:r>
      <w:r w:rsidRPr="00E818AA">
        <w:rPr>
          <w:b/>
          <w:i/>
        </w:rPr>
        <w:t xml:space="preserve"> </w:t>
      </w:r>
      <w:r w:rsidRPr="00E818AA">
        <w:t xml:space="preserve">годишните разчети. </w:t>
      </w:r>
    </w:p>
    <w:p w:rsidR="00661BE3" w:rsidRPr="00E818AA" w:rsidRDefault="00661BE3" w:rsidP="00661BE3">
      <w:pPr>
        <w:spacing w:before="120" w:after="120"/>
        <w:jc w:val="both"/>
      </w:pPr>
      <w:r w:rsidRPr="00E818AA">
        <w:t xml:space="preserve">Постъпленията от </w:t>
      </w:r>
      <w:r w:rsidRPr="00E818AA">
        <w:rPr>
          <w:b/>
          <w:i/>
        </w:rPr>
        <w:t>помощи</w:t>
      </w:r>
      <w:r w:rsidRPr="00E818AA">
        <w:t xml:space="preserve"> </w:t>
      </w:r>
      <w:r w:rsidRPr="00E818AA">
        <w:rPr>
          <w:b/>
          <w:i/>
        </w:rPr>
        <w:t xml:space="preserve">и дарения </w:t>
      </w:r>
      <w:r w:rsidRPr="00E818AA">
        <w:t xml:space="preserve">от страната и чужбина (основно помощи от фондовете на ЕС) към март 2021 г. са в размер на </w:t>
      </w:r>
      <w:r w:rsidRPr="00E818AA">
        <w:rPr>
          <w:b/>
        </w:rPr>
        <w:t>703,7 млн. лв.</w:t>
      </w:r>
      <w:r w:rsidRPr="00E818AA">
        <w:t xml:space="preserve"> </w:t>
      </w:r>
    </w:p>
    <w:p w:rsidR="00C92174" w:rsidRDefault="00661BE3" w:rsidP="00C92174">
      <w:pPr>
        <w:spacing w:after="120"/>
        <w:jc w:val="both"/>
        <w:rPr>
          <w:rFonts w:eastAsia="Calibri"/>
        </w:rPr>
      </w:pPr>
      <w:r w:rsidRPr="00C92174">
        <w:rPr>
          <w:b/>
          <w:szCs w:val="20"/>
        </w:rPr>
        <w:t xml:space="preserve">Разходите по консолидираната фискална програма </w:t>
      </w:r>
      <w:r w:rsidRPr="00C92174">
        <w:rPr>
          <w:szCs w:val="20"/>
        </w:rPr>
        <w:t xml:space="preserve">(вкл. вноската на Република </w:t>
      </w:r>
      <w:r w:rsidRPr="00E818AA">
        <w:rPr>
          <w:szCs w:val="20"/>
        </w:rPr>
        <w:t>България в общия бюджет на ЕС) към 31.03.2021 г.</w:t>
      </w:r>
      <w:r w:rsidRPr="00E818AA">
        <w:rPr>
          <w:b/>
          <w:szCs w:val="20"/>
        </w:rPr>
        <w:t xml:space="preserve"> са в размер на 11</w:t>
      </w:r>
      <w:r w:rsidRPr="00E818AA">
        <w:rPr>
          <w:rFonts w:eastAsia="Calibri"/>
          <w:b/>
        </w:rPr>
        <w:t xml:space="preserve"> 967,5 </w:t>
      </w:r>
      <w:r w:rsidRPr="00E818AA">
        <w:rPr>
          <w:b/>
          <w:szCs w:val="20"/>
        </w:rPr>
        <w:t xml:space="preserve">млн. лв., </w:t>
      </w:r>
      <w:r w:rsidRPr="00E818AA">
        <w:rPr>
          <w:szCs w:val="20"/>
        </w:rPr>
        <w:t xml:space="preserve">което представлява 22,8 % от годишния разчет. </w:t>
      </w:r>
      <w:r w:rsidRPr="00E818AA">
        <w:rPr>
          <w:rFonts w:eastAsia="Calibri"/>
        </w:rPr>
        <w:t>За сравнение разходите по КФП към март 2020 г. бяха в размер на 9 550,9 млн. лева.</w:t>
      </w:r>
      <w:r w:rsidRPr="006D5D56">
        <w:rPr>
          <w:rFonts w:eastAsia="Calibri"/>
          <w:color w:val="4F81BD" w:themeColor="accent1"/>
        </w:rPr>
        <w:t xml:space="preserve"> </w:t>
      </w:r>
      <w:r w:rsidR="00C92174">
        <w:rPr>
          <w:rFonts w:eastAsia="Calibri"/>
        </w:rPr>
        <w:t xml:space="preserve">Значителният ръст на разходите през първото тримесечие на 2021 г. спрямо същия период на предходната година е свързан от една страна с по-ниската база през 2020 г., когато има отчетени незначителни по размер разходи за борба с пандемията от </w:t>
      </w:r>
      <w:r w:rsidR="00C92174">
        <w:rPr>
          <w:rFonts w:eastAsia="Calibri"/>
          <w:lang w:val="en-US"/>
        </w:rPr>
        <w:t>COVID</w:t>
      </w:r>
      <w:r w:rsidR="00C92174">
        <w:rPr>
          <w:rFonts w:eastAsia="Calibri"/>
        </w:rPr>
        <w:t xml:space="preserve">-19, докато през първото тримесечие на 2021 г. тези разходи са съществени, и от друга страна – </w:t>
      </w:r>
      <w:r w:rsidR="00122F3A">
        <w:rPr>
          <w:rFonts w:eastAsia="Calibri"/>
        </w:rPr>
        <w:t>с</w:t>
      </w:r>
      <w:r w:rsidR="00C92174">
        <w:rPr>
          <w:rFonts w:eastAsia="Calibri"/>
        </w:rPr>
        <w:t xml:space="preserve"> политиката по доходите и политиките в социалната сфера, заложени в одобрения ЗДБРБ за 2021 г.</w:t>
      </w:r>
    </w:p>
    <w:p w:rsidR="00661BE3" w:rsidRPr="006D5D56" w:rsidRDefault="00C92174" w:rsidP="00C92174">
      <w:pPr>
        <w:tabs>
          <w:tab w:val="left" w:pos="426"/>
        </w:tabs>
        <w:spacing w:before="120" w:after="120"/>
        <w:contextualSpacing/>
        <w:jc w:val="both"/>
        <w:rPr>
          <w:color w:val="4F81BD" w:themeColor="accent1"/>
          <w:szCs w:val="20"/>
        </w:rPr>
      </w:pPr>
      <w:r w:rsidRPr="006458CF">
        <w:rPr>
          <w:rFonts w:eastAsia="Calibri"/>
        </w:rPr>
        <w:t xml:space="preserve">Съществен принос за нарастването на разходите през първото тримесечие на 2021 г. имат разходите, свързани с мерките за борба с COVID-19 и преодоляване на социално-икономическите последствия от пандемията. Принос за нарастване на разходите за субсидии за </w:t>
      </w:r>
      <w:r w:rsidRPr="00B17406">
        <w:rPr>
          <w:rFonts w:eastAsia="Calibri"/>
        </w:rPr>
        <w:t>нефинансови</w:t>
      </w:r>
      <w:r w:rsidRPr="00D40081">
        <w:rPr>
          <w:rFonts w:eastAsia="Calibri"/>
        </w:rPr>
        <w:t xml:space="preserve"> </w:t>
      </w:r>
      <w:r w:rsidRPr="006458CF">
        <w:rPr>
          <w:rFonts w:eastAsia="Calibri"/>
        </w:rPr>
        <w:t xml:space="preserve">предприятия имат плащанията по мярката „60/40“, мярката „80/20“, мярката „Запази ме“, мярката „Подкрепа чрез оборотен капитал за малки и средни предприятия, засегнати от временните противоепидемични мерки“, администрирана от НАП, и други. В частта на разходите за пенсии са изразходени близо 314,2 млн. лв. за добавки в размер на 50 лева към пенсиите на всички пенсионери за месеците от януари до март. Наред с това влияние върху разходите за пенсии оказва и увеличението на размера на минималната пенсия за осигурителен стаж и възраст и на максималния размер на пенсията от началото на годината, както и базов ефект от увеличението на пенсиите през юли 2020 г. В частта на здравноосигурителните разходи се отчита нарастване, свързано с по-високите разходи за борба с пандемията и въведените механизми за финансиране на здравните заведения по време на действието на извънредна епидемиологична обстановка, вкл. разходи за медикаменти, тестове, консумативи и предпазни средства, </w:t>
      </w:r>
      <w:r w:rsidRPr="00655B08">
        <w:rPr>
          <w:rFonts w:eastAsia="Calibri"/>
        </w:rPr>
        <w:t xml:space="preserve">разходи </w:t>
      </w:r>
      <w:r w:rsidRPr="006458CF">
        <w:rPr>
          <w:rFonts w:eastAsia="Calibri"/>
        </w:rPr>
        <w:t xml:space="preserve">за подкрепа на персонала на първа линия в борбата с COVID-19 (допълнително месечно възнаграждение в размер на 1 000 лв.), заплащане на изпълнителите на медицинска помощ за поставяне на ваксини срещу COVID-19, месечна добавка към възнагражденията на лекарите в размер на 600 лв., на специалисти от професионално направление „Здравни грижи“ в размер на 360 лв. и на санитари в размер на 120 лв. и други. </w:t>
      </w:r>
      <w:r w:rsidRPr="00E27951">
        <w:rPr>
          <w:rFonts w:eastAsia="Calibri"/>
        </w:rPr>
        <w:t xml:space="preserve">В частта на капиталовите разходи и разходите за издръжка също се отчита ръст спрямо същия период на предходната година, като това се дължи на извършени плащания по инвестиционни проекти на Българската армия, ремонти на </w:t>
      </w:r>
      <w:r w:rsidRPr="008E3C48">
        <w:rPr>
          <w:rFonts w:eastAsia="Calibri"/>
        </w:rPr>
        <w:t>пътни инфраструктурни обекти, зимно поддържане на републиканската пътна мрежа и други</w:t>
      </w:r>
      <w:r w:rsidR="00661BE3" w:rsidRPr="008E3C48">
        <w:rPr>
          <w:color w:val="4F81BD" w:themeColor="accent1"/>
          <w:szCs w:val="20"/>
        </w:rPr>
        <w:t>.</w:t>
      </w:r>
      <w:r w:rsidR="00661BE3" w:rsidRPr="006D5D56">
        <w:rPr>
          <w:color w:val="4F81BD" w:themeColor="accent1"/>
          <w:szCs w:val="20"/>
        </w:rPr>
        <w:t xml:space="preserve"> </w:t>
      </w:r>
    </w:p>
    <w:p w:rsidR="00661BE3" w:rsidRPr="006D5D56" w:rsidRDefault="00661BE3" w:rsidP="00661BE3">
      <w:pPr>
        <w:spacing w:before="240" w:after="120"/>
        <w:jc w:val="both"/>
        <w:rPr>
          <w:color w:val="4F81BD" w:themeColor="accent1"/>
        </w:rPr>
      </w:pPr>
      <w:r w:rsidRPr="007664FC">
        <w:rPr>
          <w:b/>
          <w:i/>
        </w:rPr>
        <w:t>Нелихвените разходи</w:t>
      </w:r>
      <w:r w:rsidRPr="007664FC">
        <w:t xml:space="preserve"> са в размер на 11 169,5 млн. лв., което представлява 22,3 % от годишния разчет. </w:t>
      </w:r>
      <w:r w:rsidRPr="007664FC">
        <w:rPr>
          <w:i/>
        </w:rPr>
        <w:t>Текущите нелихвени разходи</w:t>
      </w:r>
      <w:r w:rsidRPr="007664FC">
        <w:t xml:space="preserve"> са в размер на 10 349,4 млн. лева. </w:t>
      </w:r>
      <w:r w:rsidRPr="007664FC">
        <w:rPr>
          <w:i/>
        </w:rPr>
        <w:t>Капиталовите разходи</w:t>
      </w:r>
      <w:r w:rsidRPr="007664FC">
        <w:t xml:space="preserve"> (вкл. нетния прираст на държавния резерв) възлизат на 813,6 млн. </w:t>
      </w:r>
      <w:r w:rsidRPr="007664FC">
        <w:lastRenderedPageBreak/>
        <w:t xml:space="preserve">лева. </w:t>
      </w:r>
      <w:r w:rsidRPr="007664FC">
        <w:rPr>
          <w:i/>
        </w:rPr>
        <w:t>Предоставените текущи и капиталови трансфери за чужбина</w:t>
      </w:r>
      <w:r w:rsidRPr="007664FC">
        <w:t xml:space="preserve"> са в размер на 6,5 млн. лева. </w:t>
      </w:r>
      <w:r w:rsidRPr="007664FC">
        <w:rPr>
          <w:b/>
          <w:i/>
        </w:rPr>
        <w:t>Лихвените плащания</w:t>
      </w:r>
      <w:r w:rsidRPr="007664FC">
        <w:t xml:space="preserve"> са в размер на 318,8 млн. лв. (48,5 % от планираните за 2021 година).</w:t>
      </w:r>
    </w:p>
    <w:p w:rsidR="00303B0B" w:rsidRPr="00571A56" w:rsidRDefault="00B13128" w:rsidP="00303B0B">
      <w:pPr>
        <w:spacing w:after="120"/>
        <w:jc w:val="both"/>
      </w:pPr>
      <w:r w:rsidRPr="00303B0B">
        <w:rPr>
          <w:b/>
          <w:szCs w:val="20"/>
        </w:rPr>
        <w:t>Частта от вноската на Република България в общия бюджет на ЕС</w:t>
      </w:r>
      <w:r w:rsidRPr="00303B0B">
        <w:rPr>
          <w:szCs w:val="20"/>
        </w:rPr>
        <w:t xml:space="preserve">, </w:t>
      </w:r>
      <w:r w:rsidR="00303B0B" w:rsidRPr="00303B0B">
        <w:t>изплатена към</w:t>
      </w:r>
      <w:r w:rsidR="00303B0B" w:rsidRPr="00571A56">
        <w:t xml:space="preserve"> 31.03.2021 г. от централния бюджет, възлиза на </w:t>
      </w:r>
      <w:r w:rsidR="00303B0B" w:rsidRPr="00571A56">
        <w:rPr>
          <w:b/>
        </w:rPr>
        <w:t>479,3 млн. лв.</w:t>
      </w:r>
      <w:r w:rsidR="00303B0B" w:rsidRPr="00571A56">
        <w:t xml:space="preserve">, </w:t>
      </w:r>
      <w:r w:rsidR="00303B0B" w:rsidRPr="00571A56">
        <w:rPr>
          <w:rFonts w:eastAsia="Calibri"/>
        </w:rPr>
        <w:t>което е в изпълнение на действащото към момента законодателство в областта на собствените ресурси на ЕС</w:t>
      </w:r>
      <w:r w:rsidR="00303B0B">
        <w:t xml:space="preserve">. </w:t>
      </w:r>
      <w:r w:rsidR="00303B0B">
        <w:rPr>
          <w:rFonts w:eastAsia="Calibri"/>
        </w:rPr>
        <w:t>Съпоставено с първото тримесечие на предходната година показателят отчита ръст от 28,3 на сто (105,6 млн. лв.).</w:t>
      </w:r>
    </w:p>
    <w:p w:rsidR="00B13128" w:rsidRPr="002C079D" w:rsidRDefault="002C079D" w:rsidP="00303B0B">
      <w:pPr>
        <w:spacing w:after="120"/>
        <w:jc w:val="both"/>
        <w:rPr>
          <w:lang w:eastAsia="bg-BG"/>
        </w:rPr>
      </w:pPr>
      <w:r w:rsidRPr="002C079D">
        <w:rPr>
          <w:b/>
        </w:rPr>
        <w:t>Бюджетното салдо</w:t>
      </w:r>
      <w:r w:rsidRPr="002C079D">
        <w:rPr>
          <w:bCs/>
        </w:rPr>
        <w:t xml:space="preserve"> по консолидираната фискална програма </w:t>
      </w:r>
      <w:r w:rsidRPr="002C079D">
        <w:t>към март 2021</w:t>
      </w:r>
      <w:r w:rsidRPr="002C079D">
        <w:rPr>
          <w:bCs/>
        </w:rPr>
        <w:t xml:space="preserve"> г. е </w:t>
      </w:r>
      <w:r w:rsidRPr="002C079D">
        <w:rPr>
          <w:b/>
          <w:bCs/>
        </w:rPr>
        <w:t>отрицателно</w:t>
      </w:r>
      <w:r w:rsidRPr="002C079D">
        <w:rPr>
          <w:bCs/>
        </w:rPr>
        <w:t xml:space="preserve"> в размер на </w:t>
      </w:r>
      <w:r w:rsidRPr="002C079D">
        <w:rPr>
          <w:b/>
          <w:bCs/>
        </w:rPr>
        <w:t xml:space="preserve">619,4 </w:t>
      </w:r>
      <w:r w:rsidRPr="002C079D">
        <w:rPr>
          <w:b/>
        </w:rPr>
        <w:t>млн. лв.</w:t>
      </w:r>
      <w:r w:rsidRPr="002C079D">
        <w:t xml:space="preserve"> </w:t>
      </w:r>
      <w:r w:rsidRPr="002C079D">
        <w:rPr>
          <w:rFonts w:eastAsia="Calibri"/>
        </w:rPr>
        <w:t>(0,</w:t>
      </w:r>
      <w:r w:rsidRPr="00D40081">
        <w:rPr>
          <w:rFonts w:eastAsia="Calibri"/>
        </w:rPr>
        <w:t>5</w:t>
      </w:r>
      <w:r w:rsidRPr="002C079D">
        <w:rPr>
          <w:rFonts w:eastAsia="Calibri"/>
        </w:rPr>
        <w:t xml:space="preserve"> % от прогнозния БВП) </w:t>
      </w:r>
      <w:r w:rsidRPr="002C079D">
        <w:t xml:space="preserve">и </w:t>
      </w:r>
      <w:r w:rsidRPr="002C079D">
        <w:rPr>
          <w:bCs/>
        </w:rPr>
        <w:t xml:space="preserve">се формира от </w:t>
      </w:r>
      <w:r w:rsidRPr="002C079D">
        <w:t>дефицит по националния бюджет в размер на 582,3 млн. лв. и дефицит по европейските средства в размер на 37,1 млн. лева</w:t>
      </w:r>
      <w:r w:rsidR="00B13128" w:rsidRPr="002C079D">
        <w:rPr>
          <w:lang w:eastAsia="bg-BG"/>
        </w:rPr>
        <w:t>.</w:t>
      </w:r>
    </w:p>
    <w:p w:rsidR="00B13128" w:rsidRPr="002C079D" w:rsidRDefault="002C079D" w:rsidP="002B6BB4">
      <w:pPr>
        <w:numPr>
          <w:ilvl w:val="0"/>
          <w:numId w:val="9"/>
        </w:numPr>
        <w:tabs>
          <w:tab w:val="num" w:pos="0"/>
          <w:tab w:val="left" w:pos="426"/>
          <w:tab w:val="left" w:pos="720"/>
        </w:tabs>
        <w:spacing w:before="240" w:after="60"/>
        <w:ind w:left="0" w:firstLine="0"/>
        <w:jc w:val="both"/>
        <w:rPr>
          <w:color w:val="4F81BD" w:themeColor="accent1"/>
          <w:sz w:val="22"/>
        </w:rPr>
      </w:pPr>
      <w:r w:rsidRPr="002C079D">
        <w:rPr>
          <w:b/>
          <w:szCs w:val="28"/>
        </w:rPr>
        <w:t>Общият размер</w:t>
      </w:r>
      <w:r w:rsidRPr="002C079D">
        <w:rPr>
          <w:bCs/>
          <w:sz w:val="22"/>
        </w:rPr>
        <w:t xml:space="preserve"> </w:t>
      </w:r>
      <w:r w:rsidRPr="002C079D">
        <w:rPr>
          <w:b/>
          <w:bCs/>
          <w:szCs w:val="28"/>
        </w:rPr>
        <w:t>на касовите постъпления от ЕС</w:t>
      </w:r>
      <w:r w:rsidRPr="002C079D">
        <w:rPr>
          <w:bCs/>
          <w:szCs w:val="28"/>
        </w:rPr>
        <w:t xml:space="preserve"> (от Структурните и Кохезионния фондове, от</w:t>
      </w:r>
      <w:r w:rsidRPr="002C079D">
        <w:rPr>
          <w:szCs w:val="28"/>
        </w:rPr>
        <w:t xml:space="preserve"> ЕЗФРСР и ЕФР</w:t>
      </w:r>
      <w:r w:rsidRPr="002C079D">
        <w:rPr>
          <w:bCs/>
          <w:szCs w:val="28"/>
        </w:rPr>
        <w:t xml:space="preserve">, от средства за директни плащания към земеделските производители и плащания по пазарни мерки и др.) за </w:t>
      </w:r>
      <w:r w:rsidRPr="002C079D">
        <w:rPr>
          <w:szCs w:val="28"/>
        </w:rPr>
        <w:t>първото тримесечие на 2021</w:t>
      </w:r>
      <w:r w:rsidRPr="002C079D">
        <w:rPr>
          <w:bCs/>
          <w:szCs w:val="28"/>
        </w:rPr>
        <w:t xml:space="preserve"> г. е </w:t>
      </w:r>
      <w:r w:rsidRPr="00D40081">
        <w:rPr>
          <w:b/>
          <w:bCs/>
          <w:szCs w:val="28"/>
        </w:rPr>
        <w:t>1</w:t>
      </w:r>
      <w:r w:rsidRPr="002C079D">
        <w:rPr>
          <w:b/>
          <w:bCs/>
          <w:szCs w:val="28"/>
        </w:rPr>
        <w:t> 635,1</w:t>
      </w:r>
      <w:r w:rsidR="006E0181">
        <w:rPr>
          <w:b/>
          <w:bCs/>
          <w:szCs w:val="28"/>
        </w:rPr>
        <w:t> </w:t>
      </w:r>
      <w:r w:rsidRPr="002C079D">
        <w:rPr>
          <w:b/>
          <w:bCs/>
          <w:szCs w:val="28"/>
        </w:rPr>
        <w:t>млн. лв.</w:t>
      </w:r>
      <w:r w:rsidRPr="002C079D">
        <w:rPr>
          <w:b/>
          <w:szCs w:val="28"/>
        </w:rPr>
        <w:t xml:space="preserve"> </w:t>
      </w:r>
      <w:r w:rsidRPr="002C079D">
        <w:rPr>
          <w:b/>
          <w:bCs/>
          <w:szCs w:val="28"/>
        </w:rPr>
        <w:t xml:space="preserve">Нетните постъпления от ЕС към 31.03.2021 г. </w:t>
      </w:r>
      <w:r w:rsidRPr="002C079D">
        <w:rPr>
          <w:bCs/>
          <w:szCs w:val="28"/>
        </w:rPr>
        <w:t xml:space="preserve">(касови постъпления от ЕС, намалени с вноската в общия бюджет на ЕС) са положителни в размер на </w:t>
      </w:r>
      <w:r w:rsidRPr="00D40081">
        <w:rPr>
          <w:b/>
          <w:bCs/>
          <w:szCs w:val="28"/>
        </w:rPr>
        <w:t>1</w:t>
      </w:r>
      <w:r w:rsidRPr="002C079D">
        <w:rPr>
          <w:bCs/>
          <w:szCs w:val="28"/>
        </w:rPr>
        <w:t> </w:t>
      </w:r>
      <w:r w:rsidRPr="002C079D">
        <w:rPr>
          <w:b/>
          <w:bCs/>
          <w:szCs w:val="28"/>
        </w:rPr>
        <w:t>155,9 млн. лева</w:t>
      </w:r>
      <w:r w:rsidR="00B13128" w:rsidRPr="002C079D">
        <w:rPr>
          <w:color w:val="4F81BD" w:themeColor="accent1"/>
          <w:sz w:val="22"/>
        </w:rPr>
        <w:t>.</w:t>
      </w:r>
    </w:p>
    <w:p w:rsidR="00B13128" w:rsidRPr="00572252" w:rsidRDefault="00B13128" w:rsidP="00B13128">
      <w:pPr>
        <w:numPr>
          <w:ilvl w:val="2"/>
          <w:numId w:val="17"/>
        </w:numPr>
        <w:tabs>
          <w:tab w:val="left" w:pos="426"/>
        </w:tabs>
        <w:spacing w:before="120" w:after="120"/>
        <w:ind w:left="0" w:firstLine="0"/>
        <w:jc w:val="both"/>
        <w:rPr>
          <w:sz w:val="8"/>
          <w:szCs w:val="8"/>
        </w:rPr>
      </w:pPr>
      <w:r w:rsidRPr="00572252">
        <w:rPr>
          <w:b/>
        </w:rPr>
        <w:t>Фискалният резерв</w:t>
      </w:r>
      <w:r w:rsidRPr="00572252">
        <w:rPr>
          <w:b/>
          <w:bCs/>
          <w:vertAlign w:val="superscript"/>
          <w:lang w:eastAsia="bg-BG"/>
        </w:rPr>
        <w:footnoteReference w:id="5"/>
      </w:r>
      <w:r w:rsidRPr="00572252">
        <w:rPr>
          <w:bCs/>
          <w:lang w:eastAsia="bg-BG"/>
        </w:rPr>
        <w:t xml:space="preserve"> към </w:t>
      </w:r>
      <w:r w:rsidR="006C57B2" w:rsidRPr="00572252">
        <w:rPr>
          <w:bCs/>
        </w:rPr>
        <w:t>31.03.202</w:t>
      </w:r>
      <w:r w:rsidR="00572252" w:rsidRPr="00572252">
        <w:rPr>
          <w:bCs/>
        </w:rPr>
        <w:t>1</w:t>
      </w:r>
      <w:r w:rsidRPr="00572252">
        <w:rPr>
          <w:bCs/>
        </w:rPr>
        <w:t xml:space="preserve"> г. е </w:t>
      </w:r>
      <w:r w:rsidR="00572252" w:rsidRPr="00572252">
        <w:rPr>
          <w:b/>
          <w:bCs/>
        </w:rPr>
        <w:t>7,9 млрд. лв.</w:t>
      </w:r>
      <w:r w:rsidR="00572252" w:rsidRPr="00572252">
        <w:rPr>
          <w:bCs/>
        </w:rPr>
        <w:t>, в т.ч. 7,8 млрд. лв. депозити на фискалния резерв в БНБ и банки и 0,1 млрд. лв. вземания от фондовете на Европейския съюз за сертифицирани разходи, аванси и други</w:t>
      </w:r>
      <w:r w:rsidRPr="00572252">
        <w:rPr>
          <w:bCs/>
          <w:lang w:eastAsia="bg-BG"/>
        </w:rPr>
        <w:t>.</w:t>
      </w:r>
      <w:r w:rsidRPr="00572252">
        <w:rPr>
          <w:bCs/>
        </w:rPr>
        <w:t xml:space="preserve"> </w:t>
      </w:r>
    </w:p>
    <w:p w:rsidR="002E2C27" w:rsidRPr="001B1C70" w:rsidRDefault="002E2C27" w:rsidP="008D4831">
      <w:pPr>
        <w:keepNext/>
        <w:numPr>
          <w:ilvl w:val="0"/>
          <w:numId w:val="10"/>
        </w:numPr>
        <w:tabs>
          <w:tab w:val="clear" w:pos="532"/>
          <w:tab w:val="num" w:pos="709"/>
        </w:tabs>
        <w:spacing w:before="240"/>
        <w:ind w:left="709" w:right="-108" w:hanging="391"/>
        <w:jc w:val="both"/>
        <w:outlineLvl w:val="0"/>
        <w:rPr>
          <w:b/>
          <w:bCs/>
        </w:rPr>
      </w:pPr>
      <w:r w:rsidRPr="001B1C70">
        <w:rPr>
          <w:b/>
          <w:bCs/>
        </w:rPr>
        <w:t>Промени в данъчното законодателство за 202</w:t>
      </w:r>
      <w:r w:rsidR="001B1C70" w:rsidRPr="00D40081">
        <w:rPr>
          <w:b/>
          <w:bCs/>
        </w:rPr>
        <w:t>1</w:t>
      </w:r>
      <w:r w:rsidRPr="001B1C70">
        <w:rPr>
          <w:b/>
          <w:bCs/>
        </w:rPr>
        <w:t xml:space="preserve"> г.</w:t>
      </w:r>
    </w:p>
    <w:p w:rsidR="006678C9" w:rsidRPr="006678C9" w:rsidRDefault="006678C9" w:rsidP="000833A2">
      <w:pPr>
        <w:spacing w:before="120" w:after="120"/>
        <w:ind w:right="-45" w:firstLine="709"/>
        <w:jc w:val="both"/>
        <w:rPr>
          <w:lang w:eastAsia="bg-BG"/>
        </w:rPr>
      </w:pPr>
      <w:r w:rsidRPr="006678C9">
        <w:rPr>
          <w:lang w:eastAsia="bg-BG"/>
        </w:rPr>
        <w:t xml:space="preserve">Приетите изменения в данъчното законодателство за 2021 г. са свързани с реализиране на мерки за оптимизиране на контролната дейност на приходните администрации и подобряване на събираемостта, намаляване на административната тежест и разходите за бизнеса и гражданите. С промените се извършва привеждане на разпоредбите на националното законодателство в съответствие с европейски директиви и с решения на Съда на Европейския съюз. Направено е прецизиране в нормативната уредба във връзка с възникнали несъответствия при единното тълкуване и практическото прилагане на данъчните закони. </w:t>
      </w:r>
    </w:p>
    <w:p w:rsidR="006678C9" w:rsidRPr="006678C9" w:rsidRDefault="006678C9" w:rsidP="006678C9">
      <w:pPr>
        <w:widowControl w:val="0"/>
        <w:suppressAutoHyphens/>
        <w:spacing w:after="120"/>
        <w:ind w:right="-39" w:firstLine="709"/>
        <w:jc w:val="both"/>
        <w:rPr>
          <w:rFonts w:eastAsia="DejaVu Sans"/>
          <w:bCs/>
          <w:kern w:val="1"/>
          <w:lang w:eastAsia="hi-IN" w:bidi="hi-IN"/>
        </w:rPr>
      </w:pPr>
      <w:r w:rsidRPr="006678C9">
        <w:rPr>
          <w:b/>
          <w:u w:val="single"/>
        </w:rPr>
        <w:t>Промени в Закона за данък върху добавената стойност</w:t>
      </w:r>
    </w:p>
    <w:p w:rsidR="006678C9" w:rsidRPr="006678C9" w:rsidRDefault="006678C9" w:rsidP="006678C9">
      <w:pPr>
        <w:numPr>
          <w:ilvl w:val="0"/>
          <w:numId w:val="49"/>
        </w:numPr>
        <w:spacing w:before="120" w:after="200"/>
        <w:jc w:val="both"/>
        <w:rPr>
          <w:b/>
          <w:i/>
        </w:rPr>
      </w:pPr>
      <w:r w:rsidRPr="006678C9">
        <w:rPr>
          <w:b/>
          <w:i/>
        </w:rPr>
        <w:t>Механизъм за обратно начисляване на ДДС при доставки на стоки и услуги, посочени в приложение № 2 към глава деветнадесета „а“ от ЗДДС</w:t>
      </w:r>
    </w:p>
    <w:p w:rsidR="006678C9" w:rsidRPr="006678C9" w:rsidRDefault="006678C9" w:rsidP="006678C9">
      <w:pPr>
        <w:spacing w:before="120" w:after="200"/>
        <w:jc w:val="both"/>
      </w:pPr>
      <w:r w:rsidRPr="006678C9">
        <w:t>Механизмът за обратно начисляване на ДДС представлява ефективен инструмент за противодействие и борба с данъчните измами с ДДС за определени категории стоки. След първоначалното въвеждане на механизма, се наблюдава значителен спад на нивото на данъчните измами с ДДС при доставките на зърнени и технически култури. Поради това е прието удължаване на срока за прилагане на мярката до 30.06.2022 година. От началото на 2020 г. е разширен списъкът със стоки, за които се прилага механизма за обратно начисляване на ДДС, като в него са включени и доставките по прехвърляне на квоти за емисии на парникови газове (ДВ, бр. 18 от 2020 г., в сила до 30.06.2022 г.).</w:t>
      </w:r>
    </w:p>
    <w:p w:rsidR="006678C9" w:rsidRPr="006678C9" w:rsidRDefault="006678C9" w:rsidP="006678C9">
      <w:pPr>
        <w:numPr>
          <w:ilvl w:val="0"/>
          <w:numId w:val="46"/>
        </w:numPr>
        <w:spacing w:before="120" w:after="200"/>
        <w:jc w:val="both"/>
        <w:rPr>
          <w:b/>
          <w:i/>
          <w:iCs/>
        </w:rPr>
      </w:pPr>
      <w:r w:rsidRPr="006678C9">
        <w:rPr>
          <w:b/>
          <w:i/>
          <w:iCs/>
        </w:rPr>
        <w:t>Въвеждане на разпоредби на Директива (ЕС) 2017/2455 и Директива (ЕС) 2019/1995, приложими за трансгранична електронна търговия между данъчно задължени и данъчно незадължени лица</w:t>
      </w:r>
    </w:p>
    <w:p w:rsidR="006678C9" w:rsidRPr="006678C9" w:rsidRDefault="006678C9" w:rsidP="006678C9">
      <w:pPr>
        <w:spacing w:before="120"/>
        <w:jc w:val="both"/>
        <w:rPr>
          <w:iCs/>
        </w:rPr>
      </w:pPr>
      <w:r w:rsidRPr="006678C9">
        <w:rPr>
          <w:iCs/>
        </w:rPr>
        <w:t xml:space="preserve">Разпоредбите на Директива 2017/2455 и Директива 2019/1995 целят подобряване функционирането на режима на ДДС, прилаган в рамките на целия Европейски съюз, в </w:t>
      </w:r>
      <w:r w:rsidRPr="006678C9">
        <w:rPr>
          <w:iCs/>
        </w:rPr>
        <w:lastRenderedPageBreak/>
        <w:t>контекста на доставките на услуги и дистанционните продажби на стоки, и вноса на пратки с ниска стойност. Въвеждат се нови разпоредби, които обхващат следните доставки:</w:t>
      </w:r>
    </w:p>
    <w:p w:rsidR="006678C9" w:rsidRPr="006678C9" w:rsidRDefault="006678C9" w:rsidP="006678C9">
      <w:pPr>
        <w:numPr>
          <w:ilvl w:val="0"/>
          <w:numId w:val="48"/>
        </w:numPr>
        <w:spacing w:before="120" w:after="200"/>
        <w:jc w:val="both"/>
        <w:rPr>
          <w:i/>
          <w:iCs/>
        </w:rPr>
      </w:pPr>
      <w:r w:rsidRPr="006678C9">
        <w:rPr>
          <w:i/>
          <w:iCs/>
        </w:rPr>
        <w:t>Вътреобщностни дистанционни продажби на стоки</w:t>
      </w:r>
    </w:p>
    <w:p w:rsidR="006678C9" w:rsidRPr="006678C9" w:rsidRDefault="006678C9" w:rsidP="006678C9">
      <w:pPr>
        <w:spacing w:before="120"/>
        <w:jc w:val="both"/>
        <w:rPr>
          <w:iCs/>
        </w:rPr>
      </w:pPr>
      <w:r w:rsidRPr="006678C9">
        <w:rPr>
          <w:iCs/>
        </w:rPr>
        <w:t>Вътреобщностни дистанционни продажби на стоки са изпращането или транспортирането на стоките, извършено от доставчика или от негово име, от територията на държава членка, различна от тази, в която завършва изпращането или транспортирането на стоките до данъчно незадължено лице, в т.ч. данъчно задължено лице и данъчно незадължено юридическо лице, което извършва освободени вътреобщностни придобивания. Стоките следва да са произведени на територията на ЕС или вече да са допуснати за свободно обращение.</w:t>
      </w:r>
    </w:p>
    <w:p w:rsidR="006678C9" w:rsidRPr="006678C9" w:rsidRDefault="006678C9" w:rsidP="006678C9">
      <w:pPr>
        <w:numPr>
          <w:ilvl w:val="0"/>
          <w:numId w:val="48"/>
        </w:numPr>
        <w:spacing w:before="120" w:after="200"/>
        <w:jc w:val="both"/>
        <w:rPr>
          <w:i/>
          <w:iCs/>
        </w:rPr>
      </w:pPr>
      <w:r w:rsidRPr="006678C9">
        <w:rPr>
          <w:i/>
          <w:iCs/>
        </w:rPr>
        <w:t xml:space="preserve">Дистанционни продажби на стоки внасяни от трети страни или територии </w:t>
      </w:r>
    </w:p>
    <w:p w:rsidR="006678C9" w:rsidRPr="006678C9" w:rsidRDefault="006678C9" w:rsidP="006678C9">
      <w:pPr>
        <w:spacing w:before="120"/>
        <w:jc w:val="both"/>
        <w:rPr>
          <w:iCs/>
        </w:rPr>
      </w:pPr>
      <w:r w:rsidRPr="006678C9">
        <w:rPr>
          <w:iCs/>
        </w:rPr>
        <w:t>Дистанционни продажби на стоки, внасяни от трети страни или територии, са изпращането или транспортирането на стоките от доставчика или от негово име, включително от трети територии или трети страни, до получател в държава членка. Получателят по доставката е данъчно незадължено лице, в т.ч. данъчно задължено лице и данъчно незадължено юридическо лице, което извършва освободени вътреобщностни придобивания. В тези случаи стоките следва да се намират на територията на трета страна или територия в момента на продажбата.</w:t>
      </w:r>
    </w:p>
    <w:p w:rsidR="006678C9" w:rsidRPr="006678C9" w:rsidRDefault="006678C9" w:rsidP="006678C9">
      <w:pPr>
        <w:numPr>
          <w:ilvl w:val="0"/>
          <w:numId w:val="48"/>
        </w:numPr>
        <w:spacing w:before="120" w:after="200"/>
        <w:jc w:val="both"/>
        <w:rPr>
          <w:i/>
          <w:iCs/>
        </w:rPr>
      </w:pPr>
      <w:r w:rsidRPr="006678C9">
        <w:rPr>
          <w:i/>
          <w:iCs/>
        </w:rPr>
        <w:t xml:space="preserve">Вътрешни дистанционни продажби </w:t>
      </w:r>
    </w:p>
    <w:p w:rsidR="006678C9" w:rsidRPr="006678C9" w:rsidRDefault="006678C9" w:rsidP="006678C9">
      <w:pPr>
        <w:spacing w:before="120"/>
        <w:jc w:val="both"/>
        <w:rPr>
          <w:iCs/>
        </w:rPr>
      </w:pPr>
      <w:r w:rsidRPr="006678C9">
        <w:rPr>
          <w:iCs/>
        </w:rPr>
        <w:t xml:space="preserve">Вътрешни дистанционни продажби са продажбите на стоки от данъчно задължено лице, което не е установено на територията на ЕС на стоки, произведени на територията на ЕС или на стоки вече допуснати за свободно обращение, изпращането или транспортирането на които започва и завършва на територията на една и съща държава членка. </w:t>
      </w:r>
    </w:p>
    <w:p w:rsidR="006678C9" w:rsidRPr="006678C9" w:rsidRDefault="006678C9" w:rsidP="006678C9">
      <w:pPr>
        <w:numPr>
          <w:ilvl w:val="0"/>
          <w:numId w:val="48"/>
        </w:numPr>
        <w:spacing w:before="120" w:after="200"/>
        <w:jc w:val="both"/>
        <w:rPr>
          <w:i/>
          <w:iCs/>
        </w:rPr>
      </w:pPr>
      <w:r w:rsidRPr="006678C9">
        <w:rPr>
          <w:i/>
          <w:iCs/>
        </w:rPr>
        <w:t xml:space="preserve">Доставки, улеснявани от лице, което управлява електронен интерфейс </w:t>
      </w:r>
    </w:p>
    <w:p w:rsidR="006678C9" w:rsidRPr="006678C9" w:rsidRDefault="006678C9" w:rsidP="006678C9">
      <w:pPr>
        <w:spacing w:before="120"/>
        <w:jc w:val="both"/>
        <w:rPr>
          <w:iCs/>
        </w:rPr>
      </w:pPr>
      <w:r w:rsidRPr="006678C9">
        <w:rPr>
          <w:iCs/>
        </w:rPr>
        <w:t xml:space="preserve">Данъчно задължено лице, което управлява електронен интерфейс се счита, че улеснява доставката на стоки, когато използването на електронния интерфейс позволява на получател и на доставчик, предлагащ стоки за продажба, да осъществят контакт, който води до доставка на стоки чрез този електронен интерфейс. </w:t>
      </w:r>
    </w:p>
    <w:p w:rsidR="006678C9" w:rsidRPr="006678C9" w:rsidRDefault="006678C9" w:rsidP="006678C9">
      <w:pPr>
        <w:spacing w:before="120"/>
        <w:jc w:val="both"/>
        <w:rPr>
          <w:iCs/>
        </w:rPr>
      </w:pPr>
      <w:r w:rsidRPr="006678C9">
        <w:rPr>
          <w:iCs/>
        </w:rPr>
        <w:t>Лицето, което управлява електронен интерфейс, ще може да прилага както режим в Съюза за вътреобщностни дистанционни продажби на стоки и някои вътрешни дистанционни доставки на стоки, така и режим на дистанционни продажби на стоки, внасяни от трети страни или територии под формата на пратки със собствена стойност, ненадвишаваща левовата равностойност на 150 евро. При регистрацията за режим на дистанционни продажби на стоки, внасяни от трети страни или територии, лицето, което управлява електронен интерфейс ще получава един индивидуален идентификационен номер по ДДС, независимо от броя на лицата, на които улеснява дистанционната продажба на стоки. При прилагане и на двата режима, за лицето е предвидено да води и съхранява регистри за извършените през режима доставки. Лице, което управлява електронен интерфейс, но не улеснява посочените по-горе доставки също трябва да води и съхранява регистри за извършените през електронен интерфейс доставки.</w:t>
      </w:r>
    </w:p>
    <w:p w:rsidR="006678C9" w:rsidRPr="006678C9" w:rsidRDefault="006678C9" w:rsidP="006678C9">
      <w:pPr>
        <w:spacing w:before="120" w:after="200"/>
        <w:jc w:val="both"/>
        <w:rPr>
          <w:b/>
          <w:i/>
          <w:iCs/>
        </w:rPr>
      </w:pPr>
      <w:r w:rsidRPr="006678C9">
        <w:rPr>
          <w:iCs/>
        </w:rPr>
        <w:t>С измененията се цели да бъдат внесени подобрения и опростяване на някои правила в действащата система на ДДС, в контекста на доставките на услуги и дистанционните продажби на стоки и някои вътрешни доставки на стоки, с цел подобряване на събираемостта на приходите от данъка и облекчаване на административната тежест.</w:t>
      </w:r>
    </w:p>
    <w:p w:rsidR="006678C9" w:rsidRPr="006678C9" w:rsidRDefault="006678C9" w:rsidP="006678C9">
      <w:pPr>
        <w:numPr>
          <w:ilvl w:val="0"/>
          <w:numId w:val="46"/>
        </w:numPr>
        <w:spacing w:before="120" w:after="200"/>
        <w:jc w:val="both"/>
        <w:rPr>
          <w:b/>
          <w:i/>
          <w:iCs/>
        </w:rPr>
      </w:pPr>
      <w:r w:rsidRPr="006678C9">
        <w:rPr>
          <w:b/>
          <w:i/>
          <w:iCs/>
        </w:rPr>
        <w:t>Промени в чл. 118 на ЗДДС, насочени към отмяна на регулациите на софтуерите за управление на продажбите в търговски обекти (СУПТО)</w:t>
      </w:r>
    </w:p>
    <w:p w:rsidR="006678C9" w:rsidRPr="006678C9" w:rsidRDefault="006678C9" w:rsidP="006678C9">
      <w:pPr>
        <w:widowControl w:val="0"/>
        <w:suppressAutoHyphens/>
        <w:spacing w:after="120"/>
        <w:ind w:right="-39"/>
        <w:jc w:val="both"/>
        <w:rPr>
          <w:bCs/>
          <w:lang w:eastAsia="bg-BG"/>
        </w:rPr>
      </w:pPr>
      <w:r w:rsidRPr="006678C9">
        <w:rPr>
          <w:iCs/>
        </w:rPr>
        <w:t>Промяната е породена от установени след въвеждането на тези регулации, с ДВ, бр. 24 от 2018</w:t>
      </w:r>
      <w:r w:rsidR="00B45D1C">
        <w:rPr>
          <w:iCs/>
          <w:lang w:val="en-US"/>
        </w:rPr>
        <w:t> </w:t>
      </w:r>
      <w:r w:rsidRPr="006678C9">
        <w:rPr>
          <w:iCs/>
        </w:rPr>
        <w:t xml:space="preserve">г., проблеми при въвеждане на изискванията на Наредба № Н-18, на които следва да </w:t>
      </w:r>
      <w:r w:rsidRPr="006678C9">
        <w:rPr>
          <w:iCs/>
        </w:rPr>
        <w:lastRenderedPageBreak/>
        <w:t xml:space="preserve">отговарят СУПТО, затрудняващи дейността на стопанските субекти и водещи до противоречиви тълкувания от страна на администрацията и бизнеса. </w:t>
      </w:r>
      <w:r w:rsidRPr="006678C9">
        <w:t>Измененията на чл. 118 целят облекчаване на бизнеса при прилагането на законовите и подзаконови изисквания за отчитане на продажбите в търговските обекти чрез намаляване на административната тежест, свързана с изпълнението на изискванията за работа на СУПТО. С оглед насърчаване на доброволното спазване на данъчно-осигурителното законодателство, е запазено използването на СУПТО, но като доброволна мярка и възможност за избор от страна на търговеца. За стимулиране на неговото използване и за гарантиране на вече направените от търговците инвестиции по въвеждане на СУПТО, за лицата са предвидени следните облекчения – възможност за ускорено възстановяване на данъчен кредит по ЗДДС, неналагане на принудителна административна мярка „запечатване на търговски обект” при първо нарушение за неиздаване на фискален бон, както и ускорена амортизация по ЗКПО на софтуера и хардуера, на който е инсталиран.</w:t>
      </w:r>
    </w:p>
    <w:p w:rsidR="006678C9" w:rsidRPr="006678C9" w:rsidRDefault="006678C9" w:rsidP="006678C9">
      <w:pPr>
        <w:widowControl w:val="0"/>
        <w:suppressAutoHyphens/>
        <w:spacing w:after="120"/>
        <w:ind w:right="-39" w:firstLine="709"/>
        <w:jc w:val="both"/>
        <w:rPr>
          <w:rFonts w:eastAsia="DejaVu Sans"/>
          <w:b/>
          <w:bCs/>
          <w:kern w:val="1"/>
          <w:u w:val="single"/>
          <w:lang w:eastAsia="hi-IN" w:bidi="hi-IN"/>
        </w:rPr>
      </w:pPr>
      <w:r w:rsidRPr="006678C9">
        <w:rPr>
          <w:rFonts w:eastAsia="DejaVu Sans"/>
          <w:b/>
          <w:bCs/>
          <w:kern w:val="1"/>
          <w:u w:val="single"/>
          <w:lang w:eastAsia="hi-IN" w:bidi="hi-IN"/>
        </w:rPr>
        <w:t>Промени в Закона за акцизите и данъчните складове</w:t>
      </w:r>
    </w:p>
    <w:p w:rsidR="006678C9" w:rsidRPr="006678C9" w:rsidRDefault="006678C9" w:rsidP="006678C9">
      <w:pPr>
        <w:numPr>
          <w:ilvl w:val="0"/>
          <w:numId w:val="46"/>
        </w:numPr>
        <w:spacing w:before="120" w:after="200"/>
        <w:jc w:val="both"/>
        <w:rPr>
          <w:b/>
          <w:i/>
          <w:iCs/>
        </w:rPr>
      </w:pPr>
      <w:r w:rsidRPr="006678C9">
        <w:rPr>
          <w:b/>
          <w:i/>
          <w:iCs/>
        </w:rPr>
        <w:t>Привеждане на националното законодателство в съответствие с практиката на Съда на ЕС, постановена с Решение С-306/2014 на Съда</w:t>
      </w:r>
    </w:p>
    <w:p w:rsidR="006678C9" w:rsidRPr="006678C9" w:rsidRDefault="006678C9" w:rsidP="006678C9">
      <w:pPr>
        <w:spacing w:before="120"/>
        <w:jc w:val="both"/>
        <w:rPr>
          <w:iCs/>
        </w:rPr>
      </w:pPr>
      <w:r w:rsidRPr="006678C9">
        <w:rPr>
          <w:iCs/>
        </w:rPr>
        <w:t xml:space="preserve">Направена е промяна, свързана с привеждане на националното законодателство в съответствие с практиката на Съда на ЕС по отношение на условията, при които се възстановява платеният акциз за етилов алкохол, вложен в производството на лекарствени продукти по смисъла на Закона за лекарствените продукти в хуманната медицина </w:t>
      </w:r>
      <w:r w:rsidRPr="006678C9">
        <w:t>и ветеринарномедицински продукти по смисъла на Закона за ветеринарномедицинската дейност</w:t>
      </w:r>
      <w:r w:rsidRPr="006678C9">
        <w:rPr>
          <w:iCs/>
        </w:rPr>
        <w:t xml:space="preserve">. </w:t>
      </w:r>
    </w:p>
    <w:p w:rsidR="006678C9" w:rsidRPr="006678C9" w:rsidRDefault="006678C9" w:rsidP="006678C9">
      <w:pPr>
        <w:numPr>
          <w:ilvl w:val="0"/>
          <w:numId w:val="46"/>
        </w:numPr>
        <w:spacing w:before="120" w:after="200"/>
        <w:jc w:val="both"/>
        <w:rPr>
          <w:iCs/>
        </w:rPr>
      </w:pPr>
      <w:r w:rsidRPr="006678C9">
        <w:rPr>
          <w:b/>
          <w:i/>
          <w:iCs/>
        </w:rPr>
        <w:t>Промени, свързани със специфичните изисквания за придобиване на лиценз за управление на данъчен склад на нефтопродуктопроводите и на базите за съхранение и/или производство на енергийни продукти в ЗАДС (обн., ДВ, бр. 44 от 2020 г.</w:t>
      </w:r>
      <w:r w:rsidRPr="006678C9">
        <w:rPr>
          <w:iCs/>
        </w:rPr>
        <w:t>)</w:t>
      </w:r>
    </w:p>
    <w:p w:rsidR="006678C9" w:rsidRPr="006678C9" w:rsidRDefault="006678C9" w:rsidP="006678C9">
      <w:pPr>
        <w:spacing w:after="200"/>
        <w:jc w:val="both"/>
        <w:rPr>
          <w:b/>
          <w:bCs/>
          <w:i/>
          <w:iCs/>
        </w:rPr>
      </w:pPr>
      <w:r w:rsidRPr="006678C9">
        <w:rPr>
          <w:iCs/>
        </w:rPr>
        <w:t>Въведени са законодателни промени в чл. 47, ал. 7-11 на Закона за акцизите и данъчните складове, с цел да се създаде нормативна възможност за водене на отделна отчетност на нефтопродуктопровода и на базите за съхранение и/или производство, като по този начин се улеснят контролните действия и възможността за извършване на инвентаризация на всеки един от данъчните складове, както и да се създаде възможност за установяване на количествата в нефтопродуктопровода и базите във всеки един момент. След промените по-ясно е дефинирана компетентността (компетентната териториална дирекция) за осъществяване на митническия контрол и за установяване на възникнали задължения за акциз, както и за спазване на изискванията на ЗАДС, респективно на евентуално установени нарушения.</w:t>
      </w:r>
    </w:p>
    <w:p w:rsidR="006678C9" w:rsidRPr="006678C9" w:rsidRDefault="006678C9" w:rsidP="006678C9">
      <w:pPr>
        <w:numPr>
          <w:ilvl w:val="0"/>
          <w:numId w:val="46"/>
        </w:numPr>
        <w:spacing w:after="200"/>
        <w:jc w:val="both"/>
        <w:rPr>
          <w:b/>
          <w:bCs/>
          <w:i/>
          <w:iCs/>
        </w:rPr>
      </w:pPr>
      <w:r w:rsidRPr="006678C9">
        <w:rPr>
          <w:b/>
          <w:bCs/>
          <w:i/>
          <w:iCs/>
        </w:rPr>
        <w:t xml:space="preserve">Удължаване на срока за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(SA.46425/2016) </w:t>
      </w:r>
    </w:p>
    <w:p w:rsidR="006678C9" w:rsidRPr="006678C9" w:rsidRDefault="006678C9" w:rsidP="006678C9">
      <w:pPr>
        <w:spacing w:before="120"/>
        <w:jc w:val="both"/>
      </w:pPr>
      <w:r w:rsidRPr="006678C9">
        <w:t xml:space="preserve">Държавната помощ под формата на отстъпка от стойността на акциза върху газьола, използван в първичното селскостопанско производство, е одобрена от Европейската комисия със срок на прилагане 2015-2020 г. Помощта се предоставя под формата на намаление на акцизната ставка на газьола (дизелово гориво), използван за механизирани дейности в първичното селскостопанско производство. Правната уредба за прилагане се съдържа в чл. 47а и следващите от Закона за подпомагане на земеделските производители (ЗПЗП). Министерство на земеделието, храните и горите, като администратор на държавната помощ е публикувало на интернет страницата си и на Портала за обществени консултации проект на ЗПЗП с предложение за удължаване на срока на прилагане на държавната помощ до 31 декември 2023. Министърът на земеделието, храните и горите е органът, който осъществява наблюдението, прозрачността, координацията и взаимодействието с Европейската комисия в </w:t>
      </w:r>
      <w:r w:rsidRPr="006678C9">
        <w:lastRenderedPageBreak/>
        <w:t>областта на държавните помощи и минималните помощи в областта на земеделието, развитието на селските райони, горското и ловното стопанство и рибарството. В тази връзка след влизане в сила на националното правно основание за удължаване на срока за прилагане на държавната помощ, МЗХГ има задължение да уведоми Европейската комисия по общия процедурен ред. На основание чл. 47б от ЗПЗП общият размер на помощта се утвърждава със закона за държавния бюджет на Република България за съответната година. От гледна точка на режима на държавните помощи,  мярката е оценена за съответствие с правилата за групово освобождаване по Регламент (ЕС) № 651/2014 (чл. 44) през 2016 година. Удължаването ѝ е допустимо съгласно Регламент (ЕС) № 972/2020, а измененията в съответното правно основание са обект на съгласуване по общия ред на Закона за държавните помощи и Правилника за неговото прилагане. С оглед на това, не съществува пречка за удължаване действието на мярката до 31.12.2023 г., доколкото с бъдещите нормативни промени не възниква отклонение от регламента.</w:t>
      </w:r>
    </w:p>
    <w:p w:rsidR="006678C9" w:rsidRPr="006678C9" w:rsidRDefault="006678C9" w:rsidP="006678C9">
      <w:pPr>
        <w:numPr>
          <w:ilvl w:val="0"/>
          <w:numId w:val="46"/>
        </w:numPr>
        <w:spacing w:before="120" w:after="200"/>
        <w:jc w:val="both"/>
        <w:rPr>
          <w:b/>
          <w:i/>
          <w:iCs/>
        </w:rPr>
      </w:pPr>
      <w:r w:rsidRPr="006678C9">
        <w:rPr>
          <w:b/>
          <w:i/>
          <w:iCs/>
        </w:rPr>
        <w:t>Промени в чл. 44 от ЗАДС, свързани с дейностите по подготовката на Агенция „Митници“ за преминаване към единна сметка за плащания на акцизни задължения</w:t>
      </w:r>
    </w:p>
    <w:p w:rsidR="006678C9" w:rsidRPr="006678C9" w:rsidRDefault="006678C9" w:rsidP="006678C9">
      <w:pPr>
        <w:spacing w:before="120"/>
        <w:jc w:val="both"/>
        <w:rPr>
          <w:iCs/>
        </w:rPr>
      </w:pPr>
      <w:r w:rsidRPr="006678C9">
        <w:rPr>
          <w:iCs/>
        </w:rPr>
        <w:t>Във връзка с дейностите по подготовката на Агенция „Митници“ за преминаване към единна сметка за плащания на акцизни задължения, са направени промени в чл. 44 от ЗАДС. Предвижда се всяко данъчно задължено лице да има открита виртуална сметка, в която ще се отразяват постъпилите плащания за вземания по акцизното законодателство, като е предвидено тези промени да влязат в сила от 1 януари 2022 година.</w:t>
      </w:r>
    </w:p>
    <w:p w:rsidR="006678C9" w:rsidRPr="006678C9" w:rsidRDefault="006678C9" w:rsidP="006678C9">
      <w:pPr>
        <w:numPr>
          <w:ilvl w:val="0"/>
          <w:numId w:val="46"/>
        </w:numPr>
        <w:spacing w:before="120" w:after="200"/>
        <w:jc w:val="both"/>
        <w:rPr>
          <w:b/>
          <w:i/>
          <w:iCs/>
        </w:rPr>
      </w:pPr>
      <w:r w:rsidRPr="006678C9">
        <w:rPr>
          <w:b/>
          <w:i/>
          <w:iCs/>
        </w:rPr>
        <w:t xml:space="preserve">Създаване на правна рамка в разпоредбите на чл. 79 от ЗАДС спрямо лицензирани складодържатели с цел намаляване на административната тежест </w:t>
      </w:r>
    </w:p>
    <w:p w:rsidR="006678C9" w:rsidRPr="006678C9" w:rsidRDefault="006678C9" w:rsidP="006678C9">
      <w:pPr>
        <w:spacing w:before="120"/>
        <w:jc w:val="both"/>
        <w:rPr>
          <w:iCs/>
        </w:rPr>
      </w:pPr>
      <w:r w:rsidRPr="006678C9">
        <w:rPr>
          <w:iCs/>
        </w:rPr>
        <w:t>Приетото изменение за създаване на правна рамка в разпоредбите на чл. 79 от ЗАДС ще доведе до намаляване на административната тежест спрямо лицензирани складодържатели, които нямат забавени плащания за акциз, но в извънредни случаи за тях възниква необходимост да надвишат предоставеното обезпечение, до не повече от два пъти за 12 последователни данъчни периода.</w:t>
      </w:r>
    </w:p>
    <w:p w:rsidR="006678C9" w:rsidRPr="006678C9" w:rsidRDefault="006678C9" w:rsidP="006678C9">
      <w:pPr>
        <w:numPr>
          <w:ilvl w:val="0"/>
          <w:numId w:val="46"/>
        </w:numPr>
        <w:spacing w:before="120" w:after="200"/>
        <w:jc w:val="both"/>
        <w:rPr>
          <w:b/>
          <w:i/>
          <w:iCs/>
        </w:rPr>
      </w:pPr>
      <w:r w:rsidRPr="006678C9">
        <w:rPr>
          <w:b/>
          <w:i/>
          <w:iCs/>
        </w:rPr>
        <w:t xml:space="preserve">Допълнения в чл.75б от ЗАДС с цел оптимизиране на административната дейност  </w:t>
      </w:r>
    </w:p>
    <w:p w:rsidR="006678C9" w:rsidRPr="006678C9" w:rsidRDefault="006678C9" w:rsidP="006678C9">
      <w:pPr>
        <w:spacing w:before="120"/>
        <w:jc w:val="both"/>
        <w:rPr>
          <w:iCs/>
        </w:rPr>
      </w:pPr>
      <w:r w:rsidRPr="006678C9">
        <w:rPr>
          <w:iCs/>
        </w:rPr>
        <w:t>Приети са допълнения в чл. 75б от ЗАДС, които имат за цел оптимизиране на административната дейност, по отношение на размера на установяваните задължения в отделен данъчен период, както и обусловената необходимост за избягване на затруднения при издаването на актове, за които е заплатен съответният акциз в страната.</w:t>
      </w:r>
    </w:p>
    <w:p w:rsidR="006678C9" w:rsidRPr="006678C9" w:rsidRDefault="006678C9" w:rsidP="006678C9">
      <w:pPr>
        <w:numPr>
          <w:ilvl w:val="0"/>
          <w:numId w:val="46"/>
        </w:numPr>
        <w:spacing w:before="120" w:after="200"/>
        <w:jc w:val="both"/>
        <w:rPr>
          <w:b/>
          <w:i/>
          <w:iCs/>
        </w:rPr>
      </w:pPr>
      <w:r w:rsidRPr="006678C9">
        <w:rPr>
          <w:b/>
          <w:i/>
          <w:iCs/>
        </w:rPr>
        <w:t xml:space="preserve">Допълнения в ЗАДС с цел ясно регламентиране на вложеното количество от акцизната стока в крайния продукт при издаване на удостоверение за освободен от акциз краен потребител </w:t>
      </w:r>
    </w:p>
    <w:p w:rsidR="006678C9" w:rsidRPr="006678C9" w:rsidRDefault="006678C9" w:rsidP="006678C9">
      <w:pPr>
        <w:spacing w:before="120"/>
        <w:jc w:val="both"/>
        <w:rPr>
          <w:iCs/>
        </w:rPr>
      </w:pPr>
      <w:r w:rsidRPr="006678C9">
        <w:rPr>
          <w:iCs/>
        </w:rPr>
        <w:t>Прието е допълнение на чл. 24б от ЗАДС с цел ясно да се регламентира, че в хода на процедурата по издаване на удостоверение за освободен от акциз краен потребител (УОАКП) компетентните административни органи имат задължение да вземат проби за лабораторен анализ, което могат да извършват на всеки етап от производствения процес.</w:t>
      </w:r>
    </w:p>
    <w:p w:rsidR="006678C9" w:rsidRPr="006678C9" w:rsidRDefault="006678C9" w:rsidP="006678C9">
      <w:pPr>
        <w:numPr>
          <w:ilvl w:val="0"/>
          <w:numId w:val="46"/>
        </w:numPr>
        <w:spacing w:before="120" w:after="200"/>
        <w:jc w:val="both"/>
        <w:rPr>
          <w:b/>
          <w:i/>
          <w:iCs/>
        </w:rPr>
      </w:pPr>
      <w:r w:rsidRPr="006678C9">
        <w:rPr>
          <w:b/>
          <w:i/>
          <w:iCs/>
        </w:rPr>
        <w:t>Изменения във връзка с прецизиране на разпоредби при определяне на последния данъчен период, в случаите на издадено решение за прекратяване на лиценз/регистрация</w:t>
      </w:r>
    </w:p>
    <w:p w:rsidR="006678C9" w:rsidRPr="006678C9" w:rsidRDefault="006678C9" w:rsidP="006678C9">
      <w:pPr>
        <w:widowControl w:val="0"/>
        <w:suppressAutoHyphens/>
        <w:spacing w:after="120"/>
        <w:ind w:right="-39" w:firstLine="709"/>
        <w:jc w:val="both"/>
        <w:rPr>
          <w:bCs/>
          <w:lang w:eastAsia="bg-BG"/>
        </w:rPr>
      </w:pPr>
      <w:r w:rsidRPr="006678C9">
        <w:rPr>
          <w:iCs/>
        </w:rPr>
        <w:t>Прецизирана е разпоредбата на чл. 43, ал. 5, за да се избегнат затруднения при определянето на последния данъчен период, в случаите на издадено решение за прекратяване на лиценз/регистрация, на което е спряно предварителното изпълнение и впоследствие е влязло в сила след съдебно обжалване.</w:t>
      </w:r>
    </w:p>
    <w:p w:rsidR="006678C9" w:rsidRPr="006678C9" w:rsidRDefault="006678C9" w:rsidP="006678C9">
      <w:pPr>
        <w:widowControl w:val="0"/>
        <w:suppressAutoHyphens/>
        <w:spacing w:after="120"/>
        <w:ind w:right="-284" w:firstLine="709"/>
        <w:jc w:val="both"/>
        <w:rPr>
          <w:rFonts w:eastAsia="DejaVu Sans"/>
          <w:b/>
          <w:bCs/>
          <w:kern w:val="1"/>
          <w:u w:val="single"/>
          <w:lang w:eastAsia="hi-IN" w:bidi="hi-IN"/>
        </w:rPr>
      </w:pPr>
      <w:r w:rsidRPr="006678C9">
        <w:rPr>
          <w:rFonts w:eastAsia="DejaVu Sans"/>
          <w:b/>
          <w:bCs/>
          <w:kern w:val="1"/>
          <w:u w:val="single"/>
          <w:lang w:eastAsia="hi-IN" w:bidi="hi-IN"/>
        </w:rPr>
        <w:lastRenderedPageBreak/>
        <w:t>Промени в Закона за данъците върху доходите на физическите лица</w:t>
      </w:r>
    </w:p>
    <w:p w:rsidR="006678C9" w:rsidRPr="006678C9" w:rsidRDefault="006678C9" w:rsidP="006678C9">
      <w:pPr>
        <w:numPr>
          <w:ilvl w:val="0"/>
          <w:numId w:val="46"/>
        </w:numPr>
        <w:spacing w:before="120" w:after="200"/>
        <w:jc w:val="both"/>
        <w:rPr>
          <w:iCs/>
        </w:rPr>
      </w:pPr>
      <w:r w:rsidRPr="006678C9">
        <w:rPr>
          <w:b/>
          <w:i/>
          <w:iCs/>
        </w:rPr>
        <w:t>Изравнен е режимът на данъчно третиране на доходите от разпореждане с финансови инструменти и на доходите от лихви от облигации и други дългови ценни книжа, търгувани на регулиран пазар с тези, търгувани на пазар за растеж, в Закона за данъците върху доходите на физическите лица (ЗДДФЛ)</w:t>
      </w:r>
    </w:p>
    <w:p w:rsidR="006678C9" w:rsidRPr="006678C9" w:rsidRDefault="006678C9" w:rsidP="006678C9">
      <w:pPr>
        <w:spacing w:before="120"/>
        <w:jc w:val="both"/>
      </w:pPr>
      <w:r w:rsidRPr="006678C9">
        <w:t>С изменението на разпоредбите, регламентиращи данъчните облекчения, свързани с доходи на физическите лица от разпореждане с финансови инструменти и на доходите от лихви от облигации или други дългови ценни книжа, търгувани на регулиран пазар, се добавят и същите сделки, търгувани на пазар за растеж. Така се изравнява данъчното третиране на съответните доходи, независимо дали се търгуват на регулиран пазар или на пазар за растеж, като разпоредбите, касаещи пазара за растеж се предвижда да се прилагат за органичен период от пет години.</w:t>
      </w:r>
    </w:p>
    <w:p w:rsidR="006678C9" w:rsidRPr="006678C9" w:rsidRDefault="006678C9" w:rsidP="006678C9">
      <w:pPr>
        <w:numPr>
          <w:ilvl w:val="0"/>
          <w:numId w:val="47"/>
        </w:numPr>
        <w:spacing w:before="120" w:after="200"/>
        <w:jc w:val="both"/>
        <w:rPr>
          <w:b/>
          <w:i/>
          <w:iCs/>
        </w:rPr>
      </w:pPr>
      <w:r w:rsidRPr="006678C9">
        <w:rPr>
          <w:b/>
          <w:i/>
        </w:rPr>
        <w:t xml:space="preserve">Синхронизиране на датите за подаване на годишните данъчни декларации, както и за внасяне на съответните данъци в ЗДДФЛ с тези в ЗКПО </w:t>
      </w:r>
    </w:p>
    <w:p w:rsidR="006678C9" w:rsidRPr="006678C9" w:rsidRDefault="006678C9" w:rsidP="006678C9">
      <w:pPr>
        <w:spacing w:before="120"/>
        <w:jc w:val="both"/>
        <w:rPr>
          <w:iCs/>
        </w:rPr>
      </w:pPr>
      <w:r w:rsidRPr="006678C9">
        <w:t xml:space="preserve">Във връзка с изместването на датата за деклариране и плащане на годишните данъци на юридическите лица по реда на ЗКПО, </w:t>
      </w:r>
      <w:r w:rsidR="004B7C2B">
        <w:t>е изместен</w:t>
      </w:r>
      <w:r w:rsidR="004B7C2B" w:rsidRPr="006678C9">
        <w:t xml:space="preserve"> </w:t>
      </w:r>
      <w:r w:rsidRPr="006678C9">
        <w:t>срокът за деклариране и внасяне на годишните данъци за лицата, извършващи стопанска дейност като търговци по смисъла на Търговския закон, включително еднолични търговци или физически лица, регистрирани като земеделски стопани, избрали доходът от стопанската им дейност да се облага с данък върху годишната данъчна основа в ЗДДФЛ.</w:t>
      </w:r>
    </w:p>
    <w:p w:rsidR="006678C9" w:rsidRPr="006678C9" w:rsidRDefault="006678C9" w:rsidP="006678C9">
      <w:pPr>
        <w:numPr>
          <w:ilvl w:val="0"/>
          <w:numId w:val="46"/>
        </w:numPr>
        <w:spacing w:before="120" w:after="200"/>
        <w:jc w:val="both"/>
        <w:rPr>
          <w:b/>
          <w:bCs/>
          <w:i/>
          <w:iCs/>
        </w:rPr>
      </w:pPr>
      <w:r w:rsidRPr="006678C9">
        <w:rPr>
          <w:b/>
          <w:bCs/>
          <w:i/>
          <w:iCs/>
        </w:rPr>
        <w:t>Синхронизиране на разпоредбите на ЗДДФЛ с тези на Закона за защита на личните данни</w:t>
      </w:r>
    </w:p>
    <w:p w:rsidR="006678C9" w:rsidRPr="006678C9" w:rsidRDefault="006678C9" w:rsidP="006678C9">
      <w:pPr>
        <w:spacing w:before="120"/>
        <w:jc w:val="both"/>
        <w:rPr>
          <w:bCs/>
          <w:iCs/>
        </w:rPr>
      </w:pPr>
      <w:r w:rsidRPr="006678C9">
        <w:rPr>
          <w:bCs/>
          <w:iCs/>
        </w:rPr>
        <w:t>Промяната е направена във връзка с необходимостта от синхронизация на разпоредбите на ЗДДФЛ с тези на Закона за защита на личните данни и успоредно с това създаване на по-ясни правила, касаещи задължението на физическите лица да издават документи, когато извършват стопанска дейност или получават доходи от наем. С изменението, когато платецът е физическо лице няма да е необходимо да се издава документ, когато плащането е по банков път. В случаите на плащане в брой ще се издава документ, в който не се съдържат данни за платеца на дохода, когато същият е физическо лице. Изискването за издаване на първичен счетоводен документ с данни за платеца на дохода се запазва само за случаите, когато платецът на доходите от друга стопанска дейност е предприятие или самоосигуряващо се лице, което води счетоводна отчетност и не издава сметка за изплатени суми.</w:t>
      </w:r>
    </w:p>
    <w:p w:rsidR="006678C9" w:rsidRPr="006678C9" w:rsidRDefault="006678C9" w:rsidP="006678C9">
      <w:pPr>
        <w:numPr>
          <w:ilvl w:val="0"/>
          <w:numId w:val="46"/>
        </w:numPr>
        <w:spacing w:before="120" w:after="200"/>
        <w:jc w:val="both"/>
        <w:rPr>
          <w:b/>
          <w:bCs/>
          <w:i/>
          <w:iCs/>
        </w:rPr>
      </w:pPr>
      <w:r w:rsidRPr="006678C9">
        <w:rPr>
          <w:b/>
          <w:bCs/>
          <w:i/>
          <w:iCs/>
        </w:rPr>
        <w:t xml:space="preserve">Въвеждане на ново данъчно облекчение за подобрения и/или ремонт на недвижим жилищен имот </w:t>
      </w:r>
    </w:p>
    <w:p w:rsidR="006678C9" w:rsidRPr="006678C9" w:rsidRDefault="006678C9" w:rsidP="006C3181">
      <w:pPr>
        <w:autoSpaceDE w:val="0"/>
        <w:autoSpaceDN w:val="0"/>
        <w:adjustRightInd w:val="0"/>
        <w:spacing w:after="120"/>
        <w:jc w:val="both"/>
        <w:rPr>
          <w:bCs/>
          <w:i/>
          <w:iCs/>
          <w:lang w:eastAsia="bg-BG"/>
        </w:rPr>
      </w:pPr>
      <w:r w:rsidRPr="006678C9">
        <w:rPr>
          <w:bCs/>
          <w:iCs/>
        </w:rPr>
        <w:t>Въве</w:t>
      </w:r>
      <w:r w:rsidR="006C3181">
        <w:rPr>
          <w:bCs/>
          <w:iCs/>
        </w:rPr>
        <w:t xml:space="preserve">дено </w:t>
      </w:r>
      <w:r w:rsidRPr="006678C9">
        <w:rPr>
          <w:bCs/>
          <w:iCs/>
        </w:rPr>
        <w:t>е нов вид данъчно облекчение за лицата при ползване на услуги за ремонтни дейности. Целта на данъчното облекчение е физическите лица, които през годината са направили подобрения и/или ремонт в собствените си жилища, когато са налице определените в закона условия, да могат да намалят общата сума на годишната си данъчна основа с реално платените от тях разходи за труд на физическите или юридическите лица, извършили ремонта или подобренията, в общ размер до две хиляди лева.</w:t>
      </w:r>
    </w:p>
    <w:p w:rsidR="006678C9" w:rsidRPr="006678C9" w:rsidRDefault="006678C9" w:rsidP="006678C9">
      <w:pPr>
        <w:autoSpaceDE w:val="0"/>
        <w:autoSpaceDN w:val="0"/>
        <w:adjustRightInd w:val="0"/>
        <w:spacing w:after="120"/>
        <w:ind w:firstLine="709"/>
        <w:jc w:val="both"/>
        <w:rPr>
          <w:rFonts w:eastAsia="Batang"/>
          <w:b/>
          <w:u w:val="single"/>
          <w:lang w:eastAsia="bg-BG"/>
        </w:rPr>
      </w:pPr>
      <w:r w:rsidRPr="006678C9">
        <w:rPr>
          <w:rFonts w:eastAsia="Batang"/>
          <w:b/>
          <w:u w:val="single"/>
          <w:lang w:eastAsia="bg-BG"/>
        </w:rPr>
        <w:t>Промени в Закона за корпоративното подоходно облагане</w:t>
      </w:r>
    </w:p>
    <w:p w:rsidR="006678C9" w:rsidRPr="006678C9" w:rsidRDefault="006678C9" w:rsidP="006678C9">
      <w:pPr>
        <w:numPr>
          <w:ilvl w:val="0"/>
          <w:numId w:val="46"/>
        </w:numPr>
        <w:spacing w:before="120" w:after="200"/>
        <w:jc w:val="both"/>
        <w:rPr>
          <w:iCs/>
        </w:rPr>
      </w:pPr>
      <w:r w:rsidRPr="006678C9">
        <w:rPr>
          <w:b/>
          <w:i/>
          <w:iCs/>
        </w:rPr>
        <w:t xml:space="preserve">Промяна в действащия режим на авансово облагане на данъчно задължените лица с корпоративен данък </w:t>
      </w:r>
    </w:p>
    <w:p w:rsidR="006678C9" w:rsidRPr="006678C9" w:rsidRDefault="006678C9" w:rsidP="006678C9">
      <w:pPr>
        <w:spacing w:before="120"/>
        <w:jc w:val="both"/>
        <w:rPr>
          <w:iCs/>
        </w:rPr>
      </w:pPr>
      <w:r w:rsidRPr="006678C9">
        <w:rPr>
          <w:iCs/>
        </w:rPr>
        <w:t>Прието е изменение на срока за подаване на декларацията за промени на авансовите вноски за корпоративен данък по чл. 88 от ЗКПО, като данъчно задължените лица могат да подават в срок до 15 ноември на съответната година предвидената декларация. Целта е да се осигури по-голяма предвидимост на данъчните приходи в бюджета, да се получи навременна информация за постъпленията в държавния бюджет за месец декември, което да позволи по-</w:t>
      </w:r>
      <w:r w:rsidRPr="006678C9">
        <w:rPr>
          <w:iCs/>
        </w:rPr>
        <w:lastRenderedPageBreak/>
        <w:t>прецизното планиране и осъществяване на разходите от бюджетните разпоредители в края на финансовата година.</w:t>
      </w:r>
    </w:p>
    <w:p w:rsidR="006678C9" w:rsidRPr="006678C9" w:rsidRDefault="006678C9" w:rsidP="006678C9">
      <w:pPr>
        <w:numPr>
          <w:ilvl w:val="0"/>
          <w:numId w:val="47"/>
        </w:numPr>
        <w:spacing w:before="120" w:after="200"/>
        <w:jc w:val="both"/>
        <w:rPr>
          <w:b/>
          <w:i/>
          <w:iCs/>
        </w:rPr>
      </w:pPr>
      <w:r w:rsidRPr="006678C9">
        <w:rPr>
          <w:b/>
          <w:i/>
          <w:iCs/>
        </w:rPr>
        <w:t>Изместване на датата за подаване на годишните данъчни декларации по ЗКПО, както и за внасяне на съответните данъци</w:t>
      </w:r>
    </w:p>
    <w:p w:rsidR="006678C9" w:rsidRPr="006678C9" w:rsidRDefault="006678C9" w:rsidP="006678C9">
      <w:pPr>
        <w:spacing w:before="120" w:after="200"/>
        <w:jc w:val="both"/>
        <w:rPr>
          <w:b/>
          <w:bCs/>
          <w:i/>
          <w:iCs/>
        </w:rPr>
      </w:pPr>
      <w:r w:rsidRPr="006678C9">
        <w:rPr>
          <w:iCs/>
        </w:rPr>
        <w:t>Прието е изменение, с което се измества датата на подаване на годишните данъчни декларации по ЗКПО, като 31 март се заменя с периода от 1 март до 30 юни на съответната година. Датата за внасяне на корпоративния данък се променя, като срокът до 31 март се заменя със срок до 30 юни. Целта е оптимизация на изготвянето на годишните данъчни декларации по реда на чл. 92 от ЗКПО на търговските дружества и подобряване на процеса на годишно счетоводно приключване.</w:t>
      </w:r>
    </w:p>
    <w:p w:rsidR="006678C9" w:rsidRPr="006678C9" w:rsidRDefault="006678C9" w:rsidP="006678C9">
      <w:pPr>
        <w:numPr>
          <w:ilvl w:val="0"/>
          <w:numId w:val="47"/>
        </w:numPr>
        <w:spacing w:before="120" w:after="200"/>
        <w:jc w:val="both"/>
        <w:rPr>
          <w:b/>
          <w:bCs/>
          <w:i/>
          <w:iCs/>
        </w:rPr>
      </w:pPr>
      <w:r w:rsidRPr="006678C9">
        <w:rPr>
          <w:b/>
          <w:bCs/>
          <w:i/>
          <w:iCs/>
        </w:rPr>
        <w:t>Удължаване на възможността за прилагане на данъчното облекчение за извършване на производствена дейност в общини с безработица, по-висока от средната за страната в случаите на минимална помощ по чл. 188 от ЗКПО до 31 декември 2023 г. и в случаите на помощ за регионално развитие по чл. 189 от ЗКПО до 31 декември 2021 година</w:t>
      </w:r>
    </w:p>
    <w:p w:rsidR="006678C9" w:rsidRPr="006678C9" w:rsidRDefault="006678C9" w:rsidP="006678C9">
      <w:pPr>
        <w:spacing w:before="120"/>
        <w:jc w:val="both"/>
      </w:pPr>
      <w:r w:rsidRPr="006678C9">
        <w:rPr>
          <w:bCs/>
          <w:iCs/>
        </w:rPr>
        <w:t>Срокът на данъчното облекчение за извършване на производствена дейност в общини с безработица, по-висока от средната за страната изтича на 31 декември 2020 г. С разпоредбата на чл. 1 от Регламент (ЕС) 2020/972 на Комисията от 2 юли 2020 г. за изменение на Регламент (ЕС) № 1407/2013 по отношение на удължаването на срока на неговото действие и за изменение на Регламент (ЕС) № 651/2014 по отношение на удължаването на срока на неговото действие и съответни промени, се удължава срокът на прилагане на Регламент (ЕС) № 1407/2013 до 31 декември 2023 г., във връзка с което е и изменението, свързано с удължаване на действащото данъчно облекчение, представляващо минимална помощ по чл. 184 във връзка с чл. 188 от ЗКПО до 31 декември 2023 г. По отношение на</w:t>
      </w:r>
      <w:r w:rsidRPr="006678C9">
        <w:t xml:space="preserve"> действащото данъчно облекчение под формата на държавна помощ за регионално развитие по чл. 184 във връзка с чл. 189 от ЗКПО,  предвид удължения срок на прилагане на Насоките за регионалната държавна помощ за периода 2014-2020 г., се прие удължаване прилагането на данъчното облекчение до 31 декември 2021 година.</w:t>
      </w:r>
    </w:p>
    <w:p w:rsidR="006678C9" w:rsidRPr="006678C9" w:rsidRDefault="006678C9" w:rsidP="006678C9">
      <w:pPr>
        <w:numPr>
          <w:ilvl w:val="0"/>
          <w:numId w:val="47"/>
        </w:numPr>
        <w:spacing w:before="120" w:after="200"/>
        <w:jc w:val="both"/>
        <w:rPr>
          <w:b/>
          <w:i/>
          <w:iCs/>
        </w:rPr>
      </w:pPr>
      <w:r w:rsidRPr="006678C9">
        <w:rPr>
          <w:b/>
          <w:i/>
          <w:iCs/>
        </w:rPr>
        <w:t xml:space="preserve">Изравняване в режима на данъчно третиране на доходите от разпореждане с финансови инструменти и на доходите от лихви от облигации и други дългови ценни книжа, търгувани на регулиран пазар с тези, търгувани на пазар за растеж в ЗКПО  </w:t>
      </w:r>
    </w:p>
    <w:p w:rsidR="006678C9" w:rsidRPr="006678C9" w:rsidRDefault="00B06952" w:rsidP="006678C9">
      <w:pPr>
        <w:tabs>
          <w:tab w:val="left" w:pos="720"/>
        </w:tabs>
        <w:spacing w:before="120" w:after="120"/>
        <w:jc w:val="both"/>
        <w:rPr>
          <w:iCs/>
        </w:rPr>
      </w:pPr>
      <w:r>
        <w:rPr>
          <w:iCs/>
        </w:rPr>
        <w:t xml:space="preserve">Промяната </w:t>
      </w:r>
      <w:r w:rsidR="006678C9" w:rsidRPr="006678C9">
        <w:rPr>
          <w:iCs/>
        </w:rPr>
        <w:t>е налож</w:t>
      </w:r>
      <w:r>
        <w:rPr>
          <w:iCs/>
        </w:rPr>
        <w:t>ена</w:t>
      </w:r>
      <w:r w:rsidR="006678C9" w:rsidRPr="006678C9">
        <w:rPr>
          <w:iCs/>
        </w:rPr>
        <w:t xml:space="preserve"> във връзка с въвеждането на правна възможност за организиране на пазар за растеж по смисъла на чл. 122, ал. 1 от Закона за пазарите на финансови инструменти, чрез който се осигурява възможност за малките и средни предприятия да набират капитал при по-облекчени условия относно обхвата и периодичността на разкриваната от тях информация и въз основа на публикуването на облекчен по форма и съдържание проспект. Целта на изменението в режима на данъчно третиране е да се изравни данъчното третиране за период от пет години (до 31 декември 2025 г.) на едни и същи доходи, независимо дали се търгуват на регулиран пазар или на пазар за растеж.</w:t>
      </w:r>
    </w:p>
    <w:p w:rsidR="006678C9" w:rsidRPr="006678C9" w:rsidRDefault="006678C9" w:rsidP="006678C9">
      <w:pPr>
        <w:autoSpaceDE w:val="0"/>
        <w:autoSpaceDN w:val="0"/>
        <w:adjustRightInd w:val="0"/>
        <w:spacing w:after="120"/>
        <w:ind w:firstLine="709"/>
        <w:jc w:val="both"/>
        <w:rPr>
          <w:rFonts w:eastAsia="DejaVu Sans"/>
          <w:b/>
          <w:bCs/>
          <w:kern w:val="1"/>
          <w:u w:val="single"/>
          <w:lang w:eastAsia="hi-IN" w:bidi="hi-IN"/>
        </w:rPr>
      </w:pPr>
      <w:r w:rsidRPr="006678C9">
        <w:rPr>
          <w:rFonts w:eastAsia="DejaVu Sans"/>
          <w:b/>
          <w:bCs/>
          <w:kern w:val="1"/>
          <w:u w:val="single"/>
          <w:lang w:eastAsia="hi-IN" w:bidi="hi-IN"/>
        </w:rPr>
        <w:t>Промени в Закона за местните данъци и такси</w:t>
      </w:r>
    </w:p>
    <w:p w:rsidR="006678C9" w:rsidRPr="006678C9" w:rsidRDefault="006678C9" w:rsidP="006678C9">
      <w:pPr>
        <w:numPr>
          <w:ilvl w:val="0"/>
          <w:numId w:val="46"/>
        </w:numPr>
        <w:spacing w:before="120" w:after="200"/>
        <w:jc w:val="both"/>
        <w:rPr>
          <w:b/>
          <w:bCs/>
          <w:i/>
          <w:iCs/>
        </w:rPr>
      </w:pPr>
      <w:r w:rsidRPr="006678C9">
        <w:rPr>
          <w:b/>
          <w:bCs/>
          <w:i/>
          <w:iCs/>
        </w:rPr>
        <w:t>Изменения, свързани със синхронизиране на разпоредбите на Закона за местните данъци и такси (ЗМДТ) и Закона за кадастъра и имотния регистър (ЗКИР) с цел намаляване на административната тежест</w:t>
      </w:r>
    </w:p>
    <w:p w:rsidR="006678C9" w:rsidRPr="006678C9" w:rsidRDefault="006678C9" w:rsidP="006678C9">
      <w:pPr>
        <w:spacing w:before="120"/>
        <w:jc w:val="both"/>
        <w:rPr>
          <w:bCs/>
          <w:iCs/>
        </w:rPr>
      </w:pPr>
      <w:r w:rsidRPr="006678C9">
        <w:rPr>
          <w:bCs/>
          <w:iCs/>
        </w:rPr>
        <w:t xml:space="preserve">Прието е да отпадне предвиденото в ЗМДТ изискване, за целите на данъка върху недвижимите имоти, завършването на сграда или части от нея да бъде установявано освен с удостоверение за въвеждане в експлоатация или разрешение за ползване, издадени по реда на Закона за устройство на територията </w:t>
      </w:r>
      <w:r w:rsidRPr="006678C9">
        <w:rPr>
          <w:bCs/>
          <w:iCs/>
          <w:lang w:val="ru-RU"/>
        </w:rPr>
        <w:t>(</w:t>
      </w:r>
      <w:r w:rsidRPr="006678C9">
        <w:rPr>
          <w:bCs/>
          <w:iCs/>
        </w:rPr>
        <w:t>ЗУТ</w:t>
      </w:r>
      <w:r w:rsidRPr="006678C9">
        <w:rPr>
          <w:bCs/>
          <w:iCs/>
          <w:lang w:val="ru-RU"/>
        </w:rPr>
        <w:t>)</w:t>
      </w:r>
      <w:r w:rsidRPr="006678C9">
        <w:rPr>
          <w:bCs/>
          <w:iCs/>
        </w:rPr>
        <w:t xml:space="preserve">, и с представянето на удостоверение, издадено от Агенцията по геодезия, картография и кадастър (АГКК). Промяната е свързана с направеното </w:t>
      </w:r>
      <w:r w:rsidRPr="006678C9">
        <w:rPr>
          <w:bCs/>
          <w:iCs/>
        </w:rPr>
        <w:lastRenderedPageBreak/>
        <w:t>изменение в Закона за кадастъра и имотния регистър, съгласно която АГКК предоставя на органите, които въвеждат строежите в експлоатация, достъп до информационната система на кадастъра, да извършват служебна проверка, относно това дали даден строеж е нанесен в кадастралната карта и кадастралните регистри.</w:t>
      </w:r>
      <w:r w:rsidRPr="006678C9">
        <w:t xml:space="preserve"> </w:t>
      </w:r>
      <w:r w:rsidRPr="006678C9">
        <w:rPr>
          <w:bCs/>
          <w:iCs/>
        </w:rPr>
        <w:t>Изменението е с цел намаляване на административната тежест за данъчно задължените лица и администрацията, както и с оглед повишаване на качеството на услугите и дейностите, предоставяни в процеса на административното обслужване.</w:t>
      </w:r>
    </w:p>
    <w:p w:rsidR="006678C9" w:rsidRPr="006678C9" w:rsidRDefault="006678C9" w:rsidP="006678C9">
      <w:pPr>
        <w:numPr>
          <w:ilvl w:val="0"/>
          <w:numId w:val="46"/>
        </w:numPr>
        <w:spacing w:before="120" w:after="200"/>
        <w:jc w:val="both"/>
        <w:rPr>
          <w:b/>
          <w:bCs/>
          <w:i/>
          <w:iCs/>
        </w:rPr>
      </w:pPr>
      <w:r w:rsidRPr="006678C9">
        <w:rPr>
          <w:b/>
          <w:bCs/>
          <w:i/>
          <w:iCs/>
        </w:rPr>
        <w:t xml:space="preserve">Прецизиране на разпоредбите на ЗМДТ при определяне на данъка при придобиване на моторни превозни средства </w:t>
      </w:r>
    </w:p>
    <w:p w:rsidR="006678C9" w:rsidRPr="006678C9" w:rsidRDefault="006678C9" w:rsidP="006678C9">
      <w:pPr>
        <w:spacing w:after="120"/>
        <w:jc w:val="both"/>
        <w:rPr>
          <w:b/>
          <w:i/>
          <w:iCs/>
          <w:lang w:eastAsia="bg-BG"/>
        </w:rPr>
      </w:pPr>
      <w:r w:rsidRPr="006678C9">
        <w:rPr>
          <w:bCs/>
          <w:iCs/>
        </w:rPr>
        <w:t>Във връзка с констатирани проблеми при определяне на данъка при придобиване на моторни превозни средства са допълнени случаите, при които не се дължи посоченият данък. С включване на случаите на прекратена регистрация на основание износ/приобретател в друга държава членка на ЕС или ЕИП или тотална щета се цели еднозначното определяне на случаите на прекратена регистрация, в които не би следвало да бъде подновена регистрацията на моторното превозно средство.</w:t>
      </w:r>
    </w:p>
    <w:p w:rsidR="006678C9" w:rsidRPr="006678C9" w:rsidRDefault="006678C9" w:rsidP="006678C9">
      <w:pPr>
        <w:autoSpaceDE w:val="0"/>
        <w:autoSpaceDN w:val="0"/>
        <w:adjustRightInd w:val="0"/>
        <w:spacing w:after="120"/>
        <w:ind w:firstLine="709"/>
        <w:jc w:val="both"/>
        <w:rPr>
          <w:rFonts w:eastAsia="DejaVu Sans"/>
          <w:b/>
          <w:bCs/>
          <w:kern w:val="1"/>
          <w:u w:val="single"/>
          <w:lang w:eastAsia="hi-IN" w:bidi="hi-IN"/>
        </w:rPr>
      </w:pPr>
      <w:r w:rsidRPr="006678C9">
        <w:rPr>
          <w:rFonts w:eastAsia="DejaVu Sans"/>
          <w:b/>
          <w:bCs/>
          <w:kern w:val="1"/>
          <w:u w:val="single"/>
          <w:lang w:eastAsia="hi-IN" w:bidi="hi-IN"/>
        </w:rPr>
        <w:t>Промени в Данъчно-осигурителния процесуален кодекс</w:t>
      </w:r>
    </w:p>
    <w:p w:rsidR="006678C9" w:rsidRPr="006678C9" w:rsidRDefault="006678C9" w:rsidP="006678C9">
      <w:pPr>
        <w:numPr>
          <w:ilvl w:val="0"/>
          <w:numId w:val="46"/>
        </w:numPr>
        <w:spacing w:before="120" w:after="200"/>
        <w:jc w:val="both"/>
        <w:rPr>
          <w:b/>
          <w:bCs/>
          <w:i/>
          <w:iCs/>
        </w:rPr>
      </w:pPr>
      <w:r w:rsidRPr="006678C9">
        <w:rPr>
          <w:b/>
          <w:bCs/>
          <w:i/>
          <w:iCs/>
        </w:rPr>
        <w:t xml:space="preserve">Използване на надвнесени суми за следващи плащания по реда на ДОПК </w:t>
      </w:r>
    </w:p>
    <w:p w:rsidR="006678C9" w:rsidRPr="006678C9" w:rsidRDefault="006678C9" w:rsidP="006678C9">
      <w:pPr>
        <w:autoSpaceDE w:val="0"/>
        <w:autoSpaceDN w:val="0"/>
        <w:adjustRightInd w:val="0"/>
        <w:spacing w:after="120"/>
        <w:jc w:val="both"/>
        <w:rPr>
          <w:bCs/>
          <w:lang w:eastAsia="bg-BG"/>
        </w:rPr>
      </w:pPr>
      <w:r w:rsidRPr="006678C9">
        <w:rPr>
          <w:bCs/>
          <w:iCs/>
        </w:rPr>
        <w:t>С направеното допълнение в чл.130а в ДОПК е създаден ред за използване на надвнесените суми по подадена данъчна декларация да могат да послужат за следващи плащания. Тази възможност ще се осъществява само по изрично желание на данъчно задължените лица.</w:t>
      </w:r>
    </w:p>
    <w:p w:rsidR="006678C9" w:rsidRPr="006678C9" w:rsidRDefault="006678C9" w:rsidP="006678C9">
      <w:pPr>
        <w:widowControl w:val="0"/>
        <w:spacing w:after="120"/>
        <w:ind w:firstLine="709"/>
        <w:jc w:val="both"/>
        <w:rPr>
          <w:b/>
          <w:bCs/>
          <w:iCs/>
          <w:lang w:eastAsia="bg-BG"/>
        </w:rPr>
      </w:pPr>
      <w:r w:rsidRPr="006678C9">
        <w:rPr>
          <w:b/>
          <w:bCs/>
          <w:iCs/>
          <w:u w:val="single"/>
          <w:lang w:eastAsia="bg-BG"/>
        </w:rPr>
        <w:t>Промени в Закона за счетоводството</w:t>
      </w:r>
    </w:p>
    <w:p w:rsidR="006678C9" w:rsidRPr="006678C9" w:rsidRDefault="006678C9" w:rsidP="006678C9">
      <w:pPr>
        <w:numPr>
          <w:ilvl w:val="0"/>
          <w:numId w:val="47"/>
        </w:numPr>
        <w:spacing w:before="120" w:after="200"/>
        <w:jc w:val="both"/>
        <w:rPr>
          <w:b/>
          <w:i/>
          <w:iCs/>
        </w:rPr>
      </w:pPr>
      <w:r w:rsidRPr="006678C9">
        <w:rPr>
          <w:b/>
          <w:i/>
          <w:iCs/>
        </w:rPr>
        <w:t>Удължаване на сроковете в чл. 38 от Закона за счетоводството за публикуване на годишните финансови отчети, консолидираните финансови отчети и годишните доклади по глава седма, както и за деклариране на обстоятелството, че предприятията не са осъществявали дейност през отчетния период</w:t>
      </w:r>
    </w:p>
    <w:p w:rsidR="006678C9" w:rsidRPr="006678C9" w:rsidRDefault="006678C9" w:rsidP="006678C9">
      <w:pPr>
        <w:tabs>
          <w:tab w:val="left" w:pos="720"/>
        </w:tabs>
        <w:kinsoku w:val="0"/>
        <w:overflowPunct w:val="0"/>
        <w:spacing w:after="120"/>
        <w:jc w:val="both"/>
        <w:textAlignment w:val="baseline"/>
        <w:rPr>
          <w:bCs/>
          <w:iCs/>
        </w:rPr>
      </w:pPr>
      <w:r w:rsidRPr="006678C9">
        <w:rPr>
          <w:iCs/>
        </w:rPr>
        <w:t xml:space="preserve">Във връзка с промяната в сроковете за подаване на годишни данъчни декларации по ЗКПО и ЗДДФЛ са </w:t>
      </w:r>
      <w:bookmarkStart w:id="0" w:name="_Hlk57714825"/>
      <w:r w:rsidRPr="006678C9">
        <w:rPr>
          <w:iCs/>
        </w:rPr>
        <w:t xml:space="preserve">удължени и сроковете в чл. 38 от </w:t>
      </w:r>
      <w:r w:rsidRPr="006678C9">
        <w:rPr>
          <w:bCs/>
          <w:iCs/>
        </w:rPr>
        <w:t>Закона за счетоводството</w:t>
      </w:r>
      <w:r w:rsidRPr="006678C9">
        <w:rPr>
          <w:iCs/>
        </w:rPr>
        <w:t xml:space="preserve"> за публикуване на годишните финансови отчети, консолидираните финансови отчети и годишните доклади по глава седма</w:t>
      </w:r>
      <w:bookmarkEnd w:id="0"/>
      <w:r w:rsidRPr="006678C9">
        <w:rPr>
          <w:iCs/>
        </w:rPr>
        <w:t xml:space="preserve">. За  предприятията, които не са осъществявали дейност през отчетния период, е удължен срокът за деклариране на това обстоятелство до 30 юни на следващата година (еднократно за първия отчетен период без дейност). Респективно е удължен и срокът, до 31 юли, през който Агенцията по вписвания предоставя на НАП списък на предприятията, които са заявили за обявяване в търговския регистър и регистъра на юридическите лица с нестопанска цел декларация по чл. 38, ал. 9, т. 2 от </w:t>
      </w:r>
      <w:r w:rsidRPr="006678C9">
        <w:rPr>
          <w:bCs/>
          <w:iCs/>
        </w:rPr>
        <w:t>Закона за счетоводството.</w:t>
      </w:r>
    </w:p>
    <w:p w:rsidR="006678C9" w:rsidRPr="006678C9" w:rsidRDefault="006678C9" w:rsidP="006678C9">
      <w:pPr>
        <w:tabs>
          <w:tab w:val="left" w:pos="720"/>
        </w:tabs>
        <w:kinsoku w:val="0"/>
        <w:overflowPunct w:val="0"/>
        <w:spacing w:after="120"/>
        <w:jc w:val="both"/>
        <w:textAlignment w:val="baseline"/>
        <w:rPr>
          <w:b/>
          <w:u w:val="single"/>
          <w:lang w:eastAsia="bg-BG"/>
        </w:rPr>
      </w:pPr>
      <w:r w:rsidRPr="006678C9">
        <w:rPr>
          <w:lang w:eastAsia="bg-BG"/>
        </w:rPr>
        <w:tab/>
      </w:r>
      <w:r w:rsidRPr="006678C9">
        <w:rPr>
          <w:b/>
          <w:u w:val="single"/>
          <w:lang w:eastAsia="bg-BG"/>
        </w:rPr>
        <w:t>Промени в Закона за държавните резерви и военновременните запаси</w:t>
      </w:r>
    </w:p>
    <w:p w:rsidR="006678C9" w:rsidRPr="006678C9" w:rsidRDefault="006678C9" w:rsidP="006678C9">
      <w:pPr>
        <w:numPr>
          <w:ilvl w:val="0"/>
          <w:numId w:val="46"/>
        </w:numPr>
        <w:spacing w:before="120" w:after="200"/>
        <w:jc w:val="both"/>
        <w:rPr>
          <w:b/>
          <w:i/>
          <w:iCs/>
        </w:rPr>
      </w:pPr>
      <w:r w:rsidRPr="006678C9">
        <w:rPr>
          <w:b/>
          <w:i/>
          <w:iCs/>
        </w:rPr>
        <w:t>Създаване на държавно предприятие „Държавна петролна компания“ (ДП ДПК) в Закона за държавните резерви и военновременните запаси (обн., ДВ, бр. 65 от 2020 г.)</w:t>
      </w:r>
    </w:p>
    <w:p w:rsidR="006678C9" w:rsidRPr="006678C9" w:rsidRDefault="006678C9" w:rsidP="006678C9">
      <w:pPr>
        <w:tabs>
          <w:tab w:val="left" w:pos="720"/>
        </w:tabs>
        <w:kinsoku w:val="0"/>
        <w:overflowPunct w:val="0"/>
        <w:spacing w:after="120"/>
        <w:jc w:val="both"/>
        <w:textAlignment w:val="baseline"/>
        <w:rPr>
          <w:b/>
          <w:u w:val="single"/>
          <w:lang w:eastAsia="bg-BG"/>
        </w:rPr>
      </w:pPr>
      <w:r w:rsidRPr="006678C9">
        <w:t>Създадено е държавно предприятие „Държавна петролна компания“ към министъра на икономиката, което да изпълнява всички функции на държавния резерв за съхранение и обновяване на резервите на петролни енергийни продукти. Промяната е свързана с оптимизиране на дейностите по създаване и управление на всички резерви и запаси от нефт и нефтопродукти, за  да се гарантира устойчивото им поддържане. Целта е чрез участието на държавата в пазара на горива да се подобри конкуренцията на вътрешния пазар, което ще бъде в полза на крайните потребители и ще допринесе за увеличаване броя на данъчните складове в сектора на горивата. Очаква се положителен бюджетен ефект и увеличаване на постъпленията от акциз.</w:t>
      </w:r>
    </w:p>
    <w:p w:rsidR="006678C9" w:rsidRPr="006678C9" w:rsidRDefault="006678C9" w:rsidP="006678C9">
      <w:pPr>
        <w:spacing w:before="120" w:after="120"/>
        <w:ind w:right="-43" w:firstLine="720"/>
        <w:jc w:val="both"/>
        <w:rPr>
          <w:b/>
          <w:u w:val="single"/>
          <w:lang w:eastAsia="bg-BG"/>
        </w:rPr>
      </w:pPr>
      <w:r w:rsidRPr="006678C9">
        <w:rPr>
          <w:b/>
          <w:u w:val="single"/>
          <w:lang w:eastAsia="bg-BG"/>
        </w:rPr>
        <w:t>Мерки в областта на данъчната политика, предприети в отговор на COVID-19</w:t>
      </w:r>
    </w:p>
    <w:p w:rsidR="006678C9" w:rsidRPr="006678C9" w:rsidRDefault="006678C9" w:rsidP="006678C9">
      <w:pPr>
        <w:spacing w:before="120" w:after="120"/>
        <w:ind w:right="-39" w:firstLine="720"/>
        <w:jc w:val="both"/>
        <w:rPr>
          <w:b/>
          <w:u w:val="single"/>
          <w:lang w:eastAsia="bg-BG"/>
        </w:rPr>
      </w:pPr>
      <w:r w:rsidRPr="006678C9">
        <w:rPr>
          <w:b/>
          <w:u w:val="single"/>
          <w:lang w:eastAsia="bg-BG"/>
        </w:rPr>
        <w:lastRenderedPageBreak/>
        <w:t>Промени в Закона за данък върху добавената стойност</w:t>
      </w:r>
    </w:p>
    <w:p w:rsidR="006678C9" w:rsidRPr="006678C9" w:rsidRDefault="006678C9" w:rsidP="006678C9">
      <w:pPr>
        <w:numPr>
          <w:ilvl w:val="0"/>
          <w:numId w:val="46"/>
        </w:numPr>
        <w:spacing w:before="120" w:after="120"/>
        <w:jc w:val="both"/>
        <w:rPr>
          <w:rFonts w:eastAsia="Calibri"/>
        </w:rPr>
      </w:pPr>
      <w:r w:rsidRPr="006678C9">
        <w:rPr>
          <w:b/>
          <w:i/>
          <w:lang w:eastAsia="bg-BG"/>
        </w:rPr>
        <w:t>Намаляване на ставката за ДДС от 20 % на 9 %</w:t>
      </w:r>
      <w:r w:rsidRPr="006678C9">
        <w:rPr>
          <w:lang w:eastAsia="bg-BG"/>
        </w:rPr>
        <w:t xml:space="preserve"> за доставките на ресторантьорски и кетъринг услуги, на книги, на храна подходяща за бебета или за малки деца и на бебешки пелени и подобни хигиенни артикули (за периода 01.07.2020-31.12.2021 г.), както и за консумацията на бира и вино в питейни заведения, за доставките на услуги за използване на спортни съоръжения и за доставка на обща туристическа услуга в случаите по чл. 136 от ЗДДС (за периода 01.08.2020-31.12.2021 г.). </w:t>
      </w:r>
      <w:r w:rsidRPr="006678C9">
        <w:rPr>
          <w:rFonts w:eastAsia="Calibri"/>
        </w:rPr>
        <w:t xml:space="preserve">Допълнително се прие ставката на ДДС да бъде 9% за ресторантьорски и кетъринг услуги, които се състоят в доставка на приготвена или неприготвена храна, включително състояща се в доставка на храна за вкъщи (за периода </w:t>
      </w:r>
      <w:r w:rsidRPr="006678C9">
        <w:rPr>
          <w:lang w:eastAsia="bg-BG"/>
        </w:rPr>
        <w:t>01.12.2020-</w:t>
      </w:r>
      <w:r w:rsidRPr="006678C9">
        <w:rPr>
          <w:rFonts w:eastAsia="Calibri"/>
        </w:rPr>
        <w:t>31.12.2021 г.)</w:t>
      </w:r>
      <w:r w:rsidRPr="006678C9">
        <w:rPr>
          <w:lang w:eastAsia="bg-BG"/>
        </w:rPr>
        <w:t>;</w:t>
      </w:r>
    </w:p>
    <w:p w:rsidR="006678C9" w:rsidRPr="006678C9" w:rsidRDefault="006678C9" w:rsidP="006678C9">
      <w:pPr>
        <w:numPr>
          <w:ilvl w:val="0"/>
          <w:numId w:val="46"/>
        </w:numPr>
        <w:spacing w:before="120" w:after="120"/>
        <w:jc w:val="both"/>
        <w:rPr>
          <w:rFonts w:eastAsia="Calibri"/>
        </w:rPr>
      </w:pPr>
      <w:r w:rsidRPr="006678C9">
        <w:rPr>
          <w:rFonts w:eastAsia="Calibri"/>
          <w:b/>
          <w:i/>
        </w:rPr>
        <w:t>Освобождаване с право на приспадане на данъчен кредит</w:t>
      </w:r>
      <w:r w:rsidRPr="006678C9">
        <w:rPr>
          <w:rFonts w:eastAsia="Calibri"/>
        </w:rPr>
        <w:t xml:space="preserve"> (т.е. чрез прилагане на нулева ставка на данъка) на следните доставки, облагаеми на територията на страната: 1. Доставката на ваксини срещу COVID-19 и услугите, пряко свързани с тези ваксини; 2. Доставката на медицински изделия за инвитро диагностика на COVID-19 и услугите, пряко свързани с тези изделия. В обхвата на тези освободени доставки влизат и вътреобщностните придобивания (покупки от други държави-членки на ЕС). Целта е да се намалят разходите за ваксини срещу COVID-19 и медицински изделия за инвитро диагностика на COVID-19, както и на услугите, тясно свързани с такива ваксини и изделия. Облекченията са с временен характер и ще се прилагат за периода от 01.01.2021 г. до 31.12.2022 година.</w:t>
      </w:r>
    </w:p>
    <w:p w:rsidR="006678C9" w:rsidRPr="006678C9" w:rsidRDefault="006678C9" w:rsidP="006678C9">
      <w:pPr>
        <w:spacing w:before="120" w:after="120"/>
        <w:ind w:left="720"/>
        <w:jc w:val="both"/>
        <w:rPr>
          <w:b/>
          <w:u w:val="single"/>
          <w:lang w:eastAsia="bg-BG"/>
        </w:rPr>
      </w:pPr>
      <w:r w:rsidRPr="006678C9">
        <w:rPr>
          <w:b/>
          <w:u w:val="single"/>
          <w:lang w:eastAsia="bg-BG"/>
        </w:rPr>
        <w:t>Промени в Закона за данъците върху доходите на физическите лица</w:t>
      </w:r>
    </w:p>
    <w:p w:rsidR="006678C9" w:rsidRPr="006678C9" w:rsidRDefault="00CA413E" w:rsidP="006678C9">
      <w:pPr>
        <w:numPr>
          <w:ilvl w:val="0"/>
          <w:numId w:val="46"/>
        </w:numPr>
        <w:spacing w:before="120" w:after="120"/>
        <w:jc w:val="both"/>
        <w:rPr>
          <w:rFonts w:eastAsia="Calibri"/>
        </w:rPr>
      </w:pPr>
      <w:r w:rsidRPr="006678C9">
        <w:rPr>
          <w:rFonts w:eastAsia="Calibri"/>
          <w:b/>
          <w:i/>
        </w:rPr>
        <w:t>Увеличаване на размера на данъчните облекчения за деца за придобитите през 2021 г. доходи</w:t>
      </w:r>
      <w:r w:rsidRPr="006678C9">
        <w:rPr>
          <w:rFonts w:eastAsia="Calibri"/>
        </w:rPr>
        <w:t>. С промяната се увеличава размерът на данъчното облекчение за деца по чл. 22в от ЗДДФЛ, като от сумата от годишните данъчни основи по чл. 17 от ЗДДФЛ се приспадат следните суми: 4 500 лв.</w:t>
      </w:r>
      <w:r>
        <w:rPr>
          <w:rFonts w:eastAsia="Calibri"/>
        </w:rPr>
        <w:t xml:space="preserve"> (вместо 200)</w:t>
      </w:r>
      <w:r w:rsidRPr="006678C9">
        <w:rPr>
          <w:rFonts w:eastAsia="Calibri"/>
        </w:rPr>
        <w:t xml:space="preserve"> – при едно ненавършило пълнолетие дете; 9 000 лв. </w:t>
      </w:r>
      <w:r>
        <w:rPr>
          <w:rFonts w:eastAsia="Calibri"/>
        </w:rPr>
        <w:t xml:space="preserve">(вместо 400) </w:t>
      </w:r>
      <w:r w:rsidRPr="006678C9">
        <w:rPr>
          <w:rFonts w:eastAsia="Calibri"/>
        </w:rPr>
        <w:t>– при две ненавършили пълнолетие деца; 13 500 лв.</w:t>
      </w:r>
      <w:r>
        <w:rPr>
          <w:rFonts w:eastAsia="Calibri"/>
        </w:rPr>
        <w:t xml:space="preserve"> (вместо 600)</w:t>
      </w:r>
      <w:r w:rsidRPr="006678C9">
        <w:rPr>
          <w:rFonts w:eastAsia="Calibri"/>
        </w:rPr>
        <w:t xml:space="preserve"> – при три и повече ненавършили пълнолетие деца. Увеличен е и размерът на данъчното облекчение за деца с увреждания по чл. 22г от Закона за данъците върху доходите на физическите лица, като сумата от годишните данъчни основи по чл. 17 от ЗДДФЛ се намалява с 9 000 лв. </w:t>
      </w:r>
      <w:r>
        <w:rPr>
          <w:rFonts w:eastAsia="Calibri"/>
        </w:rPr>
        <w:t>(вместо 2000)</w:t>
      </w:r>
      <w:r w:rsidRPr="006678C9">
        <w:rPr>
          <w:rFonts w:eastAsia="Calibri"/>
        </w:rPr>
        <w:t>за отглеждане на дете с 50 и с над 50 на сто вид и степен на увреждане, определени с влязло в сила решение на компетентен орган</w:t>
      </w:r>
      <w:r w:rsidR="006678C9" w:rsidRPr="006678C9">
        <w:rPr>
          <w:rFonts w:eastAsia="Calibri"/>
        </w:rPr>
        <w:t>.</w:t>
      </w:r>
    </w:p>
    <w:p w:rsidR="006678C9" w:rsidRPr="006678C9" w:rsidRDefault="006678C9" w:rsidP="006678C9">
      <w:pPr>
        <w:spacing w:before="120" w:after="120"/>
        <w:ind w:left="720" w:hanging="11"/>
        <w:jc w:val="both"/>
        <w:rPr>
          <w:lang w:eastAsia="bg-BG"/>
        </w:rPr>
      </w:pPr>
      <w:r w:rsidRPr="006678C9">
        <w:rPr>
          <w:b/>
          <w:u w:val="single"/>
          <w:lang w:eastAsia="bg-BG"/>
        </w:rPr>
        <w:t>Промени, свързани с Постановление № 75 на МС oт 6.04.2007 г. за прилагане на членове 43 - 52, 53, 55, 57, 59, 61, 67, 68 и 74 от Регламент (ЕО) № 1186/2009 на Съвета от 16 ноември 2009 г.</w:t>
      </w:r>
      <w:r w:rsidRPr="006678C9">
        <w:rPr>
          <w:lang w:eastAsia="bg-BG"/>
        </w:rPr>
        <w:t xml:space="preserve"> за установяване на система на Общността за митнически освобождавания (кодифицирана версия) (ОВ, L 324 от 10.12.2009 г.) (Загл. изм. - ДВ, бр. 27 от 2010 г., в сила от 9.04.2010 г., посл. доп., ДВ бр. 103 от 4.12.2020 г., в сила от 4.12.2020 г.) </w:t>
      </w:r>
    </w:p>
    <w:p w:rsidR="006678C9" w:rsidRPr="006678C9" w:rsidRDefault="006678C9" w:rsidP="006678C9">
      <w:pPr>
        <w:numPr>
          <w:ilvl w:val="0"/>
          <w:numId w:val="46"/>
        </w:numPr>
        <w:spacing w:before="120" w:after="120"/>
        <w:ind w:right="-39"/>
        <w:jc w:val="both"/>
        <w:rPr>
          <w:b/>
          <w:u w:val="single"/>
          <w:lang w:eastAsia="bg-BG"/>
        </w:rPr>
      </w:pPr>
      <w:r w:rsidRPr="006678C9">
        <w:rPr>
          <w:rFonts w:eastAsia="Calibri"/>
          <w:b/>
          <w:i/>
        </w:rPr>
        <w:t>Освобождаване от ДДС и мита върху вноса на някои медицински стоки, необходими за борба с последиците от пандемията на COVID-19</w:t>
      </w:r>
      <w:r w:rsidRPr="006678C9">
        <w:rPr>
          <w:rFonts w:eastAsia="Calibri"/>
        </w:rPr>
        <w:t>, в съответствие с Решение 2020/491 от 03.04.2020 г. на Европейската комисия и на основание приетото ПМС № 80 от 23.04.2020 г., с което е допълнено Постановление № 75 на МС от 2007 година. В съответствие с две нови решения на Европейската комисия и приети постановления на МС към тях (Решение 2020/1101 на ЕК от 23.07.2020 г. и ПМС № 237 от 27.08.2020 г. и</w:t>
      </w:r>
      <w:r w:rsidRPr="006678C9">
        <w:rPr>
          <w:lang w:eastAsia="bg-BG"/>
        </w:rPr>
        <w:t xml:space="preserve"> </w:t>
      </w:r>
      <w:r w:rsidRPr="006678C9">
        <w:rPr>
          <w:rFonts w:eastAsia="Calibri"/>
        </w:rPr>
        <w:t>Решение 2020/1573 на ЕК от 28.10.2020 г. и ПМС № 332 от 26.11.2020 г.), срокът за прилагане на мярката беше удължен два пъти, съответно от 30 януари 2020 г. до 31 октомври 2020 г. и впоследствие до 30 април 2021 година. Допустими за освобождаване от ДДС са стоките, внесени от държавни организации.</w:t>
      </w:r>
    </w:p>
    <w:p w:rsidR="002E2C27" w:rsidRPr="006D5D56" w:rsidRDefault="002E2C27" w:rsidP="002E2C27">
      <w:pPr>
        <w:tabs>
          <w:tab w:val="left" w:pos="426"/>
        </w:tabs>
        <w:spacing w:before="120" w:after="120"/>
        <w:jc w:val="both"/>
        <w:rPr>
          <w:color w:val="4F81BD" w:themeColor="accent1"/>
          <w:sz w:val="8"/>
          <w:szCs w:val="8"/>
        </w:rPr>
      </w:pPr>
    </w:p>
    <w:p w:rsidR="00B13128" w:rsidRPr="005B7212" w:rsidRDefault="00B13128" w:rsidP="00300C77">
      <w:pPr>
        <w:keepNext/>
        <w:numPr>
          <w:ilvl w:val="0"/>
          <w:numId w:val="10"/>
        </w:numPr>
        <w:ind w:right="-108"/>
        <w:jc w:val="both"/>
        <w:outlineLvl w:val="0"/>
        <w:rPr>
          <w:b/>
          <w:bCs/>
        </w:rPr>
      </w:pPr>
      <w:r w:rsidRPr="005B7212">
        <w:rPr>
          <w:b/>
          <w:bCs/>
        </w:rPr>
        <w:lastRenderedPageBreak/>
        <w:t>Изпълнение на държавния бюджет</w:t>
      </w:r>
      <w:r w:rsidRPr="005B7212">
        <w:rPr>
          <w:b/>
          <w:sz w:val="20"/>
          <w:szCs w:val="20"/>
          <w:vertAlign w:val="superscript"/>
        </w:rPr>
        <w:footnoteReference w:id="6"/>
      </w:r>
      <w:r w:rsidRPr="005B7212">
        <w:rPr>
          <w:b/>
          <w:bCs/>
        </w:rPr>
        <w:t xml:space="preserve"> към </w:t>
      </w:r>
      <w:r w:rsidR="00300C77" w:rsidRPr="005B7212">
        <w:rPr>
          <w:b/>
          <w:bCs/>
        </w:rPr>
        <w:t xml:space="preserve">март </w:t>
      </w:r>
      <w:r w:rsidRPr="005B7212">
        <w:rPr>
          <w:b/>
          <w:bCs/>
        </w:rPr>
        <w:t>20</w:t>
      </w:r>
      <w:r w:rsidR="00300C77" w:rsidRPr="005B7212">
        <w:rPr>
          <w:b/>
          <w:bCs/>
        </w:rPr>
        <w:t>2</w:t>
      </w:r>
      <w:r w:rsidR="005B7212" w:rsidRPr="005B7212">
        <w:rPr>
          <w:b/>
          <w:bCs/>
        </w:rPr>
        <w:t>1</w:t>
      </w:r>
      <w:r w:rsidRPr="005B7212">
        <w:rPr>
          <w:b/>
          <w:bCs/>
        </w:rPr>
        <w:t>г.</w:t>
      </w:r>
    </w:p>
    <w:p w:rsidR="00B13128" w:rsidRPr="005B7212" w:rsidRDefault="00B13128" w:rsidP="00B13128">
      <w:pPr>
        <w:tabs>
          <w:tab w:val="left" w:pos="1080"/>
        </w:tabs>
        <w:spacing w:before="120"/>
        <w:jc w:val="both"/>
      </w:pPr>
      <w:r w:rsidRPr="005B7212">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B13128" w:rsidRPr="006D5D56" w:rsidRDefault="00B13128" w:rsidP="00B13128">
      <w:pPr>
        <w:tabs>
          <w:tab w:val="left" w:pos="1080"/>
        </w:tabs>
        <w:spacing w:before="120"/>
        <w:jc w:val="both"/>
        <w:rPr>
          <w:color w:val="4F81BD" w:themeColor="accent1"/>
          <w:sz w:val="2"/>
          <w:szCs w:val="2"/>
        </w:rPr>
      </w:pPr>
    </w:p>
    <w:p w:rsidR="00B13128" w:rsidRPr="005B7212" w:rsidRDefault="00B13128" w:rsidP="00B13128">
      <w:pPr>
        <w:ind w:right="-242"/>
        <w:rPr>
          <w:b/>
          <w:bCs/>
          <w:sz w:val="20"/>
          <w:szCs w:val="20"/>
          <w:lang w:eastAsia="bg-BG"/>
        </w:rPr>
      </w:pPr>
      <w:r w:rsidRPr="005B7212">
        <w:rPr>
          <w:b/>
          <w:bCs/>
          <w:sz w:val="20"/>
          <w:szCs w:val="20"/>
          <w:lang w:eastAsia="bg-BG"/>
        </w:rPr>
        <w:t xml:space="preserve">            Таблица</w:t>
      </w:r>
      <w:r w:rsidRPr="005B7212">
        <w:rPr>
          <w:b/>
          <w:bCs/>
          <w:sz w:val="20"/>
          <w:szCs w:val="20"/>
          <w:vertAlign w:val="superscript"/>
          <w:lang w:eastAsia="bg-BG"/>
        </w:rPr>
        <w:footnoteReference w:id="7"/>
      </w:r>
      <w:r w:rsidRPr="005B7212">
        <w:rPr>
          <w:b/>
          <w:bCs/>
          <w:sz w:val="20"/>
          <w:szCs w:val="20"/>
          <w:lang w:eastAsia="bg-BG"/>
        </w:rPr>
        <w:t xml:space="preserve">  №2      </w:t>
      </w:r>
      <w:r w:rsidRPr="005B7212">
        <w:rPr>
          <w:b/>
          <w:bCs/>
          <w:sz w:val="20"/>
          <w:szCs w:val="20"/>
          <w:lang w:eastAsia="bg-BG"/>
        </w:rPr>
        <w:tab/>
      </w:r>
      <w:r w:rsidRPr="005B7212">
        <w:rPr>
          <w:b/>
          <w:bCs/>
          <w:sz w:val="20"/>
          <w:szCs w:val="20"/>
          <w:lang w:eastAsia="bg-BG"/>
        </w:rPr>
        <w:tab/>
        <w:t xml:space="preserve">                                          </w:t>
      </w:r>
      <w:r w:rsidRPr="005B7212">
        <w:rPr>
          <w:b/>
          <w:bCs/>
          <w:sz w:val="20"/>
          <w:szCs w:val="20"/>
          <w:lang w:eastAsia="bg-BG"/>
        </w:rPr>
        <w:tab/>
      </w:r>
      <w:r w:rsidRPr="005B7212">
        <w:rPr>
          <w:b/>
          <w:bCs/>
          <w:sz w:val="20"/>
          <w:szCs w:val="20"/>
          <w:lang w:eastAsia="bg-BG"/>
        </w:rPr>
        <w:tab/>
      </w:r>
      <w:r w:rsidRPr="005B7212">
        <w:rPr>
          <w:b/>
          <w:bCs/>
          <w:sz w:val="20"/>
          <w:szCs w:val="20"/>
          <w:lang w:eastAsia="bg-BG"/>
        </w:rPr>
        <w:tab/>
      </w:r>
      <w:r w:rsidRPr="005B7212">
        <w:rPr>
          <w:b/>
          <w:bCs/>
          <w:sz w:val="20"/>
          <w:szCs w:val="20"/>
          <w:lang w:eastAsia="bg-BG"/>
        </w:rPr>
        <w:tab/>
        <w:t xml:space="preserve">  (млн. лв.)</w:t>
      </w:r>
    </w:p>
    <w:p w:rsidR="00B13128" w:rsidRPr="006D5D56" w:rsidRDefault="00B13128" w:rsidP="00B13128">
      <w:pPr>
        <w:ind w:right="-242"/>
        <w:rPr>
          <w:b/>
          <w:bCs/>
          <w:color w:val="4F81BD" w:themeColor="accent1"/>
          <w:sz w:val="6"/>
          <w:szCs w:val="6"/>
          <w:lang w:eastAsia="bg-BG"/>
        </w:rPr>
      </w:pPr>
    </w:p>
    <w:tbl>
      <w:tblPr>
        <w:tblW w:w="9049" w:type="dxa"/>
        <w:jc w:val="center"/>
        <w:tblCellMar>
          <w:left w:w="70" w:type="dxa"/>
          <w:right w:w="70" w:type="dxa"/>
        </w:tblCellMar>
        <w:tblLook w:val="0000" w:firstRow="0" w:lastRow="0" w:firstColumn="0" w:lastColumn="0" w:noHBand="0" w:noVBand="0"/>
      </w:tblPr>
      <w:tblGrid>
        <w:gridCol w:w="4853"/>
        <w:gridCol w:w="1276"/>
        <w:gridCol w:w="1616"/>
        <w:gridCol w:w="1304"/>
      </w:tblGrid>
      <w:tr w:rsidR="00970EB8" w:rsidRPr="00A3166E" w:rsidTr="006B7656">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970EB8" w:rsidRPr="00273B47" w:rsidRDefault="00970EB8" w:rsidP="006B7656">
            <w:pPr>
              <w:jc w:val="center"/>
              <w:rPr>
                <w:b/>
                <w:bCs/>
                <w:sz w:val="18"/>
                <w:szCs w:val="18"/>
              </w:rPr>
            </w:pPr>
            <w:r w:rsidRPr="00273B47">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970EB8" w:rsidRPr="00273B47" w:rsidRDefault="00970EB8" w:rsidP="006B7656">
            <w:pPr>
              <w:jc w:val="center"/>
              <w:rPr>
                <w:b/>
                <w:bCs/>
                <w:sz w:val="18"/>
                <w:szCs w:val="18"/>
              </w:rPr>
            </w:pPr>
            <w:r w:rsidRPr="00273B47">
              <w:rPr>
                <w:b/>
                <w:bCs/>
                <w:sz w:val="18"/>
                <w:szCs w:val="18"/>
              </w:rPr>
              <w:t>ЗДБРБ     2021 г.</w:t>
            </w:r>
          </w:p>
        </w:tc>
        <w:tc>
          <w:tcPr>
            <w:tcW w:w="1616" w:type="dxa"/>
            <w:tcBorders>
              <w:top w:val="single" w:sz="8" w:space="0" w:color="auto"/>
              <w:left w:val="nil"/>
              <w:bottom w:val="nil"/>
              <w:right w:val="nil"/>
            </w:tcBorders>
            <w:shd w:val="clear" w:color="auto" w:fill="auto"/>
            <w:vAlign w:val="center"/>
          </w:tcPr>
          <w:p w:rsidR="00970EB8" w:rsidRPr="00816BDB" w:rsidRDefault="00970EB8" w:rsidP="006B7656">
            <w:pPr>
              <w:jc w:val="center"/>
              <w:rPr>
                <w:b/>
                <w:bCs/>
                <w:sz w:val="18"/>
                <w:szCs w:val="18"/>
              </w:rPr>
            </w:pPr>
            <w:r w:rsidRPr="00816BDB">
              <w:rPr>
                <w:b/>
                <w:bCs/>
                <w:sz w:val="18"/>
                <w:szCs w:val="18"/>
              </w:rPr>
              <w:t xml:space="preserve">Отчет </w:t>
            </w:r>
          </w:p>
          <w:p w:rsidR="00970EB8" w:rsidRPr="00816BDB" w:rsidRDefault="00970EB8" w:rsidP="006B7656">
            <w:pPr>
              <w:jc w:val="center"/>
              <w:rPr>
                <w:b/>
                <w:bCs/>
                <w:sz w:val="18"/>
                <w:szCs w:val="18"/>
              </w:rPr>
            </w:pPr>
            <w:r w:rsidRPr="00816BDB">
              <w:rPr>
                <w:b/>
                <w:bCs/>
                <w:sz w:val="18"/>
                <w:szCs w:val="18"/>
              </w:rPr>
              <w:t>март 2021 г.</w:t>
            </w:r>
          </w:p>
        </w:tc>
        <w:tc>
          <w:tcPr>
            <w:tcW w:w="1304" w:type="dxa"/>
            <w:tcBorders>
              <w:top w:val="single" w:sz="8" w:space="0" w:color="auto"/>
              <w:left w:val="nil"/>
              <w:bottom w:val="nil"/>
              <w:right w:val="single" w:sz="8" w:space="0" w:color="auto"/>
            </w:tcBorders>
            <w:shd w:val="clear" w:color="auto" w:fill="auto"/>
            <w:vAlign w:val="center"/>
          </w:tcPr>
          <w:p w:rsidR="00970EB8" w:rsidRPr="00816BDB" w:rsidRDefault="00970EB8" w:rsidP="006B7656">
            <w:pPr>
              <w:jc w:val="center"/>
              <w:rPr>
                <w:b/>
                <w:bCs/>
                <w:sz w:val="18"/>
                <w:szCs w:val="18"/>
              </w:rPr>
            </w:pPr>
            <w:r w:rsidRPr="00816BDB">
              <w:rPr>
                <w:b/>
                <w:bCs/>
                <w:sz w:val="18"/>
                <w:szCs w:val="18"/>
              </w:rPr>
              <w:t>Изпълнение спрямо    закон 2021 г.</w:t>
            </w:r>
          </w:p>
        </w:tc>
      </w:tr>
      <w:tr w:rsidR="00970EB8" w:rsidRPr="00A3166E" w:rsidTr="006B7656">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970EB8" w:rsidRPr="00273B47" w:rsidRDefault="00970EB8" w:rsidP="006B7656">
            <w:pPr>
              <w:rPr>
                <w:b/>
                <w:bCs/>
                <w:sz w:val="18"/>
                <w:szCs w:val="18"/>
              </w:rPr>
            </w:pPr>
            <w:r w:rsidRPr="00273B47">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970EB8" w:rsidRPr="00273B47" w:rsidRDefault="00970EB8" w:rsidP="006B7656">
            <w:pPr>
              <w:jc w:val="right"/>
              <w:rPr>
                <w:b/>
                <w:bCs/>
                <w:sz w:val="18"/>
                <w:szCs w:val="18"/>
              </w:rPr>
            </w:pPr>
            <w:r w:rsidRPr="00273B47">
              <w:rPr>
                <w:b/>
                <w:bCs/>
                <w:sz w:val="18"/>
                <w:szCs w:val="18"/>
              </w:rPr>
              <w:t>27 051,4</w:t>
            </w:r>
          </w:p>
        </w:tc>
        <w:tc>
          <w:tcPr>
            <w:tcW w:w="1616" w:type="dxa"/>
            <w:tcBorders>
              <w:top w:val="single" w:sz="4" w:space="0" w:color="auto"/>
              <w:left w:val="nil"/>
              <w:bottom w:val="single" w:sz="8" w:space="0" w:color="auto"/>
              <w:right w:val="nil"/>
            </w:tcBorders>
            <w:shd w:val="clear" w:color="auto" w:fill="auto"/>
            <w:noWrap/>
            <w:vAlign w:val="bottom"/>
          </w:tcPr>
          <w:p w:rsidR="00970EB8" w:rsidRDefault="00970EB8" w:rsidP="006B7656">
            <w:pPr>
              <w:jc w:val="right"/>
              <w:rPr>
                <w:b/>
                <w:bCs/>
                <w:sz w:val="18"/>
                <w:szCs w:val="18"/>
              </w:rPr>
            </w:pPr>
            <w:r>
              <w:rPr>
                <w:b/>
                <w:bCs/>
                <w:sz w:val="18"/>
                <w:szCs w:val="18"/>
              </w:rPr>
              <w:t>6 363,9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970EB8" w:rsidRDefault="00970EB8" w:rsidP="006B7656">
            <w:pPr>
              <w:jc w:val="right"/>
              <w:rPr>
                <w:b/>
                <w:bCs/>
                <w:sz w:val="18"/>
                <w:szCs w:val="18"/>
              </w:rPr>
            </w:pPr>
            <w:r>
              <w:rPr>
                <w:b/>
                <w:bCs/>
                <w:sz w:val="18"/>
                <w:szCs w:val="18"/>
              </w:rPr>
              <w:t>23,5%</w:t>
            </w:r>
          </w:p>
        </w:tc>
      </w:tr>
      <w:tr w:rsidR="00970EB8" w:rsidRPr="00A3166E" w:rsidTr="006B7656">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24 192,0</w:t>
            </w:r>
          </w:p>
        </w:tc>
        <w:tc>
          <w:tcPr>
            <w:tcW w:w="1616" w:type="dxa"/>
            <w:tcBorders>
              <w:top w:val="single" w:sz="8" w:space="0" w:color="auto"/>
              <w:left w:val="nil"/>
              <w:right w:val="nil"/>
            </w:tcBorders>
            <w:shd w:val="clear" w:color="auto" w:fill="auto"/>
            <w:noWrap/>
            <w:vAlign w:val="bottom"/>
          </w:tcPr>
          <w:p w:rsidR="00970EB8" w:rsidRPr="00CA78D5" w:rsidRDefault="00970EB8" w:rsidP="006B7656">
            <w:pPr>
              <w:jc w:val="right"/>
              <w:rPr>
                <w:sz w:val="18"/>
                <w:szCs w:val="18"/>
              </w:rPr>
            </w:pPr>
            <w:r w:rsidRPr="00CA78D5">
              <w:rPr>
                <w:sz w:val="18"/>
                <w:szCs w:val="18"/>
              </w:rPr>
              <w:t>5 681,6</w:t>
            </w:r>
          </w:p>
        </w:tc>
        <w:tc>
          <w:tcPr>
            <w:tcW w:w="1304" w:type="dxa"/>
            <w:tcBorders>
              <w:top w:val="single" w:sz="8" w:space="0" w:color="auto"/>
              <w:left w:val="nil"/>
              <w:right w:val="single" w:sz="8" w:space="0" w:color="auto"/>
            </w:tcBorders>
            <w:shd w:val="clear" w:color="auto" w:fill="auto"/>
            <w:noWrap/>
            <w:vAlign w:val="bottom"/>
          </w:tcPr>
          <w:p w:rsidR="00970EB8" w:rsidRPr="00CA78D5" w:rsidRDefault="00970EB8" w:rsidP="006B7656">
            <w:pPr>
              <w:jc w:val="right"/>
              <w:rPr>
                <w:sz w:val="18"/>
                <w:szCs w:val="18"/>
              </w:rPr>
            </w:pPr>
            <w:r w:rsidRPr="00CA78D5">
              <w:rPr>
                <w:sz w:val="18"/>
                <w:szCs w:val="18"/>
              </w:rPr>
              <w:t>23,5%</w:t>
            </w:r>
          </w:p>
        </w:tc>
      </w:tr>
      <w:tr w:rsidR="00970EB8" w:rsidRPr="00A3166E" w:rsidTr="006B7656">
        <w:trPr>
          <w:trHeight w:val="80"/>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2 651,2</w:t>
            </w:r>
          </w:p>
        </w:tc>
        <w:tc>
          <w:tcPr>
            <w:tcW w:w="1616" w:type="dxa"/>
            <w:tcBorders>
              <w:left w:val="nil"/>
              <w:bottom w:val="nil"/>
              <w:right w:val="nil"/>
            </w:tcBorders>
            <w:shd w:val="clear" w:color="auto" w:fill="auto"/>
            <w:noWrap/>
            <w:vAlign w:val="bottom"/>
          </w:tcPr>
          <w:p w:rsidR="00970EB8" w:rsidRPr="00CA78D5" w:rsidRDefault="00970EB8" w:rsidP="006B7656">
            <w:pPr>
              <w:jc w:val="right"/>
              <w:rPr>
                <w:bCs/>
                <w:sz w:val="18"/>
                <w:szCs w:val="18"/>
              </w:rPr>
            </w:pPr>
            <w:r w:rsidRPr="00CA78D5">
              <w:rPr>
                <w:bCs/>
                <w:sz w:val="18"/>
                <w:szCs w:val="18"/>
              </w:rPr>
              <w:t>143,6</w:t>
            </w:r>
          </w:p>
        </w:tc>
        <w:tc>
          <w:tcPr>
            <w:tcW w:w="1304" w:type="dxa"/>
            <w:tcBorders>
              <w:left w:val="nil"/>
              <w:bottom w:val="nil"/>
              <w:right w:val="single" w:sz="8" w:space="0" w:color="auto"/>
            </w:tcBorders>
            <w:shd w:val="clear" w:color="auto" w:fill="auto"/>
            <w:noWrap/>
            <w:vAlign w:val="bottom"/>
          </w:tcPr>
          <w:p w:rsidR="00970EB8" w:rsidRPr="00CA78D5" w:rsidRDefault="00970EB8" w:rsidP="006B7656">
            <w:pPr>
              <w:jc w:val="right"/>
              <w:rPr>
                <w:bCs/>
                <w:sz w:val="18"/>
                <w:szCs w:val="18"/>
              </w:rPr>
            </w:pPr>
            <w:r w:rsidRPr="00CA78D5">
              <w:rPr>
                <w:bCs/>
                <w:sz w:val="18"/>
                <w:szCs w:val="18"/>
              </w:rPr>
              <w:t>5,4%</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w:t>
            </w:r>
            <w:r w:rsidRPr="00273B47">
              <w:rPr>
                <w:sz w:val="18"/>
                <w:szCs w:val="18"/>
                <w:lang w:val="en-US"/>
              </w:rPr>
              <w:t xml:space="preserve"> </w:t>
            </w:r>
            <w:r w:rsidRPr="00273B47">
              <w:rPr>
                <w:sz w:val="18"/>
                <w:szCs w:val="18"/>
              </w:rPr>
              <w:t>ДДФЛ</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4 306,6</w:t>
            </w:r>
          </w:p>
        </w:tc>
        <w:tc>
          <w:tcPr>
            <w:tcW w:w="1616" w:type="dxa"/>
            <w:tcBorders>
              <w:left w:val="nil"/>
              <w:bottom w:val="nil"/>
              <w:right w:val="nil"/>
            </w:tcBorders>
            <w:shd w:val="clear" w:color="auto" w:fill="auto"/>
            <w:noWrap/>
            <w:vAlign w:val="bottom"/>
          </w:tcPr>
          <w:p w:rsidR="00970EB8" w:rsidRPr="00CA78D5" w:rsidRDefault="00970EB8" w:rsidP="006B7656">
            <w:pPr>
              <w:jc w:val="right"/>
              <w:rPr>
                <w:bCs/>
                <w:sz w:val="18"/>
                <w:szCs w:val="18"/>
              </w:rPr>
            </w:pPr>
            <w:r w:rsidRPr="00CA78D5">
              <w:rPr>
                <w:bCs/>
                <w:sz w:val="18"/>
                <w:szCs w:val="18"/>
              </w:rPr>
              <w:t>1 115,1</w:t>
            </w:r>
          </w:p>
        </w:tc>
        <w:tc>
          <w:tcPr>
            <w:tcW w:w="1304" w:type="dxa"/>
            <w:tcBorders>
              <w:left w:val="nil"/>
              <w:bottom w:val="nil"/>
              <w:right w:val="single" w:sz="8" w:space="0" w:color="auto"/>
            </w:tcBorders>
            <w:shd w:val="clear" w:color="auto" w:fill="auto"/>
            <w:noWrap/>
            <w:vAlign w:val="bottom"/>
          </w:tcPr>
          <w:p w:rsidR="00970EB8" w:rsidRPr="00CA78D5" w:rsidRDefault="00970EB8" w:rsidP="006B7656">
            <w:pPr>
              <w:jc w:val="right"/>
              <w:rPr>
                <w:bCs/>
                <w:sz w:val="18"/>
                <w:szCs w:val="18"/>
              </w:rPr>
            </w:pPr>
            <w:r w:rsidRPr="00CA78D5">
              <w:rPr>
                <w:bCs/>
                <w:sz w:val="18"/>
                <w:szCs w:val="18"/>
              </w:rPr>
              <w:t>25,9%</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w:t>
            </w:r>
            <w:r w:rsidRPr="00273B47">
              <w:rPr>
                <w:sz w:val="18"/>
                <w:szCs w:val="18"/>
                <w:lang w:val="en-US"/>
              </w:rPr>
              <w:t xml:space="preserve"> </w:t>
            </w:r>
            <w:r w:rsidRPr="00273B47">
              <w:rPr>
                <w:sz w:val="18"/>
                <w:szCs w:val="18"/>
              </w:rPr>
              <w:t>ДДС</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11 220,0</w:t>
            </w:r>
          </w:p>
        </w:tc>
        <w:tc>
          <w:tcPr>
            <w:tcW w:w="1616" w:type="dxa"/>
            <w:tcBorders>
              <w:left w:val="nil"/>
              <w:bottom w:val="nil"/>
              <w:right w:val="nil"/>
            </w:tcBorders>
            <w:shd w:val="clear" w:color="auto" w:fill="auto"/>
            <w:noWrap/>
            <w:vAlign w:val="bottom"/>
          </w:tcPr>
          <w:p w:rsidR="00970EB8" w:rsidRPr="00811FAE" w:rsidRDefault="00970EB8" w:rsidP="006B7656">
            <w:pPr>
              <w:jc w:val="right"/>
              <w:rPr>
                <w:bCs/>
                <w:sz w:val="18"/>
                <w:szCs w:val="18"/>
              </w:rPr>
            </w:pPr>
            <w:r w:rsidRPr="00811FAE">
              <w:rPr>
                <w:bCs/>
                <w:sz w:val="18"/>
                <w:szCs w:val="18"/>
              </w:rPr>
              <w:t>3 126,8</w:t>
            </w:r>
          </w:p>
        </w:tc>
        <w:tc>
          <w:tcPr>
            <w:tcW w:w="1304" w:type="dxa"/>
            <w:tcBorders>
              <w:left w:val="nil"/>
              <w:bottom w:val="nil"/>
              <w:right w:val="single" w:sz="8" w:space="0" w:color="auto"/>
            </w:tcBorders>
            <w:shd w:val="clear" w:color="auto" w:fill="auto"/>
            <w:noWrap/>
            <w:vAlign w:val="bottom"/>
          </w:tcPr>
          <w:p w:rsidR="00970EB8" w:rsidRPr="00811FAE" w:rsidRDefault="00970EB8" w:rsidP="006B7656">
            <w:pPr>
              <w:jc w:val="right"/>
              <w:rPr>
                <w:bCs/>
                <w:sz w:val="18"/>
                <w:szCs w:val="18"/>
              </w:rPr>
            </w:pPr>
            <w:r w:rsidRPr="00811FAE">
              <w:rPr>
                <w:bCs/>
                <w:sz w:val="18"/>
                <w:szCs w:val="18"/>
              </w:rPr>
              <w:t>27,9%</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w:t>
            </w:r>
            <w:r w:rsidRPr="00273B47">
              <w:rPr>
                <w:sz w:val="18"/>
                <w:szCs w:val="18"/>
                <w:lang w:val="en-US"/>
              </w:rPr>
              <w:t xml:space="preserve"> </w:t>
            </w:r>
            <w:r w:rsidRPr="00273B47">
              <w:rPr>
                <w:sz w:val="18"/>
                <w:szCs w:val="18"/>
              </w:rPr>
              <w:t xml:space="preserve">Акцизи </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5 580,0</w:t>
            </w:r>
          </w:p>
        </w:tc>
        <w:tc>
          <w:tcPr>
            <w:tcW w:w="1616" w:type="dxa"/>
            <w:tcBorders>
              <w:left w:val="nil"/>
              <w:bottom w:val="nil"/>
              <w:right w:val="nil"/>
            </w:tcBorders>
            <w:shd w:val="clear" w:color="auto" w:fill="auto"/>
            <w:noWrap/>
            <w:vAlign w:val="bottom"/>
          </w:tcPr>
          <w:p w:rsidR="00970EB8" w:rsidRPr="00811FAE" w:rsidRDefault="00970EB8" w:rsidP="006B7656">
            <w:pPr>
              <w:jc w:val="right"/>
              <w:rPr>
                <w:bCs/>
                <w:sz w:val="18"/>
                <w:szCs w:val="18"/>
              </w:rPr>
            </w:pPr>
            <w:r w:rsidRPr="00811FAE">
              <w:rPr>
                <w:bCs/>
                <w:sz w:val="18"/>
                <w:szCs w:val="18"/>
              </w:rPr>
              <w:t>1 205,7</w:t>
            </w:r>
          </w:p>
        </w:tc>
        <w:tc>
          <w:tcPr>
            <w:tcW w:w="1304" w:type="dxa"/>
            <w:tcBorders>
              <w:left w:val="nil"/>
              <w:bottom w:val="nil"/>
              <w:right w:val="single" w:sz="8" w:space="0" w:color="auto"/>
            </w:tcBorders>
            <w:shd w:val="clear" w:color="auto" w:fill="auto"/>
            <w:noWrap/>
            <w:vAlign w:val="bottom"/>
          </w:tcPr>
          <w:p w:rsidR="00970EB8" w:rsidRPr="00811FAE" w:rsidRDefault="00970EB8" w:rsidP="006B7656">
            <w:pPr>
              <w:jc w:val="right"/>
              <w:rPr>
                <w:bCs/>
                <w:sz w:val="18"/>
                <w:szCs w:val="18"/>
              </w:rPr>
            </w:pPr>
            <w:r w:rsidRPr="00811FAE">
              <w:rPr>
                <w:bCs/>
                <w:sz w:val="18"/>
                <w:szCs w:val="18"/>
              </w:rPr>
              <w:t>21,6%</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46,0</w:t>
            </w:r>
          </w:p>
        </w:tc>
        <w:tc>
          <w:tcPr>
            <w:tcW w:w="1616" w:type="dxa"/>
            <w:tcBorders>
              <w:left w:val="nil"/>
              <w:bottom w:val="nil"/>
              <w:right w:val="nil"/>
            </w:tcBorders>
            <w:shd w:val="clear" w:color="auto" w:fill="auto"/>
            <w:noWrap/>
            <w:vAlign w:val="bottom"/>
          </w:tcPr>
          <w:p w:rsidR="00970EB8" w:rsidRPr="00811FAE" w:rsidRDefault="00970EB8" w:rsidP="006B7656">
            <w:pPr>
              <w:jc w:val="right"/>
              <w:rPr>
                <w:bCs/>
                <w:sz w:val="18"/>
                <w:szCs w:val="18"/>
              </w:rPr>
            </w:pPr>
            <w:r w:rsidRPr="00811FAE">
              <w:rPr>
                <w:bCs/>
                <w:sz w:val="18"/>
                <w:szCs w:val="18"/>
              </w:rPr>
              <w:t>11,9</w:t>
            </w:r>
          </w:p>
        </w:tc>
        <w:tc>
          <w:tcPr>
            <w:tcW w:w="1304" w:type="dxa"/>
            <w:tcBorders>
              <w:left w:val="nil"/>
              <w:bottom w:val="nil"/>
              <w:right w:val="single" w:sz="8" w:space="0" w:color="auto"/>
            </w:tcBorders>
            <w:shd w:val="clear" w:color="auto" w:fill="auto"/>
            <w:noWrap/>
            <w:vAlign w:val="bottom"/>
          </w:tcPr>
          <w:p w:rsidR="00970EB8" w:rsidRPr="00811FAE" w:rsidRDefault="00970EB8" w:rsidP="006B7656">
            <w:pPr>
              <w:jc w:val="right"/>
              <w:rPr>
                <w:bCs/>
                <w:sz w:val="18"/>
                <w:szCs w:val="18"/>
              </w:rPr>
            </w:pPr>
            <w:r w:rsidRPr="00811FAE">
              <w:rPr>
                <w:bCs/>
                <w:sz w:val="18"/>
                <w:szCs w:val="18"/>
              </w:rPr>
              <w:t>25,8%</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w:t>
            </w:r>
            <w:r w:rsidRPr="00273B47">
              <w:rPr>
                <w:sz w:val="18"/>
                <w:szCs w:val="18"/>
                <w:lang w:val="en-US"/>
              </w:rPr>
              <w:t xml:space="preserve"> </w:t>
            </w:r>
            <w:r w:rsidRPr="00273B47">
              <w:rPr>
                <w:sz w:val="18"/>
                <w:szCs w:val="18"/>
              </w:rPr>
              <w:t>Мита и митнически такси</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234,2</w:t>
            </w:r>
          </w:p>
        </w:tc>
        <w:tc>
          <w:tcPr>
            <w:tcW w:w="1616" w:type="dxa"/>
            <w:tcBorders>
              <w:left w:val="nil"/>
              <w:bottom w:val="nil"/>
              <w:right w:val="nil"/>
            </w:tcBorders>
            <w:shd w:val="clear" w:color="auto" w:fill="auto"/>
            <w:noWrap/>
            <w:vAlign w:val="bottom"/>
          </w:tcPr>
          <w:p w:rsidR="00970EB8" w:rsidRPr="00811FAE" w:rsidRDefault="00970EB8" w:rsidP="006B7656">
            <w:pPr>
              <w:jc w:val="right"/>
              <w:rPr>
                <w:bCs/>
                <w:sz w:val="18"/>
                <w:szCs w:val="18"/>
              </w:rPr>
            </w:pPr>
            <w:r w:rsidRPr="00811FAE">
              <w:rPr>
                <w:bCs/>
                <w:sz w:val="18"/>
                <w:szCs w:val="18"/>
              </w:rPr>
              <w:t>58,4</w:t>
            </w:r>
          </w:p>
        </w:tc>
        <w:tc>
          <w:tcPr>
            <w:tcW w:w="1304" w:type="dxa"/>
            <w:tcBorders>
              <w:left w:val="nil"/>
              <w:bottom w:val="nil"/>
              <w:right w:val="single" w:sz="8" w:space="0" w:color="auto"/>
            </w:tcBorders>
            <w:shd w:val="clear" w:color="auto" w:fill="auto"/>
            <w:noWrap/>
            <w:vAlign w:val="bottom"/>
          </w:tcPr>
          <w:p w:rsidR="00970EB8" w:rsidRPr="00811FAE" w:rsidRDefault="00970EB8" w:rsidP="006B7656">
            <w:pPr>
              <w:jc w:val="right"/>
              <w:rPr>
                <w:bCs/>
                <w:sz w:val="18"/>
                <w:szCs w:val="18"/>
              </w:rPr>
            </w:pPr>
            <w:r w:rsidRPr="00811FAE">
              <w:rPr>
                <w:bCs/>
                <w:sz w:val="18"/>
                <w:szCs w:val="18"/>
              </w:rPr>
              <w:t>24,9%</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w:t>
            </w:r>
            <w:r w:rsidRPr="00273B47">
              <w:rPr>
                <w:sz w:val="18"/>
                <w:szCs w:val="18"/>
                <w:lang w:val="en-US"/>
              </w:rPr>
              <w:t xml:space="preserve"> </w:t>
            </w:r>
            <w:r w:rsidRPr="00273B47">
              <w:rPr>
                <w:sz w:val="18"/>
                <w:szCs w:val="18"/>
              </w:rPr>
              <w:t>Други данъци</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154,0</w:t>
            </w:r>
          </w:p>
        </w:tc>
        <w:tc>
          <w:tcPr>
            <w:tcW w:w="1616" w:type="dxa"/>
            <w:tcBorders>
              <w:left w:val="nil"/>
              <w:bottom w:val="nil"/>
              <w:right w:val="nil"/>
            </w:tcBorders>
            <w:shd w:val="clear" w:color="auto" w:fill="auto"/>
            <w:noWrap/>
            <w:vAlign w:val="bottom"/>
          </w:tcPr>
          <w:p w:rsidR="00970EB8" w:rsidRPr="00473617" w:rsidRDefault="00970EB8" w:rsidP="006B7656">
            <w:pPr>
              <w:jc w:val="right"/>
              <w:rPr>
                <w:sz w:val="18"/>
                <w:szCs w:val="18"/>
              </w:rPr>
            </w:pPr>
            <w:r w:rsidRPr="00473617">
              <w:rPr>
                <w:sz w:val="18"/>
                <w:szCs w:val="18"/>
              </w:rPr>
              <w:t>20,3</w:t>
            </w:r>
          </w:p>
        </w:tc>
        <w:tc>
          <w:tcPr>
            <w:tcW w:w="1304" w:type="dxa"/>
            <w:tcBorders>
              <w:left w:val="nil"/>
              <w:bottom w:val="nil"/>
              <w:right w:val="single" w:sz="8" w:space="0" w:color="auto"/>
            </w:tcBorders>
            <w:shd w:val="clear" w:color="auto" w:fill="auto"/>
            <w:noWrap/>
            <w:vAlign w:val="bottom"/>
          </w:tcPr>
          <w:p w:rsidR="00970EB8" w:rsidRPr="00473617" w:rsidRDefault="00970EB8" w:rsidP="006B7656">
            <w:pPr>
              <w:jc w:val="right"/>
              <w:rPr>
                <w:sz w:val="18"/>
                <w:szCs w:val="18"/>
              </w:rPr>
            </w:pPr>
            <w:r w:rsidRPr="00473617">
              <w:rPr>
                <w:sz w:val="18"/>
                <w:szCs w:val="18"/>
              </w:rPr>
              <w:t>13,2%</w:t>
            </w:r>
          </w:p>
        </w:tc>
      </w:tr>
      <w:tr w:rsidR="00970EB8" w:rsidRPr="00A3166E" w:rsidTr="006B7656">
        <w:trPr>
          <w:trHeight w:val="165"/>
          <w:jc w:val="center"/>
        </w:trPr>
        <w:tc>
          <w:tcPr>
            <w:tcW w:w="4853" w:type="dxa"/>
            <w:tcBorders>
              <w:left w:val="single" w:sz="8"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-Неданъчни приходи</w:t>
            </w:r>
          </w:p>
        </w:tc>
        <w:tc>
          <w:tcPr>
            <w:tcW w:w="1276" w:type="dxa"/>
            <w:tcBorders>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2 859,4</w:t>
            </w:r>
          </w:p>
        </w:tc>
        <w:tc>
          <w:tcPr>
            <w:tcW w:w="1616" w:type="dxa"/>
            <w:tcBorders>
              <w:left w:val="nil"/>
              <w:bottom w:val="nil"/>
              <w:right w:val="nil"/>
            </w:tcBorders>
            <w:shd w:val="clear" w:color="auto" w:fill="auto"/>
            <w:noWrap/>
            <w:vAlign w:val="bottom"/>
          </w:tcPr>
          <w:p w:rsidR="00970EB8" w:rsidRPr="00473617" w:rsidRDefault="00970EB8" w:rsidP="006B7656">
            <w:pPr>
              <w:jc w:val="right"/>
              <w:rPr>
                <w:sz w:val="18"/>
                <w:szCs w:val="18"/>
              </w:rPr>
            </w:pPr>
            <w:r w:rsidRPr="00473617">
              <w:rPr>
                <w:sz w:val="18"/>
                <w:szCs w:val="18"/>
              </w:rPr>
              <w:t>681,6</w:t>
            </w:r>
          </w:p>
        </w:tc>
        <w:tc>
          <w:tcPr>
            <w:tcW w:w="1304" w:type="dxa"/>
            <w:tcBorders>
              <w:left w:val="nil"/>
              <w:bottom w:val="nil"/>
              <w:right w:val="single" w:sz="8" w:space="0" w:color="auto"/>
            </w:tcBorders>
            <w:shd w:val="clear" w:color="auto" w:fill="auto"/>
            <w:noWrap/>
            <w:vAlign w:val="bottom"/>
          </w:tcPr>
          <w:p w:rsidR="00970EB8" w:rsidRPr="00473617" w:rsidRDefault="00970EB8" w:rsidP="006B7656">
            <w:pPr>
              <w:jc w:val="right"/>
              <w:rPr>
                <w:sz w:val="18"/>
                <w:szCs w:val="18"/>
              </w:rPr>
            </w:pPr>
            <w:r w:rsidRPr="00473617">
              <w:rPr>
                <w:sz w:val="18"/>
                <w:szCs w:val="18"/>
              </w:rPr>
              <w:t>23,8%</w:t>
            </w:r>
          </w:p>
        </w:tc>
      </w:tr>
      <w:tr w:rsidR="00970EB8" w:rsidRPr="00A3166E" w:rsidTr="006B7656">
        <w:trPr>
          <w:trHeight w:val="165"/>
          <w:jc w:val="center"/>
        </w:trPr>
        <w:tc>
          <w:tcPr>
            <w:tcW w:w="4853" w:type="dxa"/>
            <w:tcBorders>
              <w:left w:val="single" w:sz="8" w:space="0" w:color="auto"/>
              <w:bottom w:val="single" w:sz="4" w:space="0" w:color="auto"/>
              <w:right w:val="single" w:sz="8"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-Помощи и дарения</w:t>
            </w:r>
          </w:p>
        </w:tc>
        <w:tc>
          <w:tcPr>
            <w:tcW w:w="1276" w:type="dxa"/>
            <w:tcBorders>
              <w:left w:val="nil"/>
              <w:bottom w:val="single" w:sz="4" w:space="0" w:color="auto"/>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0,0</w:t>
            </w:r>
          </w:p>
        </w:tc>
        <w:tc>
          <w:tcPr>
            <w:tcW w:w="1616" w:type="dxa"/>
            <w:tcBorders>
              <w:left w:val="nil"/>
              <w:bottom w:val="single" w:sz="4" w:space="0" w:color="auto"/>
              <w:right w:val="nil"/>
            </w:tcBorders>
            <w:shd w:val="clear" w:color="auto" w:fill="auto"/>
            <w:noWrap/>
            <w:vAlign w:val="bottom"/>
          </w:tcPr>
          <w:p w:rsidR="00970EB8" w:rsidRPr="00473617" w:rsidRDefault="00970EB8" w:rsidP="006B7656">
            <w:pPr>
              <w:jc w:val="right"/>
              <w:rPr>
                <w:sz w:val="18"/>
                <w:szCs w:val="18"/>
              </w:rPr>
            </w:pPr>
            <w:r w:rsidRPr="00473617">
              <w:rPr>
                <w:sz w:val="18"/>
                <w:szCs w:val="18"/>
              </w:rPr>
              <w:t>0,6</w:t>
            </w:r>
          </w:p>
        </w:tc>
        <w:tc>
          <w:tcPr>
            <w:tcW w:w="1304" w:type="dxa"/>
            <w:tcBorders>
              <w:left w:val="nil"/>
              <w:bottom w:val="single" w:sz="4" w:space="0" w:color="auto"/>
              <w:right w:val="single" w:sz="8" w:space="0" w:color="auto"/>
            </w:tcBorders>
            <w:shd w:val="clear" w:color="auto" w:fill="auto"/>
            <w:noWrap/>
            <w:vAlign w:val="bottom"/>
          </w:tcPr>
          <w:p w:rsidR="00970EB8" w:rsidRPr="00473617" w:rsidRDefault="00970EB8" w:rsidP="006B7656">
            <w:pPr>
              <w:jc w:val="center"/>
              <w:rPr>
                <w:sz w:val="18"/>
                <w:szCs w:val="18"/>
              </w:rPr>
            </w:pPr>
          </w:p>
        </w:tc>
      </w:tr>
      <w:tr w:rsidR="00970EB8" w:rsidRPr="00A3166E" w:rsidTr="006B7656">
        <w:trPr>
          <w:trHeight w:val="199"/>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EB8" w:rsidRPr="00273B47" w:rsidRDefault="00970EB8" w:rsidP="006B7656">
            <w:pPr>
              <w:rPr>
                <w:b/>
                <w:bCs/>
                <w:sz w:val="18"/>
                <w:szCs w:val="18"/>
              </w:rPr>
            </w:pPr>
            <w:r w:rsidRPr="00273B47">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rsidR="00970EB8" w:rsidRPr="00273B47" w:rsidRDefault="00970EB8" w:rsidP="006B7656">
            <w:pPr>
              <w:jc w:val="right"/>
              <w:rPr>
                <w:b/>
                <w:bCs/>
                <w:sz w:val="18"/>
                <w:szCs w:val="18"/>
              </w:rPr>
            </w:pPr>
            <w:r w:rsidRPr="00273B47">
              <w:rPr>
                <w:b/>
                <w:bCs/>
                <w:sz w:val="18"/>
                <w:szCs w:val="18"/>
              </w:rPr>
              <w:t>32 535,8</w:t>
            </w:r>
          </w:p>
        </w:tc>
        <w:tc>
          <w:tcPr>
            <w:tcW w:w="1616" w:type="dxa"/>
            <w:tcBorders>
              <w:top w:val="single" w:sz="4" w:space="0" w:color="auto"/>
              <w:left w:val="nil"/>
              <w:bottom w:val="single" w:sz="4" w:space="0" w:color="auto"/>
              <w:right w:val="nil"/>
            </w:tcBorders>
            <w:shd w:val="clear" w:color="auto" w:fill="auto"/>
            <w:noWrap/>
            <w:vAlign w:val="bottom"/>
          </w:tcPr>
          <w:p w:rsidR="00970EB8" w:rsidRPr="006B4DC0" w:rsidRDefault="00970EB8" w:rsidP="006B7656">
            <w:pPr>
              <w:jc w:val="right"/>
              <w:rPr>
                <w:b/>
                <w:bCs/>
                <w:sz w:val="18"/>
                <w:szCs w:val="18"/>
              </w:rPr>
            </w:pPr>
            <w:r w:rsidRPr="006B4DC0">
              <w:rPr>
                <w:b/>
                <w:bCs/>
                <w:sz w:val="18"/>
                <w:szCs w:val="18"/>
              </w:rPr>
              <w:t>8 167,0</w:t>
            </w:r>
          </w:p>
        </w:tc>
        <w:tc>
          <w:tcPr>
            <w:tcW w:w="1304" w:type="dxa"/>
            <w:tcBorders>
              <w:top w:val="single" w:sz="4" w:space="0" w:color="auto"/>
              <w:left w:val="nil"/>
              <w:bottom w:val="single" w:sz="4" w:space="0" w:color="auto"/>
              <w:right w:val="single" w:sz="8" w:space="0" w:color="auto"/>
            </w:tcBorders>
            <w:shd w:val="clear" w:color="auto" w:fill="auto"/>
            <w:noWrap/>
            <w:vAlign w:val="bottom"/>
          </w:tcPr>
          <w:p w:rsidR="00970EB8" w:rsidRPr="006B4DC0" w:rsidRDefault="00970EB8" w:rsidP="006B7656">
            <w:pPr>
              <w:jc w:val="right"/>
              <w:rPr>
                <w:b/>
                <w:bCs/>
                <w:sz w:val="18"/>
                <w:szCs w:val="18"/>
              </w:rPr>
            </w:pPr>
            <w:r w:rsidRPr="006B4DC0">
              <w:rPr>
                <w:b/>
                <w:bCs/>
                <w:sz w:val="18"/>
                <w:szCs w:val="18"/>
              </w:rPr>
              <w:t>25,1%</w:t>
            </w:r>
          </w:p>
        </w:tc>
      </w:tr>
      <w:tr w:rsidR="00970EB8" w:rsidRPr="00A3166E" w:rsidTr="006B7656">
        <w:trPr>
          <w:trHeight w:val="101"/>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970EB8" w:rsidRPr="00273B47" w:rsidRDefault="00970EB8" w:rsidP="006B7656">
            <w:pPr>
              <w:rPr>
                <w:b/>
                <w:i/>
                <w:sz w:val="18"/>
                <w:szCs w:val="18"/>
              </w:rPr>
            </w:pPr>
            <w:r w:rsidRPr="00273B47">
              <w:rPr>
                <w:b/>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15 114,1</w:t>
            </w:r>
          </w:p>
        </w:tc>
        <w:tc>
          <w:tcPr>
            <w:tcW w:w="1616" w:type="dxa"/>
            <w:tcBorders>
              <w:top w:val="single" w:sz="4" w:space="0" w:color="auto"/>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2 990,3</w:t>
            </w:r>
          </w:p>
        </w:tc>
        <w:tc>
          <w:tcPr>
            <w:tcW w:w="1304" w:type="dxa"/>
            <w:tcBorders>
              <w:top w:val="single" w:sz="4" w:space="0" w:color="auto"/>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19,8%</w:t>
            </w:r>
          </w:p>
        </w:tc>
      </w:tr>
      <w:tr w:rsidR="00970EB8" w:rsidRPr="00A3166E" w:rsidTr="006B7656">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Текущи </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12 660,2</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2 730,2</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21,6%</w:t>
            </w:r>
          </w:p>
        </w:tc>
      </w:tr>
      <w:tr w:rsidR="00970EB8" w:rsidRPr="00A3166E" w:rsidTr="006B7656">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18,0</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2,0</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11,2%</w:t>
            </w:r>
          </w:p>
        </w:tc>
      </w:tr>
      <w:tr w:rsidR="00970EB8" w:rsidRPr="00A3166E" w:rsidTr="006B7656">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Капиталови</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2 435,9</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258,1</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10,6%</w:t>
            </w:r>
          </w:p>
        </w:tc>
      </w:tr>
      <w:tr w:rsidR="00970EB8" w:rsidRPr="00A3166E" w:rsidTr="006B7656">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b/>
                <w:i/>
                <w:sz w:val="18"/>
                <w:szCs w:val="18"/>
              </w:rPr>
            </w:pPr>
            <w:r w:rsidRPr="00273B47">
              <w:rPr>
                <w:b/>
                <w:i/>
                <w:sz w:val="18"/>
                <w:szCs w:val="18"/>
              </w:rPr>
              <w:t xml:space="preserve">   -Лихви</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622,6</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308,8</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49,6%</w:t>
            </w:r>
          </w:p>
        </w:tc>
      </w:tr>
      <w:tr w:rsidR="00970EB8" w:rsidRPr="00A3166E" w:rsidTr="006B7656">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472,4</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255,2</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54,0%</w:t>
            </w:r>
          </w:p>
        </w:tc>
      </w:tr>
      <w:tr w:rsidR="00970EB8" w:rsidRPr="00A3166E" w:rsidTr="006B7656">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sz w:val="18"/>
                <w:szCs w:val="18"/>
              </w:rPr>
            </w:pPr>
            <w:r w:rsidRPr="00273B47">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150,3</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53,6</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35,7%</w:t>
            </w:r>
          </w:p>
        </w:tc>
      </w:tr>
      <w:tr w:rsidR="00970EB8" w:rsidRPr="00A3166E" w:rsidTr="006B7656">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b/>
                <w:i/>
                <w:sz w:val="18"/>
                <w:szCs w:val="18"/>
              </w:rPr>
            </w:pPr>
            <w:r w:rsidRPr="00273B47">
              <w:rPr>
                <w:b/>
                <w:i/>
                <w:sz w:val="18"/>
                <w:szCs w:val="18"/>
              </w:rPr>
              <w:t xml:space="preserve"> - Резерв за непредвидени и неотложни разходи</w:t>
            </w:r>
            <w:r w:rsidRPr="00273B47">
              <w:rPr>
                <w:rStyle w:val="FootnoteReference"/>
              </w:rPr>
              <w:footnoteReference w:id="8"/>
            </w:r>
            <w:r w:rsidRPr="00273B47">
              <w:rPr>
                <w:b/>
                <w:i/>
                <w:sz w:val="18"/>
                <w:szCs w:val="18"/>
              </w:rPr>
              <w:tab/>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81,1</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p>
        </w:tc>
      </w:tr>
      <w:tr w:rsidR="00970EB8" w:rsidRPr="00A3166E" w:rsidTr="006B7656">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970EB8" w:rsidRPr="00273B47" w:rsidRDefault="00970EB8" w:rsidP="006B7656">
            <w:pPr>
              <w:rPr>
                <w:b/>
                <w:i/>
                <w:sz w:val="18"/>
                <w:szCs w:val="18"/>
              </w:rPr>
            </w:pPr>
            <w:r w:rsidRPr="00273B47">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15 255,4</w:t>
            </w:r>
          </w:p>
        </w:tc>
        <w:tc>
          <w:tcPr>
            <w:tcW w:w="1616" w:type="dxa"/>
            <w:tcBorders>
              <w:top w:val="nil"/>
              <w:left w:val="nil"/>
              <w:bottom w:val="nil"/>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4 388,6</w:t>
            </w:r>
          </w:p>
        </w:tc>
        <w:tc>
          <w:tcPr>
            <w:tcW w:w="1304" w:type="dxa"/>
            <w:tcBorders>
              <w:top w:val="nil"/>
              <w:left w:val="nil"/>
              <w:bottom w:val="nil"/>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28,8%</w:t>
            </w:r>
          </w:p>
        </w:tc>
      </w:tr>
      <w:tr w:rsidR="00970EB8" w:rsidRPr="00A3166E" w:rsidTr="006B7656">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970EB8" w:rsidRPr="00273B47" w:rsidRDefault="00970EB8" w:rsidP="006B7656">
            <w:pPr>
              <w:rPr>
                <w:b/>
                <w:bCs/>
                <w:i/>
                <w:sz w:val="18"/>
                <w:szCs w:val="18"/>
              </w:rPr>
            </w:pPr>
            <w:r w:rsidRPr="00273B47">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970EB8" w:rsidRPr="00273B47" w:rsidRDefault="00970EB8" w:rsidP="006B7656">
            <w:pPr>
              <w:jc w:val="right"/>
              <w:rPr>
                <w:sz w:val="18"/>
                <w:szCs w:val="18"/>
              </w:rPr>
            </w:pPr>
            <w:r w:rsidRPr="00273B47">
              <w:rPr>
                <w:sz w:val="18"/>
                <w:szCs w:val="18"/>
              </w:rPr>
              <w:t>1 462,6</w:t>
            </w:r>
          </w:p>
        </w:tc>
        <w:tc>
          <w:tcPr>
            <w:tcW w:w="1616" w:type="dxa"/>
            <w:tcBorders>
              <w:top w:val="nil"/>
              <w:left w:val="nil"/>
              <w:bottom w:val="single" w:sz="4" w:space="0" w:color="auto"/>
              <w:right w:val="nil"/>
            </w:tcBorders>
            <w:shd w:val="clear" w:color="auto" w:fill="auto"/>
            <w:noWrap/>
            <w:vAlign w:val="bottom"/>
          </w:tcPr>
          <w:p w:rsidR="00970EB8" w:rsidRPr="006B4DC0" w:rsidRDefault="00970EB8" w:rsidP="006B7656">
            <w:pPr>
              <w:jc w:val="right"/>
              <w:rPr>
                <w:sz w:val="18"/>
                <w:szCs w:val="18"/>
              </w:rPr>
            </w:pPr>
            <w:r w:rsidRPr="006B4DC0">
              <w:rPr>
                <w:sz w:val="18"/>
                <w:szCs w:val="18"/>
              </w:rPr>
              <w:t>479,3</w:t>
            </w:r>
          </w:p>
        </w:tc>
        <w:tc>
          <w:tcPr>
            <w:tcW w:w="1304" w:type="dxa"/>
            <w:tcBorders>
              <w:top w:val="nil"/>
              <w:left w:val="nil"/>
              <w:bottom w:val="single" w:sz="4" w:space="0" w:color="auto"/>
              <w:right w:val="single" w:sz="8" w:space="0" w:color="auto"/>
            </w:tcBorders>
            <w:shd w:val="clear" w:color="auto" w:fill="auto"/>
            <w:noWrap/>
            <w:vAlign w:val="bottom"/>
          </w:tcPr>
          <w:p w:rsidR="00970EB8" w:rsidRPr="006B4DC0" w:rsidRDefault="00970EB8" w:rsidP="006B7656">
            <w:pPr>
              <w:jc w:val="right"/>
              <w:rPr>
                <w:sz w:val="18"/>
                <w:szCs w:val="18"/>
              </w:rPr>
            </w:pPr>
            <w:r w:rsidRPr="006B4DC0">
              <w:rPr>
                <w:sz w:val="18"/>
                <w:szCs w:val="18"/>
              </w:rPr>
              <w:t>32,8%</w:t>
            </w:r>
          </w:p>
        </w:tc>
      </w:tr>
      <w:tr w:rsidR="00970EB8" w:rsidRPr="00A3166E" w:rsidTr="006B7656">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EB8" w:rsidRPr="00273B47" w:rsidRDefault="00970EB8" w:rsidP="006B7656">
            <w:pPr>
              <w:rPr>
                <w:b/>
                <w:bCs/>
                <w:sz w:val="18"/>
                <w:szCs w:val="18"/>
              </w:rPr>
            </w:pPr>
            <w:r w:rsidRPr="00273B47">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970EB8" w:rsidRPr="00273B47" w:rsidRDefault="00970EB8" w:rsidP="006B7656">
            <w:pPr>
              <w:jc w:val="right"/>
              <w:rPr>
                <w:b/>
                <w:bCs/>
                <w:sz w:val="18"/>
                <w:szCs w:val="18"/>
              </w:rPr>
            </w:pPr>
            <w:r w:rsidRPr="00273B47">
              <w:rPr>
                <w:b/>
                <w:bCs/>
                <w:sz w:val="18"/>
                <w:szCs w:val="18"/>
              </w:rPr>
              <w:t>-5 484,4</w:t>
            </w:r>
          </w:p>
        </w:tc>
        <w:tc>
          <w:tcPr>
            <w:tcW w:w="1616" w:type="dxa"/>
            <w:tcBorders>
              <w:top w:val="single" w:sz="4" w:space="0" w:color="auto"/>
              <w:left w:val="nil"/>
              <w:bottom w:val="single" w:sz="8" w:space="0" w:color="auto"/>
              <w:right w:val="nil"/>
            </w:tcBorders>
            <w:shd w:val="clear" w:color="auto" w:fill="auto"/>
            <w:noWrap/>
            <w:vAlign w:val="bottom"/>
          </w:tcPr>
          <w:p w:rsidR="00970EB8" w:rsidRPr="006B4DC0" w:rsidRDefault="00970EB8" w:rsidP="006B7656">
            <w:pPr>
              <w:jc w:val="right"/>
              <w:rPr>
                <w:b/>
                <w:bCs/>
                <w:sz w:val="18"/>
                <w:szCs w:val="18"/>
              </w:rPr>
            </w:pPr>
            <w:r w:rsidRPr="006B4DC0">
              <w:rPr>
                <w:b/>
                <w:bCs/>
                <w:sz w:val="18"/>
                <w:szCs w:val="18"/>
              </w:rPr>
              <w:t>-1 803,1</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970EB8" w:rsidRPr="006B4DC0" w:rsidRDefault="00970EB8" w:rsidP="006B7656">
            <w:pPr>
              <w:jc w:val="right"/>
              <w:rPr>
                <w:b/>
                <w:bCs/>
                <w:sz w:val="18"/>
                <w:szCs w:val="18"/>
              </w:rPr>
            </w:pPr>
          </w:p>
        </w:tc>
      </w:tr>
    </w:tbl>
    <w:p w:rsidR="00B13128" w:rsidRPr="006D5D56" w:rsidRDefault="00B13128" w:rsidP="00B13128">
      <w:pPr>
        <w:spacing w:after="120"/>
        <w:ind w:left="360"/>
        <w:jc w:val="both"/>
        <w:rPr>
          <w:b/>
          <w:color w:val="4F81BD" w:themeColor="accent1"/>
          <w:sz w:val="6"/>
          <w:lang w:val="en-US"/>
        </w:rPr>
      </w:pPr>
    </w:p>
    <w:p w:rsidR="00B13128" w:rsidRPr="006D5D56" w:rsidRDefault="00B13128" w:rsidP="00B13128">
      <w:pPr>
        <w:spacing w:after="120"/>
        <w:ind w:left="360"/>
        <w:jc w:val="both"/>
        <w:rPr>
          <w:b/>
          <w:color w:val="4F81BD" w:themeColor="accent1"/>
          <w:sz w:val="6"/>
          <w:lang w:val="en-US"/>
        </w:rPr>
      </w:pPr>
    </w:p>
    <w:p w:rsidR="00095EF0" w:rsidRPr="00861E4A" w:rsidRDefault="00095EF0" w:rsidP="00095EF0">
      <w:pPr>
        <w:pStyle w:val="BodyTextIndent"/>
        <w:numPr>
          <w:ilvl w:val="0"/>
          <w:numId w:val="2"/>
        </w:numPr>
        <w:jc w:val="both"/>
        <w:rPr>
          <w:b/>
        </w:rPr>
      </w:pPr>
      <w:r w:rsidRPr="00861E4A">
        <w:rPr>
          <w:b/>
          <w:bCs/>
        </w:rPr>
        <w:t xml:space="preserve">Приходи по държавния бюджет </w:t>
      </w:r>
    </w:p>
    <w:p w:rsidR="00095EF0" w:rsidRPr="00861E4A" w:rsidRDefault="00095EF0" w:rsidP="00095EF0">
      <w:pPr>
        <w:spacing w:after="120"/>
        <w:jc w:val="both"/>
        <w:rPr>
          <w:bCs/>
        </w:rPr>
      </w:pPr>
      <w:r w:rsidRPr="00861E4A">
        <w:rPr>
          <w:bCs/>
        </w:rPr>
        <w:t>Общият размер на</w:t>
      </w:r>
      <w:r w:rsidRPr="00861E4A">
        <w:rPr>
          <w:b/>
          <w:bCs/>
        </w:rPr>
        <w:t xml:space="preserve"> приходите, помощите и даренията по държавния бюджет</w:t>
      </w:r>
      <w:r w:rsidRPr="00861E4A">
        <w:rPr>
          <w:bCs/>
        </w:rPr>
        <w:t xml:space="preserve"> към март 2021 г. е</w:t>
      </w:r>
      <w:r w:rsidRPr="00861E4A">
        <w:rPr>
          <w:b/>
          <w:bCs/>
        </w:rPr>
        <w:t xml:space="preserve"> 6 363,9 млн. лв.</w:t>
      </w:r>
      <w:r w:rsidRPr="00861E4A">
        <w:rPr>
          <w:bCs/>
        </w:rPr>
        <w:t>, което представлява 23,5 % изпълнение на разчетите по ЗДБРБ за 2021 година.</w:t>
      </w:r>
    </w:p>
    <w:p w:rsidR="00095EF0" w:rsidRPr="00861E4A" w:rsidRDefault="00095EF0" w:rsidP="00095EF0">
      <w:pPr>
        <w:numPr>
          <w:ilvl w:val="0"/>
          <w:numId w:val="3"/>
        </w:numPr>
        <w:tabs>
          <w:tab w:val="num" w:pos="720"/>
        </w:tabs>
        <w:ind w:left="0" w:firstLine="180"/>
        <w:jc w:val="both"/>
        <w:rPr>
          <w:b/>
          <w:bCs/>
        </w:rPr>
      </w:pPr>
      <w:r w:rsidRPr="00861E4A">
        <w:rPr>
          <w:bCs/>
        </w:rPr>
        <w:t xml:space="preserve"> </w:t>
      </w:r>
      <w:r w:rsidRPr="00861E4A">
        <w:rPr>
          <w:b/>
          <w:bCs/>
        </w:rPr>
        <w:t>Данъчни приходи</w:t>
      </w:r>
    </w:p>
    <w:p w:rsidR="00095EF0" w:rsidRPr="00A3166E" w:rsidRDefault="00095EF0" w:rsidP="00095EF0">
      <w:pPr>
        <w:jc w:val="both"/>
        <w:rPr>
          <w:bCs/>
          <w:color w:val="0070C0"/>
          <w:sz w:val="4"/>
          <w:szCs w:val="4"/>
        </w:rPr>
      </w:pPr>
    </w:p>
    <w:p w:rsidR="00095EF0" w:rsidRPr="00861E4A" w:rsidRDefault="00095EF0" w:rsidP="00095EF0">
      <w:pPr>
        <w:jc w:val="both"/>
      </w:pPr>
      <w:r w:rsidRPr="00861E4A">
        <w:rPr>
          <w:bCs/>
        </w:rPr>
        <w:t>Размерът на</w:t>
      </w:r>
      <w:r w:rsidRPr="00861E4A">
        <w:rPr>
          <w:b/>
          <w:bCs/>
        </w:rPr>
        <w:t xml:space="preserve"> данъчните постъпления по държавния бюджет</w:t>
      </w:r>
      <w:r w:rsidRPr="00861E4A">
        <w:rPr>
          <w:bCs/>
        </w:rPr>
        <w:t xml:space="preserve"> към март 2021 г. </w:t>
      </w:r>
      <w:r w:rsidRPr="00861E4A">
        <w:t xml:space="preserve">е </w:t>
      </w:r>
      <w:r w:rsidRPr="00861E4A">
        <w:rPr>
          <w:b/>
        </w:rPr>
        <w:t>5 681,6 млн. лв</w:t>
      </w:r>
      <w:r w:rsidRPr="00861E4A">
        <w:t xml:space="preserve">., което представлява 23,5 % изпълнение на годишните разчети. В сравнение със същия </w:t>
      </w:r>
      <w:r w:rsidRPr="000B161C">
        <w:t>период на 2020 г. постъпленията в групата са близки по размер.</w:t>
      </w:r>
      <w:r w:rsidRPr="00861E4A">
        <w:t xml:space="preserve"> </w:t>
      </w:r>
    </w:p>
    <w:p w:rsidR="00095EF0" w:rsidRPr="00A3166E" w:rsidRDefault="00095EF0" w:rsidP="00095EF0">
      <w:pPr>
        <w:jc w:val="both"/>
        <w:rPr>
          <w:color w:val="0070C0"/>
          <w:sz w:val="10"/>
        </w:rPr>
      </w:pPr>
    </w:p>
    <w:p w:rsidR="00095EF0" w:rsidRPr="00DA472F" w:rsidRDefault="00095EF0" w:rsidP="00095EF0">
      <w:pPr>
        <w:numPr>
          <w:ilvl w:val="0"/>
          <w:numId w:val="4"/>
        </w:numPr>
        <w:tabs>
          <w:tab w:val="clear" w:pos="1440"/>
          <w:tab w:val="num" w:pos="540"/>
        </w:tabs>
        <w:spacing w:before="120" w:after="120"/>
        <w:ind w:left="0" w:firstLine="181"/>
        <w:jc w:val="both"/>
        <w:rPr>
          <w:b/>
          <w:bCs/>
        </w:rPr>
      </w:pPr>
      <w:r w:rsidRPr="00DA472F">
        <w:rPr>
          <w:b/>
          <w:bCs/>
        </w:rPr>
        <w:t>Преки данъци</w:t>
      </w:r>
    </w:p>
    <w:p w:rsidR="00095EF0" w:rsidRPr="006458CF" w:rsidRDefault="00095EF0" w:rsidP="00095EF0">
      <w:pPr>
        <w:spacing w:before="120"/>
        <w:jc w:val="both"/>
      </w:pPr>
      <w:r w:rsidRPr="00DA472F">
        <w:t>Приходите в групата на</w:t>
      </w:r>
      <w:r w:rsidRPr="00DA472F">
        <w:rPr>
          <w:b/>
        </w:rPr>
        <w:t xml:space="preserve"> преките данъци</w:t>
      </w:r>
      <w:r w:rsidRPr="00DA472F">
        <w:t xml:space="preserve"> са в размер на</w:t>
      </w:r>
      <w:r w:rsidRPr="00DA472F">
        <w:rPr>
          <w:b/>
        </w:rPr>
        <w:t> 1 258,6 млн. лв</w:t>
      </w:r>
      <w:r w:rsidRPr="00DA472F">
        <w:t>. или 18,1 % от планираните за годината, като съпоставени със същия период на предходната година намаляват с 44,5 млн. лв. (3,4 %).</w:t>
      </w:r>
      <w:r w:rsidRPr="00A3166E">
        <w:rPr>
          <w:color w:val="0070C0"/>
        </w:rPr>
        <w:t xml:space="preserve"> </w:t>
      </w:r>
      <w:r w:rsidRPr="00FB468B">
        <w:t>Приходите от</w:t>
      </w:r>
      <w:r w:rsidRPr="00FB468B">
        <w:rPr>
          <w:b/>
        </w:rPr>
        <w:t xml:space="preserve"> </w:t>
      </w:r>
      <w:r w:rsidRPr="00FB468B">
        <w:rPr>
          <w:b/>
          <w:bCs/>
          <w:i/>
        </w:rPr>
        <w:t>корпоративни данъци</w:t>
      </w:r>
      <w:r w:rsidRPr="00FB468B">
        <w:t xml:space="preserve"> </w:t>
      </w:r>
      <w:r w:rsidRPr="00FB468B">
        <w:rPr>
          <w:bCs/>
        </w:rPr>
        <w:t>към март 2021</w:t>
      </w:r>
      <w:r w:rsidRPr="00FB468B">
        <w:rPr>
          <w:b/>
        </w:rPr>
        <w:t> </w:t>
      </w:r>
      <w:r w:rsidRPr="00FB468B">
        <w:t>г. са в размер на 143,6 млн. лв. или 5,4 % от годишния план.</w:t>
      </w:r>
      <w:r w:rsidRPr="00A3166E">
        <w:rPr>
          <w:color w:val="0070C0"/>
        </w:rPr>
        <w:t xml:space="preserve"> </w:t>
      </w:r>
      <w:r w:rsidRPr="00FB468B">
        <w:t xml:space="preserve">Спрямо същия период на предходната </w:t>
      </w:r>
      <w:r w:rsidRPr="00C87ADC">
        <w:t>година постъпленията намаляват със 161,7 млн. лв. (53,0 %), което се дължи основно на по-ниските приходи от корпоративен данък от нефинансови предприятия (</w:t>
      </w:r>
      <w:r w:rsidRPr="00D40081">
        <w:t>намаление с</w:t>
      </w:r>
      <w:r w:rsidRPr="00C87ADC">
        <w:t>ъс</w:t>
      </w:r>
      <w:r w:rsidRPr="00D40081">
        <w:t xml:space="preserve"> </w:t>
      </w:r>
      <w:r w:rsidRPr="00C87ADC">
        <w:t>155,6</w:t>
      </w:r>
      <w:r>
        <w:t> </w:t>
      </w:r>
      <w:r w:rsidRPr="00D40081">
        <w:t xml:space="preserve">млн. </w:t>
      </w:r>
      <w:r w:rsidRPr="00C87ADC">
        <w:t>л</w:t>
      </w:r>
      <w:r w:rsidRPr="00D40081">
        <w:t>в.</w:t>
      </w:r>
      <w:r w:rsidRPr="00C87ADC">
        <w:t>)</w:t>
      </w:r>
      <w:r w:rsidR="00322176">
        <w:t xml:space="preserve">. </w:t>
      </w:r>
      <w:r w:rsidRPr="00C87ADC">
        <w:t xml:space="preserve">Приходите от данък върху дивидентите, ликвидационните дялове и доходите </w:t>
      </w:r>
      <w:r w:rsidRPr="00207CF3">
        <w:t xml:space="preserve">на местни и чуждестранни юридически лица са </w:t>
      </w:r>
      <w:r w:rsidRPr="00487A52">
        <w:t>в размер</w:t>
      </w:r>
      <w:r w:rsidRPr="008D3308">
        <w:t xml:space="preserve"> на 25,2 млн. лв., като се повишават с </w:t>
      </w:r>
      <w:r w:rsidRPr="00C15BD6">
        <w:t>4,1 млн. лв. (</w:t>
      </w:r>
      <w:r w:rsidRPr="00B86A02">
        <w:t>19,2 </w:t>
      </w:r>
      <w:r w:rsidRPr="00203C6A">
        <w:t xml:space="preserve">%) спрямо март </w:t>
      </w:r>
      <w:r w:rsidRPr="003D450F">
        <w:t>20</w:t>
      </w:r>
      <w:r w:rsidRPr="000E2FD5">
        <w:t>20</w:t>
      </w:r>
      <w:r w:rsidRPr="00C15BD6">
        <w:t xml:space="preserve"> година. </w:t>
      </w:r>
      <w:r w:rsidRPr="006458CF">
        <w:t xml:space="preserve">Върху приходите в групата влияние оказват приетите законодателни промени в крайните срокове за подаване на годишната данъчна </w:t>
      </w:r>
      <w:r w:rsidRPr="006458CF">
        <w:lastRenderedPageBreak/>
        <w:t>декларация за 2020 г. по Закона за корпоративното подоходно облагане, което измества една част от постъпленията в края на второто тримесечие на годината</w:t>
      </w:r>
      <w:r w:rsidRPr="00C15BD6">
        <w:t>.</w:t>
      </w:r>
    </w:p>
    <w:p w:rsidR="00095EF0" w:rsidRPr="00BB3059" w:rsidRDefault="00095EF0" w:rsidP="00095EF0">
      <w:pPr>
        <w:spacing w:before="120" w:after="120"/>
        <w:jc w:val="both"/>
      </w:pPr>
      <w:r w:rsidRPr="00207CF3">
        <w:t>Приходите от</w:t>
      </w:r>
      <w:r w:rsidRPr="00207CF3">
        <w:rPr>
          <w:b/>
        </w:rPr>
        <w:t xml:space="preserve"> данъци върху доходите на физически лица </w:t>
      </w:r>
      <w:r w:rsidRPr="00207CF3">
        <w:t xml:space="preserve">са в размер на </w:t>
      </w:r>
      <w:r w:rsidRPr="00D40081">
        <w:rPr>
          <w:b/>
        </w:rPr>
        <w:t>1</w:t>
      </w:r>
      <w:r w:rsidRPr="00487A52">
        <w:rPr>
          <w:b/>
          <w:lang w:val="en-US"/>
        </w:rPr>
        <w:t> </w:t>
      </w:r>
      <w:r w:rsidRPr="00D40081">
        <w:rPr>
          <w:b/>
        </w:rPr>
        <w:t>115</w:t>
      </w:r>
      <w:r w:rsidRPr="008D3308">
        <w:rPr>
          <w:b/>
        </w:rPr>
        <w:t>,</w:t>
      </w:r>
      <w:r w:rsidRPr="00D40081">
        <w:rPr>
          <w:b/>
        </w:rPr>
        <w:t>1</w:t>
      </w:r>
      <w:r w:rsidRPr="008D3308">
        <w:rPr>
          <w:b/>
        </w:rPr>
        <w:t xml:space="preserve"> млн. лв.</w:t>
      </w:r>
      <w:r w:rsidRPr="00D61024">
        <w:t xml:space="preserve"> или 25,9 % от заложените в разчета за годината. Тези приходи са със 117,2 млн. лв. повече </w:t>
      </w:r>
      <w:r w:rsidRPr="00A607F7">
        <w:t>(11,7 %), спрямо същия период на предходната година.</w:t>
      </w:r>
      <w:r w:rsidRPr="00A607F7">
        <w:rPr>
          <w:color w:val="0070C0"/>
        </w:rPr>
        <w:t xml:space="preserve"> </w:t>
      </w:r>
      <w:r w:rsidRPr="00A607F7">
        <w:t>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w:t>
      </w:r>
      <w:r w:rsidRPr="00BB3059">
        <w:t xml:space="preserve"> </w:t>
      </w:r>
    </w:p>
    <w:p w:rsidR="00095EF0" w:rsidRPr="00AF4EDE" w:rsidRDefault="00095EF0" w:rsidP="00095EF0">
      <w:pPr>
        <w:spacing w:after="120"/>
        <w:jc w:val="both"/>
      </w:pPr>
      <w:r w:rsidRPr="0049624D">
        <w:rPr>
          <w:i/>
        </w:rPr>
        <w:t>По трудови правоотношения</w:t>
      </w:r>
      <w:r w:rsidRPr="0049624D">
        <w:t xml:space="preserve"> приходите от данъка </w:t>
      </w:r>
      <w:r w:rsidRPr="0049624D">
        <w:rPr>
          <w:bCs/>
        </w:rPr>
        <w:t>към март 2021</w:t>
      </w:r>
      <w:r w:rsidRPr="0049624D">
        <w:t xml:space="preserve"> г. са 903,9 млн. лв., 25,4 % от годишните разчети. Тези приходи са със 74,7 млн. лв. (9,0 %) повече, в сравнение със същия период на предходната година.</w:t>
      </w:r>
      <w:r w:rsidRPr="00A3166E">
        <w:rPr>
          <w:color w:val="0070C0"/>
        </w:rPr>
        <w:t xml:space="preserve"> </w:t>
      </w:r>
      <w:r w:rsidRPr="00302D1F">
        <w:t xml:space="preserve">Върху размера на постъпленията влияние оказват: увеличението на минималната работна заплата за страната от 01.01.2021 г.; увеличението на минималните осигурителни прагове за 2021 г.; </w:t>
      </w:r>
      <w:r w:rsidRPr="00302D1F">
        <w:tab/>
      </w:r>
      <w:r w:rsidRPr="00302D1F">
        <w:rPr>
          <w:rFonts w:eastAsia="Batang"/>
        </w:rPr>
        <w:t>увеличение на заплатите в обществения сектор</w:t>
      </w:r>
      <w:r w:rsidRPr="00302D1F">
        <w:t xml:space="preserve">, вкл. на </w:t>
      </w:r>
      <w:r w:rsidRPr="00302D1F">
        <w:rPr>
          <w:rFonts w:eastAsia="Batang"/>
        </w:rPr>
        <w:t>педагогическия персонал</w:t>
      </w:r>
      <w:r w:rsidRPr="00302D1F">
        <w:t>;</w:t>
      </w:r>
      <w:r w:rsidRPr="00A3166E">
        <w:rPr>
          <w:color w:val="0070C0"/>
        </w:rPr>
        <w:t xml:space="preserve"> </w:t>
      </w:r>
      <w:r w:rsidRPr="00493EE5">
        <w:t xml:space="preserve">промените в броя на наетите лица и заплащането на труда, промените в нивото на безработица; </w:t>
      </w:r>
      <w:r w:rsidRPr="00AF4EDE">
        <w:t>допълнителни</w:t>
      </w:r>
      <w:r>
        <w:t>те</w:t>
      </w:r>
      <w:r w:rsidRPr="00AF4EDE">
        <w:t xml:space="preserve"> възнаграждения на медицинския и немедицинския персонал, ангажиран с пациенти, заболели с коронавирус и рискови пациенти; мерките „60/40” и „80/20” за краткосрочна подкрепа на заетостта, чрез които държавата поема изплащането на 60 на сто, респективно 80 на сто от месечния осигурителен доход и дължимите осигурителни вноски за сметка на осигурителя в предприятия, чийто бизнес е пострадал от кризата с разпространението на заразата от коронавирус, и други.</w:t>
      </w:r>
    </w:p>
    <w:p w:rsidR="00095EF0" w:rsidRPr="00256D61" w:rsidRDefault="00095EF0" w:rsidP="00095EF0">
      <w:pPr>
        <w:spacing w:after="120"/>
        <w:jc w:val="both"/>
      </w:pPr>
      <w:r w:rsidRPr="00D25439">
        <w:rPr>
          <w:i/>
        </w:rPr>
        <w:t>По извънтрудови правоотношения (свободни професии, граждански договори и др.)</w:t>
      </w:r>
      <w:r w:rsidRPr="00D25439">
        <w:t xml:space="preserve"> приходите от данъка </w:t>
      </w:r>
      <w:r w:rsidRPr="00D25439">
        <w:rPr>
          <w:bCs/>
        </w:rPr>
        <w:t>към март 2021</w:t>
      </w:r>
      <w:r w:rsidRPr="00D25439">
        <w:t xml:space="preserve"> г. са в размер на 105,5 млн. лв., което е 26,7 % от годишния разчет.</w:t>
      </w:r>
      <w:r w:rsidRPr="00A3166E">
        <w:rPr>
          <w:color w:val="0070C0"/>
        </w:rPr>
        <w:t xml:space="preserve"> </w:t>
      </w:r>
      <w:r w:rsidRPr="00D25439">
        <w:t xml:space="preserve">За отчетния период са постъпили с 33,3 млн. лв. повече приходи (46,1 %) </w:t>
      </w:r>
      <w:r w:rsidRPr="00C62FEF">
        <w:t>спрямо края на март 2020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p>
    <w:p w:rsidR="00095EF0" w:rsidRPr="00C12226" w:rsidRDefault="00095EF0" w:rsidP="00095EF0">
      <w:pPr>
        <w:spacing w:after="120"/>
        <w:jc w:val="both"/>
      </w:pPr>
      <w:r w:rsidRPr="00C12226">
        <w:rPr>
          <w:i/>
        </w:rPr>
        <w:t xml:space="preserve">Окончателен данък на местните и чуждестранни физически лица по чл. 37 и 38 от ЗДДФЛ </w:t>
      </w:r>
      <w:r w:rsidRPr="00C12226">
        <w:t xml:space="preserve">и </w:t>
      </w:r>
      <w:r w:rsidRPr="00C12226">
        <w:rPr>
          <w:i/>
        </w:rPr>
        <w:t>данък върху дивидентите и ликвидационните дялове на физически лица</w:t>
      </w:r>
      <w:r w:rsidRPr="00C12226">
        <w:t xml:space="preserve"> - постъпленията от тези данъци са в размер на 103,9 млн. лв., 29,9 % спрямо годишния разчет. За отчетния период са постъпили с 9,5 млн. лв. повече (10,1 %) спрямо март 2020 година.</w:t>
      </w:r>
    </w:p>
    <w:p w:rsidR="00095EF0" w:rsidRPr="00375E86" w:rsidRDefault="00095EF0" w:rsidP="00095EF0">
      <w:pPr>
        <w:spacing w:after="120"/>
        <w:jc w:val="both"/>
      </w:pPr>
      <w:r w:rsidRPr="00375E86">
        <w:t xml:space="preserve">Постъпленията от </w:t>
      </w:r>
      <w:r w:rsidRPr="00375E86">
        <w:rPr>
          <w:i/>
        </w:rPr>
        <w:t xml:space="preserve">окончателния данък върху приходите от лихви от депозити на физическите лица </w:t>
      </w:r>
      <w:r w:rsidRPr="00375E86">
        <w:t>са в размер на 1,8 млн. лева.</w:t>
      </w:r>
    </w:p>
    <w:p w:rsidR="00095EF0" w:rsidRPr="00375E86" w:rsidRDefault="00095EF0" w:rsidP="00095EF0">
      <w:pPr>
        <w:numPr>
          <w:ilvl w:val="0"/>
          <w:numId w:val="4"/>
        </w:numPr>
        <w:tabs>
          <w:tab w:val="clear" w:pos="1440"/>
          <w:tab w:val="num" w:pos="540"/>
        </w:tabs>
        <w:ind w:left="0" w:firstLine="180"/>
        <w:jc w:val="both"/>
        <w:rPr>
          <w:b/>
          <w:bCs/>
        </w:rPr>
      </w:pPr>
      <w:r w:rsidRPr="00375E86">
        <w:rPr>
          <w:b/>
          <w:bCs/>
        </w:rPr>
        <w:t>Косвени данъци</w:t>
      </w:r>
    </w:p>
    <w:p w:rsidR="00095EF0" w:rsidRPr="00A3166E" w:rsidRDefault="00095EF0" w:rsidP="00095EF0">
      <w:pPr>
        <w:jc w:val="both"/>
        <w:rPr>
          <w:b/>
          <w:bCs/>
          <w:color w:val="0070C0"/>
          <w:sz w:val="4"/>
          <w:szCs w:val="4"/>
        </w:rPr>
      </w:pPr>
    </w:p>
    <w:p w:rsidR="00095EF0" w:rsidRPr="001725DA" w:rsidRDefault="00095EF0" w:rsidP="00095EF0">
      <w:pPr>
        <w:spacing w:after="120"/>
        <w:jc w:val="both"/>
      </w:pPr>
      <w:r w:rsidRPr="001725DA">
        <w:t xml:space="preserve">Приходите от </w:t>
      </w:r>
      <w:r w:rsidRPr="001725DA">
        <w:rPr>
          <w:b/>
        </w:rPr>
        <w:t>косвени данъци</w:t>
      </w:r>
      <w:r w:rsidRPr="001725DA">
        <w:t xml:space="preserve"> </w:t>
      </w:r>
      <w:r w:rsidRPr="001725DA">
        <w:rPr>
          <w:bCs/>
        </w:rPr>
        <w:t>към март 2021</w:t>
      </w:r>
      <w:r w:rsidRPr="001725DA">
        <w:t xml:space="preserve"> г. са в размер на </w:t>
      </w:r>
      <w:r w:rsidRPr="001725DA">
        <w:rPr>
          <w:b/>
        </w:rPr>
        <w:t>4 402,7 млн. лв</w:t>
      </w:r>
      <w:r w:rsidRPr="001725DA">
        <w:t xml:space="preserve">. или 25,8 % от годишния разчет. </w:t>
      </w:r>
    </w:p>
    <w:p w:rsidR="00095EF0" w:rsidRPr="00215F52" w:rsidRDefault="00095EF0" w:rsidP="00095EF0">
      <w:pPr>
        <w:spacing w:after="120"/>
        <w:jc w:val="both"/>
      </w:pPr>
      <w:r w:rsidRPr="001725DA">
        <w:rPr>
          <w:b/>
        </w:rPr>
        <w:t>Приходите от ДДС</w:t>
      </w:r>
      <w:r w:rsidRPr="001725DA">
        <w:t xml:space="preserve"> са в размер на </w:t>
      </w:r>
      <w:r w:rsidRPr="001725DA">
        <w:rPr>
          <w:b/>
        </w:rPr>
        <w:t>3 126,8</w:t>
      </w:r>
      <w:r w:rsidRPr="001725DA">
        <w:t xml:space="preserve"> </w:t>
      </w:r>
      <w:r w:rsidRPr="001725DA">
        <w:rPr>
          <w:b/>
        </w:rPr>
        <w:t>млн. лв.,</w:t>
      </w:r>
      <w:r w:rsidRPr="001725DA">
        <w:t xml:space="preserve"> което представлява 27,9 % от </w:t>
      </w:r>
      <w:r w:rsidRPr="00215F52">
        <w:t xml:space="preserve">планираните със ЗДБРБ за 2021 година. Съпоставено с края на март 2020 г., приходите от ДДС се увеличават със 185,8 млн. лв. (6,3 %). </w:t>
      </w:r>
    </w:p>
    <w:p w:rsidR="00095EF0" w:rsidRPr="005E1BED" w:rsidRDefault="00095EF0" w:rsidP="00095EF0">
      <w:pPr>
        <w:spacing w:before="120"/>
        <w:ind w:right="-29"/>
        <w:jc w:val="both"/>
      </w:pPr>
      <w:r w:rsidRPr="001626E7">
        <w:t xml:space="preserve">Нетният размер на приходите от </w:t>
      </w:r>
      <w:r w:rsidRPr="001626E7">
        <w:rPr>
          <w:i/>
        </w:rPr>
        <w:t>ДДС от внос</w:t>
      </w:r>
      <w:r w:rsidRPr="001626E7">
        <w:t xml:space="preserve"> </w:t>
      </w:r>
      <w:r w:rsidRPr="001626E7">
        <w:rPr>
          <w:bCs/>
        </w:rPr>
        <w:t>към март 2021</w:t>
      </w:r>
      <w:r w:rsidRPr="001626E7">
        <w:t xml:space="preserve"> г. е 952,4 млн. лв., като намалява с 60,6 млн. лв. (6,0 %) в </w:t>
      </w:r>
      <w:r w:rsidRPr="000B0F00">
        <w:t xml:space="preserve">сравнение със същия период на 2020 г. Влияние върху постъпленията от ДДС от внос оказват цената на суровия петрол, количествата на внасяните стоки за </w:t>
      </w:r>
      <w:r w:rsidRPr="005E1BED">
        <w:t xml:space="preserve">междинно потребление (черни, цветни метали и др.), курса на щатския долар спрямо еврото, както и въведената законодателна промяна от 01.07.2019 г. за възможност </w:t>
      </w:r>
      <w:r w:rsidRPr="005E1BED">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5E1BED">
        <w:rPr>
          <w:bCs/>
        </w:rPr>
        <w:t xml:space="preserve"> </w:t>
      </w:r>
      <w:r w:rsidRPr="005E1BED">
        <w:t xml:space="preserve">Ефектът от прилагането на този режим през периода януари-март 2021 г. е неначислен ДДС при внос в размер на 292,4 млн. лева. Стоките от глава „Руди, шлаки и пепели” представляват 71,7 % от стоките, обект на отложено начисляване на ДДС при внос. Неначисленият ДДС при внос за стоки от тази глава е 209,5 млн. лв., </w:t>
      </w:r>
      <w:r w:rsidRPr="0080104C">
        <w:t>което представлява</w:t>
      </w:r>
      <w:r>
        <w:t xml:space="preserve"> </w:t>
      </w:r>
      <w:r w:rsidRPr="005E1BED">
        <w:t>ръст с 65,8 млн. лв. (45,8 %) спрямо периода януари-март 2020 година. Общо 58 икономически оператори са се възползвали от възможността да отложат начисляването на ДДС при внос.</w:t>
      </w:r>
    </w:p>
    <w:p w:rsidR="00095EF0" w:rsidRPr="002B7256" w:rsidRDefault="00095EF0" w:rsidP="00095EF0">
      <w:pPr>
        <w:spacing w:before="120" w:after="120"/>
        <w:jc w:val="both"/>
        <w:rPr>
          <w:b/>
        </w:rPr>
      </w:pPr>
      <w:r w:rsidRPr="00477350">
        <w:lastRenderedPageBreak/>
        <w:t>Постъпленията от</w:t>
      </w:r>
      <w:r w:rsidRPr="00477350">
        <w:rPr>
          <w:i/>
        </w:rPr>
        <w:t xml:space="preserve"> ДДС при сделки в страната (нето)</w:t>
      </w:r>
      <w:r w:rsidRPr="00477350">
        <w:t xml:space="preserve"> </w:t>
      </w:r>
      <w:r w:rsidRPr="00477350">
        <w:rPr>
          <w:bCs/>
        </w:rPr>
        <w:t>към март 2021</w:t>
      </w:r>
      <w:r w:rsidRPr="00477350">
        <w:t xml:space="preserve"> г. възлизат на 2 174,4</w:t>
      </w:r>
      <w:r w:rsidRPr="00477350">
        <w:rPr>
          <w:rFonts w:eastAsia="Calibri"/>
          <w:b/>
        </w:rPr>
        <w:t> </w:t>
      </w:r>
      <w:r w:rsidRPr="00477350">
        <w:t xml:space="preserve">млн. лв. и нарастват с 246,4 млн. лв. (12,8 %) спрямо същия период на предходната </w:t>
      </w:r>
      <w:r w:rsidRPr="002B7256">
        <w:t xml:space="preserve">година. </w:t>
      </w:r>
      <w:r w:rsidRPr="002B7256">
        <w:rPr>
          <w:bCs/>
        </w:rPr>
        <w:t xml:space="preserve">Невъзстановеният </w:t>
      </w:r>
      <w:r w:rsidRPr="002B7256">
        <w:t xml:space="preserve">данъчен кредит </w:t>
      </w:r>
      <w:r w:rsidRPr="002B7256">
        <w:rPr>
          <w:bCs/>
        </w:rPr>
        <w:t>към 31.03.2021 г. е в размер на 90,2 млн. лева.</w:t>
      </w:r>
    </w:p>
    <w:p w:rsidR="00095EF0" w:rsidRPr="00D40081" w:rsidRDefault="00095EF0" w:rsidP="00095EF0">
      <w:pPr>
        <w:spacing w:after="120"/>
        <w:jc w:val="both"/>
        <w:rPr>
          <w:rStyle w:val="Strong"/>
          <w:b w:val="0"/>
        </w:rPr>
      </w:pPr>
      <w:r w:rsidRPr="00E37385">
        <w:rPr>
          <w:b/>
        </w:rPr>
        <w:t xml:space="preserve">Приходите от акцизи (нето) </w:t>
      </w:r>
      <w:r w:rsidRPr="00E37385">
        <w:t xml:space="preserve">от внос, вътрешно производство и въведени в страната от други държави-членки на ЕС акцизни стоки са в размер на </w:t>
      </w:r>
      <w:r w:rsidRPr="00E37385">
        <w:rPr>
          <w:b/>
        </w:rPr>
        <w:t>1 205,7 млн. лв</w:t>
      </w:r>
      <w:r w:rsidRPr="00E37385">
        <w:t xml:space="preserve">., което е 21,6 % от </w:t>
      </w:r>
      <w:r w:rsidRPr="0079362B">
        <w:t xml:space="preserve">планираните със ЗДБРБ за 2021 г. </w:t>
      </w:r>
    </w:p>
    <w:p w:rsidR="00095EF0" w:rsidRPr="00E37385" w:rsidRDefault="00095EF0" w:rsidP="00095EF0">
      <w:pPr>
        <w:spacing w:after="120"/>
        <w:jc w:val="both"/>
      </w:pPr>
      <w:r w:rsidRPr="0079362B">
        <w:t>Нетните постъпления от акциз са от следните основни стокови групи: тютюн и тютюневи изделия (51,0 %); горива (43,1 %); алкохол и алкохолни напитки-вкл. бира (5,0 %) и други акцизни стоки (0,9 %).</w:t>
      </w:r>
      <w:r w:rsidRPr="00A3166E">
        <w:rPr>
          <w:color w:val="0070C0"/>
        </w:rPr>
        <w:t xml:space="preserve"> </w:t>
      </w:r>
      <w:r w:rsidRPr="00E37385">
        <w:t>Постъпления от акциз към март 2021 г. по основни стокови групи, са както следва:</w:t>
      </w:r>
    </w:p>
    <w:p w:rsidR="00095EF0" w:rsidRPr="00892127" w:rsidRDefault="00095EF0" w:rsidP="00095EF0">
      <w:pPr>
        <w:numPr>
          <w:ilvl w:val="0"/>
          <w:numId w:val="19"/>
        </w:numPr>
        <w:jc w:val="both"/>
      </w:pPr>
      <w:r w:rsidRPr="00892127">
        <w:rPr>
          <w:i/>
        </w:rPr>
        <w:t xml:space="preserve">Акцизите от тютюн и тютюневи изделия </w:t>
      </w:r>
      <w:r w:rsidRPr="00892127">
        <w:t xml:space="preserve">възлизат на 614,7 млн. лева; </w:t>
      </w:r>
    </w:p>
    <w:p w:rsidR="00095EF0" w:rsidRPr="00892127" w:rsidRDefault="00095EF0" w:rsidP="00095EF0">
      <w:pPr>
        <w:numPr>
          <w:ilvl w:val="0"/>
          <w:numId w:val="19"/>
        </w:numPr>
        <w:jc w:val="both"/>
      </w:pPr>
      <w:r w:rsidRPr="00892127">
        <w:rPr>
          <w:i/>
        </w:rPr>
        <w:t>Акцизите от горив</w:t>
      </w:r>
      <w:r w:rsidRPr="00892127">
        <w:t xml:space="preserve">а са в размер на 519,6 млн. лева; </w:t>
      </w:r>
    </w:p>
    <w:p w:rsidR="00095EF0" w:rsidRPr="00892127" w:rsidRDefault="00095EF0" w:rsidP="00095EF0">
      <w:pPr>
        <w:numPr>
          <w:ilvl w:val="0"/>
          <w:numId w:val="19"/>
        </w:numPr>
        <w:jc w:val="both"/>
      </w:pPr>
      <w:r w:rsidRPr="00892127">
        <w:rPr>
          <w:i/>
        </w:rPr>
        <w:t xml:space="preserve">Акцизите от алкохол и алкохолни напитки (вкл. бира) </w:t>
      </w:r>
      <w:r w:rsidRPr="00892127">
        <w:t xml:space="preserve">възлизат на 60,0 млн. лева; </w:t>
      </w:r>
    </w:p>
    <w:p w:rsidR="00095EF0" w:rsidRPr="00892127" w:rsidRDefault="00095EF0" w:rsidP="00095EF0">
      <w:pPr>
        <w:numPr>
          <w:ilvl w:val="0"/>
          <w:numId w:val="19"/>
        </w:numPr>
        <w:jc w:val="both"/>
      </w:pPr>
      <w:r w:rsidRPr="00892127">
        <w:rPr>
          <w:i/>
        </w:rPr>
        <w:t xml:space="preserve">Приходите от други акцизни стоки </w:t>
      </w:r>
      <w:r w:rsidRPr="00892127">
        <w:t>възлизат на 11,4 млн. лева.</w:t>
      </w:r>
    </w:p>
    <w:p w:rsidR="00095EF0" w:rsidRPr="00A3166E" w:rsidRDefault="00095EF0" w:rsidP="00095EF0">
      <w:pPr>
        <w:ind w:left="360"/>
        <w:jc w:val="both"/>
        <w:rPr>
          <w:color w:val="0070C0"/>
          <w:sz w:val="8"/>
          <w:szCs w:val="8"/>
        </w:rPr>
      </w:pPr>
    </w:p>
    <w:p w:rsidR="00095EF0" w:rsidRPr="00420368" w:rsidRDefault="00095EF0" w:rsidP="00095EF0">
      <w:pPr>
        <w:ind w:left="360"/>
        <w:jc w:val="both"/>
        <w:rPr>
          <w:sz w:val="8"/>
          <w:szCs w:val="8"/>
        </w:rPr>
      </w:pPr>
    </w:p>
    <w:p w:rsidR="00095EF0" w:rsidRPr="00420368" w:rsidRDefault="00095EF0" w:rsidP="00095EF0">
      <w:pPr>
        <w:ind w:left="360"/>
        <w:jc w:val="both"/>
        <w:rPr>
          <w:sz w:val="8"/>
          <w:szCs w:val="8"/>
        </w:rPr>
      </w:pPr>
    </w:p>
    <w:p w:rsidR="00095EF0" w:rsidRPr="00420368" w:rsidRDefault="00095EF0" w:rsidP="00095EF0">
      <w:pPr>
        <w:spacing w:after="120"/>
        <w:jc w:val="both"/>
      </w:pPr>
      <w:r w:rsidRPr="00420368">
        <w:rPr>
          <w:b/>
        </w:rPr>
        <w:t>Приходите от данък върху застрахователните премии</w:t>
      </w:r>
      <w:r w:rsidRPr="00420368">
        <w:t xml:space="preserve"> са в размер на </w:t>
      </w:r>
      <w:r w:rsidRPr="00420368">
        <w:rPr>
          <w:b/>
        </w:rPr>
        <w:t>11,9 млн. лв</w:t>
      </w:r>
      <w:r w:rsidRPr="00420368">
        <w:t>., при планирани за годината 46,0 млн. лева.</w:t>
      </w:r>
    </w:p>
    <w:p w:rsidR="00095EF0" w:rsidRPr="00A3166E" w:rsidRDefault="00095EF0" w:rsidP="00095EF0">
      <w:pPr>
        <w:tabs>
          <w:tab w:val="right" w:pos="9072"/>
        </w:tabs>
        <w:ind w:right="-2"/>
        <w:jc w:val="both"/>
        <w:rPr>
          <w:color w:val="0070C0"/>
        </w:rPr>
      </w:pPr>
      <w:r w:rsidRPr="00170D42">
        <w:rPr>
          <w:b/>
        </w:rPr>
        <w:t>Постъпленията от</w:t>
      </w:r>
      <w:r w:rsidRPr="00170D42">
        <w:t xml:space="preserve"> </w:t>
      </w:r>
      <w:r w:rsidRPr="00170D42">
        <w:rPr>
          <w:b/>
          <w:bCs/>
        </w:rPr>
        <w:t xml:space="preserve">мита </w:t>
      </w:r>
      <w:r w:rsidRPr="00170D42">
        <w:t xml:space="preserve">възлизат на </w:t>
      </w:r>
      <w:r w:rsidRPr="00170D42">
        <w:rPr>
          <w:b/>
        </w:rPr>
        <w:t>58,4 млн. лв</w:t>
      </w:r>
      <w:r w:rsidRPr="00170D42">
        <w:t>. или 24,9 % от планираните със ЗДБРБ за 2021 г., като заемат 1,0 % относителен дял в общия размер на данъчните приходи по държавния бюджет.</w:t>
      </w:r>
      <w:r w:rsidRPr="00A3166E">
        <w:rPr>
          <w:color w:val="0070C0"/>
        </w:rPr>
        <w:t xml:space="preserve"> </w:t>
      </w:r>
      <w:r w:rsidRPr="008967A2">
        <w:t>В сравнение със същия период на предходната година събраните мита са с 3,8 млн. лв. (6,9 %) повече</w:t>
      </w:r>
      <w:r w:rsidRPr="0068042F">
        <w:t>. По-високи постъпленията от мита</w:t>
      </w:r>
      <w:r w:rsidRPr="0068042F">
        <w:rPr>
          <w:b/>
          <w:i/>
        </w:rPr>
        <w:t xml:space="preserve"> </w:t>
      </w:r>
      <w:r w:rsidRPr="0068042F">
        <w:t xml:space="preserve">към края на март 2021 г. се отчитат при следните </w:t>
      </w:r>
      <w:r w:rsidRPr="006B629F">
        <w:t xml:space="preserve">групи стоки: „Чугун, желязо и стомана“ - приходите са с </w:t>
      </w:r>
      <w:r>
        <w:t>3,0</w:t>
      </w:r>
      <w:r w:rsidRPr="006B629F">
        <w:t xml:space="preserve"> млн. лв. повече спрямо края на март 2020 г.; „</w:t>
      </w:r>
      <w:r>
        <w:t>Торове</w:t>
      </w:r>
      <w:r w:rsidRPr="006B629F">
        <w:t>“ приходите нарастват с 2,8 млн. лв. (140,3 %) спрямо постъпленията към края на март 2020 г.; „Електрически машини и апарати, електроматериали и техните части“ - увеличение в размер на 1,3 млн. лв. (31,2 %) спрямо постъпленията към края на март 2020 г.;</w:t>
      </w:r>
      <w:r w:rsidRPr="00A3166E">
        <w:rPr>
          <w:color w:val="0070C0"/>
        </w:rPr>
        <w:t xml:space="preserve"> </w:t>
      </w:r>
      <w:r w:rsidRPr="00861FB8">
        <w:t>„Я</w:t>
      </w:r>
      <w:r w:rsidRPr="00F97A7D">
        <w:rPr>
          <w:color w:val="000000"/>
        </w:rPr>
        <w:t xml:space="preserve">дрени реактори, котли, машини, апарати и механизми; части за тези </w:t>
      </w:r>
      <w:r w:rsidRPr="006B629F">
        <w:t>машини или апарати“ – приходите нарастват с 0,9 млн. лв. (20,9 %) спрямо тези към края на март 2020 г.</w:t>
      </w:r>
      <w:r w:rsidRPr="00A3166E">
        <w:rPr>
          <w:color w:val="0070C0"/>
        </w:rPr>
        <w:t xml:space="preserve"> </w:t>
      </w:r>
      <w:r w:rsidRPr="004D465F">
        <w:t xml:space="preserve">В зависимост от произхода на внасяните стоки, най-голям е делът на приходите от мита при внос на стоки от Китай, като </w:t>
      </w:r>
      <w:r>
        <w:t>към края на март</w:t>
      </w:r>
      <w:r w:rsidRPr="004D465F">
        <w:t xml:space="preserve"> 2021</w:t>
      </w:r>
      <w:r>
        <w:t> </w:t>
      </w:r>
      <w:r w:rsidRPr="004D465F">
        <w:t xml:space="preserve">г. постъпленията възлизат на </w:t>
      </w:r>
      <w:r>
        <w:t>29,0</w:t>
      </w:r>
      <w:r w:rsidRPr="004D465F">
        <w:t xml:space="preserve">  млн. лв. и са с </w:t>
      </w:r>
      <w:r>
        <w:t>1,6</w:t>
      </w:r>
      <w:r w:rsidRPr="004D465F">
        <w:t> % по</w:t>
      </w:r>
      <w:r>
        <w:t>вече</w:t>
      </w:r>
      <w:r w:rsidRPr="004D465F">
        <w:t xml:space="preserve"> спрямо същия период на предходната година. Те формират </w:t>
      </w:r>
      <w:r>
        <w:rPr>
          <w:color w:val="000000"/>
        </w:rPr>
        <w:t>48,6</w:t>
      </w:r>
      <w:r w:rsidRPr="004D465F">
        <w:t xml:space="preserve"> % от общия обем на митата за отчетния период. На второ място по приходи от мита е вносът на стоки с произход Русия, които са в размер на </w:t>
      </w:r>
      <w:r>
        <w:t>8,0 </w:t>
      </w:r>
      <w:r w:rsidRPr="004D465F">
        <w:t xml:space="preserve">млн. лв. и отчитат </w:t>
      </w:r>
      <w:r>
        <w:t>повишение</w:t>
      </w:r>
      <w:r w:rsidRPr="004D465F">
        <w:t xml:space="preserve"> с </w:t>
      </w:r>
      <w:r>
        <w:t>5,8</w:t>
      </w:r>
      <w:r w:rsidRPr="004D465F">
        <w:t xml:space="preserve"> % на годишна база. Тези постъпления имат относителен дял от </w:t>
      </w:r>
      <w:r>
        <w:t xml:space="preserve">13,4 </w:t>
      </w:r>
      <w:r w:rsidRPr="004D465F">
        <w:t xml:space="preserve">% от всички мита. Следват приходите от мита за стоки с произход САЩ, които са в размер на </w:t>
      </w:r>
      <w:r>
        <w:t>2,2</w:t>
      </w:r>
      <w:r w:rsidRPr="004D465F">
        <w:t xml:space="preserve"> млн. лв. към </w:t>
      </w:r>
      <w:r>
        <w:t>31.03.2021</w:t>
      </w:r>
      <w:r w:rsidRPr="004D465F">
        <w:t xml:space="preserve"> г. и отчитат спад с </w:t>
      </w:r>
      <w:r>
        <w:t>12,4</w:t>
      </w:r>
      <w:r w:rsidRPr="004D465F">
        <w:t xml:space="preserve"> % на годишна база. Тези </w:t>
      </w:r>
      <w:r w:rsidRPr="009C2722">
        <w:t>постъпления имат относителен дял от 3,</w:t>
      </w:r>
      <w:r>
        <w:t>6</w:t>
      </w:r>
      <w:r w:rsidRPr="009C2722">
        <w:t> % от всички мита</w:t>
      </w:r>
      <w:r>
        <w:t xml:space="preserve">. </w:t>
      </w:r>
      <w:r w:rsidRPr="004D465F">
        <w:t xml:space="preserve">Приходите от внос на стоки с произход Украйна са в размер на </w:t>
      </w:r>
      <w:r>
        <w:t>2,0</w:t>
      </w:r>
      <w:r w:rsidRPr="004D465F">
        <w:t xml:space="preserve"> млн. лв. </w:t>
      </w:r>
      <w:r>
        <w:t>към края на март</w:t>
      </w:r>
      <w:r w:rsidRPr="004D465F">
        <w:t xml:space="preserve"> 2021 г. </w:t>
      </w:r>
      <w:r>
        <w:t>и</w:t>
      </w:r>
      <w:r w:rsidRPr="004D465F">
        <w:t xml:space="preserve"> имат относителен дял от </w:t>
      </w:r>
      <w:r>
        <w:t>3,3</w:t>
      </w:r>
      <w:r w:rsidRPr="004D465F">
        <w:t> % от всички мита.</w:t>
      </w:r>
      <w:r>
        <w:t xml:space="preserve"> </w:t>
      </w:r>
      <w:r w:rsidRPr="004D465F">
        <w:t xml:space="preserve">Следват приходите от мита при внос на стоки с произход </w:t>
      </w:r>
      <w:r>
        <w:t>Еквадор</w:t>
      </w:r>
      <w:r w:rsidRPr="004D465F">
        <w:t xml:space="preserve">, които възлизат на </w:t>
      </w:r>
      <w:r>
        <w:t>1,8</w:t>
      </w:r>
      <w:r w:rsidRPr="004D465F">
        <w:t xml:space="preserve"> млн. лв., като се повишават с </w:t>
      </w:r>
      <w:r>
        <w:t>5,5</w:t>
      </w:r>
      <w:r w:rsidRPr="004D465F">
        <w:t xml:space="preserve"> % и представляват 3,</w:t>
      </w:r>
      <w:r>
        <w:t>0</w:t>
      </w:r>
      <w:r w:rsidRPr="004D465F">
        <w:t> % от всички мита</w:t>
      </w:r>
      <w:r w:rsidRPr="00A3166E">
        <w:rPr>
          <w:color w:val="0070C0"/>
        </w:rPr>
        <w:t xml:space="preserve">. </w:t>
      </w:r>
    </w:p>
    <w:p w:rsidR="00095EF0" w:rsidRPr="00A3166E" w:rsidRDefault="00095EF0" w:rsidP="00095EF0">
      <w:pPr>
        <w:tabs>
          <w:tab w:val="right" w:pos="9072"/>
        </w:tabs>
        <w:ind w:right="-2"/>
        <w:jc w:val="both"/>
        <w:rPr>
          <w:color w:val="0070C0"/>
          <w:sz w:val="16"/>
        </w:rPr>
      </w:pPr>
    </w:p>
    <w:p w:rsidR="00095EF0" w:rsidRPr="00F97591" w:rsidRDefault="00095EF0" w:rsidP="00095EF0">
      <w:pPr>
        <w:numPr>
          <w:ilvl w:val="0"/>
          <w:numId w:val="4"/>
        </w:numPr>
        <w:tabs>
          <w:tab w:val="clear" w:pos="1440"/>
          <w:tab w:val="num" w:pos="540"/>
        </w:tabs>
        <w:ind w:left="0" w:firstLine="180"/>
        <w:jc w:val="both"/>
        <w:rPr>
          <w:b/>
          <w:bCs/>
        </w:rPr>
      </w:pPr>
      <w:r w:rsidRPr="00F97591">
        <w:rPr>
          <w:b/>
          <w:bCs/>
        </w:rPr>
        <w:t>Други данъци</w:t>
      </w:r>
    </w:p>
    <w:p w:rsidR="00095EF0" w:rsidRPr="004F507F" w:rsidRDefault="00095EF0" w:rsidP="00095EF0">
      <w:pPr>
        <w:spacing w:before="120"/>
        <w:jc w:val="both"/>
      </w:pPr>
      <w:r w:rsidRPr="00F97591">
        <w:t xml:space="preserve">Постъпленията от </w:t>
      </w:r>
      <w:r w:rsidRPr="00F97591">
        <w:rPr>
          <w:b/>
        </w:rPr>
        <w:t>други данъци</w:t>
      </w:r>
      <w:r w:rsidRPr="00F97591">
        <w:t xml:space="preserve"> по държавния бюджет </w:t>
      </w:r>
      <w:r w:rsidRPr="00F97591">
        <w:rPr>
          <w:bCs/>
        </w:rPr>
        <w:t>към края на март 2021</w:t>
      </w:r>
      <w:r w:rsidRPr="00F97591">
        <w:t xml:space="preserve"> г. са в размер </w:t>
      </w:r>
      <w:r w:rsidRPr="004F507F">
        <w:t xml:space="preserve">на </w:t>
      </w:r>
      <w:r w:rsidRPr="004F507F">
        <w:rPr>
          <w:b/>
        </w:rPr>
        <w:t xml:space="preserve">20,3 млн. лв. </w:t>
      </w:r>
      <w:r w:rsidRPr="004F507F">
        <w:t>или 13,2 % от планираните със ЗДБРБ за 2021 година. В сравнение с края на март 2020 г. постъпленията от тази група данъци намаляват с 28,0 млн. лв. (58,0 %).</w:t>
      </w:r>
    </w:p>
    <w:p w:rsidR="00095EF0" w:rsidRPr="00D543AB" w:rsidRDefault="00095EF0" w:rsidP="00095EF0">
      <w:pPr>
        <w:numPr>
          <w:ilvl w:val="0"/>
          <w:numId w:val="3"/>
        </w:numPr>
        <w:tabs>
          <w:tab w:val="num" w:pos="720"/>
        </w:tabs>
        <w:spacing w:before="120"/>
        <w:ind w:left="0" w:firstLine="181"/>
        <w:jc w:val="both"/>
      </w:pPr>
      <w:r w:rsidRPr="00D543AB">
        <w:rPr>
          <w:b/>
          <w:bCs/>
        </w:rPr>
        <w:t>Неданъчни приходи</w:t>
      </w:r>
    </w:p>
    <w:p w:rsidR="00095EF0" w:rsidRDefault="00095EF0" w:rsidP="00095EF0">
      <w:pPr>
        <w:tabs>
          <w:tab w:val="left" w:pos="900"/>
        </w:tabs>
        <w:spacing w:after="120"/>
        <w:jc w:val="both"/>
      </w:pPr>
      <w:r w:rsidRPr="00D543AB">
        <w:t>Отчетените</w:t>
      </w:r>
      <w:r w:rsidRPr="00D543AB">
        <w:rPr>
          <w:b/>
          <w:bCs/>
        </w:rPr>
        <w:t xml:space="preserve"> неданъчни приходи</w:t>
      </w:r>
      <w:r w:rsidRPr="00D543AB">
        <w:t xml:space="preserve"> по държавния бюджет </w:t>
      </w:r>
      <w:r w:rsidRPr="00D543AB">
        <w:rPr>
          <w:bCs/>
        </w:rPr>
        <w:t>към март 2021</w:t>
      </w:r>
      <w:r w:rsidRPr="00D543AB">
        <w:t xml:space="preserve"> г. са в размер на            </w:t>
      </w:r>
      <w:r w:rsidRPr="00D543AB">
        <w:rPr>
          <w:b/>
        </w:rPr>
        <w:t>681,6 млн. лв</w:t>
      </w:r>
      <w:r w:rsidRPr="00D543AB">
        <w:t xml:space="preserve">. и се формират основно от приходи от държавни такси, приходи и доходи от собственост, приходи от концесии и други. </w:t>
      </w:r>
    </w:p>
    <w:p w:rsidR="003C3846" w:rsidRDefault="003C3846" w:rsidP="00095EF0">
      <w:pPr>
        <w:tabs>
          <w:tab w:val="left" w:pos="900"/>
        </w:tabs>
        <w:spacing w:after="120"/>
        <w:jc w:val="both"/>
      </w:pPr>
    </w:p>
    <w:p w:rsidR="003C3846" w:rsidRPr="00D543AB" w:rsidRDefault="003C3846" w:rsidP="00095EF0">
      <w:pPr>
        <w:tabs>
          <w:tab w:val="left" w:pos="900"/>
        </w:tabs>
        <w:spacing w:after="120"/>
        <w:jc w:val="both"/>
      </w:pPr>
    </w:p>
    <w:p w:rsidR="00095EF0" w:rsidRPr="00D543AB" w:rsidRDefault="00095EF0" w:rsidP="00095EF0">
      <w:pPr>
        <w:numPr>
          <w:ilvl w:val="0"/>
          <w:numId w:val="3"/>
        </w:numPr>
        <w:tabs>
          <w:tab w:val="num" w:pos="720"/>
        </w:tabs>
        <w:ind w:left="0" w:firstLine="181"/>
        <w:jc w:val="both"/>
        <w:rPr>
          <w:b/>
          <w:bCs/>
        </w:rPr>
      </w:pPr>
      <w:r w:rsidRPr="00D543AB">
        <w:rPr>
          <w:b/>
          <w:bCs/>
        </w:rPr>
        <w:lastRenderedPageBreak/>
        <w:t>Помощи и дарения</w:t>
      </w:r>
    </w:p>
    <w:p w:rsidR="00095EF0" w:rsidRDefault="00095EF0" w:rsidP="00095EF0">
      <w:pPr>
        <w:spacing w:after="120"/>
        <w:jc w:val="both"/>
      </w:pPr>
      <w:r w:rsidRPr="00D543AB">
        <w:t xml:space="preserve">Постъпилите </w:t>
      </w:r>
      <w:r w:rsidRPr="00D543AB">
        <w:rPr>
          <w:b/>
        </w:rPr>
        <w:t>помощи</w:t>
      </w:r>
      <w:r w:rsidRPr="00D543AB">
        <w:t xml:space="preserve"> </w:t>
      </w:r>
      <w:r w:rsidRPr="00D543AB">
        <w:rPr>
          <w:b/>
        </w:rPr>
        <w:t>и дарения</w:t>
      </w:r>
      <w:r w:rsidRPr="00D543AB">
        <w:t xml:space="preserve"> по държавния бюджет към март 2021 г. са в размер на </w:t>
      </w:r>
      <w:r w:rsidRPr="00D543AB">
        <w:rPr>
          <w:b/>
        </w:rPr>
        <w:t>0,6 млн. лв.</w:t>
      </w:r>
      <w:r w:rsidRPr="00D543AB">
        <w:t xml:space="preserve"> и са по бюджетите на министерствата и ведомствата.</w:t>
      </w:r>
    </w:p>
    <w:p w:rsidR="00095EF0" w:rsidRPr="006D6D07" w:rsidRDefault="00095EF0" w:rsidP="00095EF0">
      <w:pPr>
        <w:numPr>
          <w:ilvl w:val="0"/>
          <w:numId w:val="6"/>
        </w:numPr>
        <w:tabs>
          <w:tab w:val="clear" w:pos="700"/>
          <w:tab w:val="num" w:pos="426"/>
        </w:tabs>
        <w:spacing w:before="240"/>
        <w:ind w:left="0" w:firstLine="0"/>
        <w:jc w:val="both"/>
        <w:rPr>
          <w:b/>
          <w:bCs/>
        </w:rPr>
      </w:pPr>
      <w:r w:rsidRPr="006D6D07">
        <w:rPr>
          <w:b/>
          <w:bCs/>
        </w:rPr>
        <w:t>Разходи по държавния бюджет</w:t>
      </w:r>
    </w:p>
    <w:p w:rsidR="00095EF0" w:rsidRPr="006D6D07" w:rsidRDefault="00095EF0" w:rsidP="00095EF0">
      <w:pPr>
        <w:jc w:val="both"/>
        <w:rPr>
          <w:b/>
          <w:bCs/>
          <w:sz w:val="4"/>
          <w:szCs w:val="4"/>
        </w:rPr>
      </w:pPr>
    </w:p>
    <w:p w:rsidR="00095EF0" w:rsidRPr="00D40081" w:rsidRDefault="00095EF0" w:rsidP="00095EF0">
      <w:pPr>
        <w:pStyle w:val="BodyTextIndent"/>
        <w:spacing w:after="0"/>
        <w:ind w:left="0"/>
        <w:jc w:val="both"/>
      </w:pPr>
      <w:r w:rsidRPr="006D6D07">
        <w:t xml:space="preserve">Общият размер на </w:t>
      </w:r>
      <w:r w:rsidRPr="006D6D07">
        <w:rPr>
          <w:b/>
        </w:rPr>
        <w:t>разходите по държавния бюджет</w:t>
      </w:r>
      <w:r w:rsidRPr="006D6D07">
        <w:t xml:space="preserve"> (вкл. трансферите за др. бюджети и вноската в бюджета на ЕС) </w:t>
      </w:r>
      <w:r w:rsidRPr="006D6D07">
        <w:rPr>
          <w:bCs/>
        </w:rPr>
        <w:t>към март 2021</w:t>
      </w:r>
      <w:r w:rsidRPr="006D6D07">
        <w:t xml:space="preserve"> г. е </w:t>
      </w:r>
      <w:r w:rsidRPr="006D6D07">
        <w:rPr>
          <w:b/>
        </w:rPr>
        <w:t>8 167,0 млн. лв</w:t>
      </w:r>
      <w:r w:rsidRPr="006D6D07">
        <w:t>. или 25,1 % от предвидените със ЗДБРБ за 2021 година.</w:t>
      </w:r>
    </w:p>
    <w:p w:rsidR="00095EF0" w:rsidRPr="00D40081" w:rsidRDefault="00095EF0" w:rsidP="00095EF0">
      <w:pPr>
        <w:pStyle w:val="BodyTextIndent"/>
        <w:spacing w:after="0"/>
        <w:ind w:left="0"/>
        <w:jc w:val="both"/>
        <w:rPr>
          <w:color w:val="0070C0"/>
        </w:rPr>
      </w:pPr>
    </w:p>
    <w:p w:rsidR="00095EF0" w:rsidRPr="00D40081" w:rsidRDefault="00095EF0" w:rsidP="00095EF0">
      <w:pPr>
        <w:pStyle w:val="BodyTextIndent"/>
        <w:spacing w:after="0"/>
        <w:ind w:left="0"/>
        <w:jc w:val="both"/>
        <w:rPr>
          <w:color w:val="0070C0"/>
        </w:rPr>
      </w:pPr>
    </w:p>
    <w:p w:rsidR="00095EF0" w:rsidRPr="00A3166E" w:rsidRDefault="00095EF0" w:rsidP="00095EF0">
      <w:pPr>
        <w:pStyle w:val="BodyTextIndent"/>
        <w:spacing w:after="0"/>
        <w:ind w:left="0"/>
        <w:jc w:val="center"/>
        <w:rPr>
          <w:b/>
          <w:color w:val="0070C0"/>
          <w:sz w:val="4"/>
          <w:szCs w:val="4"/>
          <w:u w:val="single"/>
        </w:rPr>
      </w:pPr>
    </w:p>
    <w:p w:rsidR="00095EF0" w:rsidRPr="00A45908" w:rsidRDefault="00095EF0" w:rsidP="00095EF0">
      <w:pPr>
        <w:pStyle w:val="BodyTextIndent"/>
        <w:spacing w:after="0"/>
        <w:ind w:left="0"/>
        <w:jc w:val="center"/>
        <w:rPr>
          <w:b/>
          <w:u w:val="single"/>
        </w:rPr>
      </w:pPr>
      <w:r w:rsidRPr="00A45908">
        <w:rPr>
          <w:b/>
          <w:u w:val="single"/>
        </w:rPr>
        <w:t xml:space="preserve">Разходи, трансфери за други бюджети и вноска в бюджета на ЕС </w:t>
      </w:r>
    </w:p>
    <w:p w:rsidR="00095EF0" w:rsidRPr="00A45908" w:rsidRDefault="00095EF0" w:rsidP="00095EF0">
      <w:pPr>
        <w:pStyle w:val="BodyTextIndent"/>
        <w:spacing w:after="0"/>
        <w:ind w:left="0"/>
        <w:jc w:val="center"/>
        <w:rPr>
          <w:b/>
          <w:u w:val="single"/>
        </w:rPr>
      </w:pPr>
      <w:r w:rsidRPr="00A45908">
        <w:rPr>
          <w:b/>
          <w:u w:val="single"/>
        </w:rPr>
        <w:t>към март 2020 г. и 2021 г.</w:t>
      </w:r>
    </w:p>
    <w:p w:rsidR="00095EF0" w:rsidRPr="00A45908" w:rsidRDefault="00095EF0" w:rsidP="00095EF0">
      <w:pPr>
        <w:pStyle w:val="BodyTextIndent"/>
        <w:spacing w:after="0"/>
        <w:ind w:left="0"/>
        <w:jc w:val="center"/>
        <w:rPr>
          <w:b/>
          <w:sz w:val="8"/>
          <w:szCs w:val="8"/>
          <w:u w:val="single"/>
        </w:rPr>
      </w:pPr>
    </w:p>
    <w:p w:rsidR="00095EF0" w:rsidRPr="00A45908" w:rsidRDefault="00095EF0" w:rsidP="00095EF0">
      <w:pPr>
        <w:pStyle w:val="BodyTextIndent"/>
        <w:spacing w:after="0"/>
        <w:ind w:left="0"/>
        <w:jc w:val="center"/>
        <w:rPr>
          <w:b/>
          <w:u w:val="single"/>
        </w:rPr>
      </w:pPr>
      <w:bookmarkStart w:id="1" w:name="_MON_1562146415"/>
      <w:bookmarkStart w:id="2" w:name="_MON_1562146493"/>
      <w:bookmarkStart w:id="3" w:name="_MON_1562146700"/>
      <w:bookmarkStart w:id="4" w:name="_MON_1562146782"/>
      <w:bookmarkStart w:id="5" w:name="_MON_1562146967"/>
      <w:bookmarkStart w:id="6" w:name="_MON_1562147372"/>
      <w:bookmarkStart w:id="7" w:name="_MON_1562147473"/>
      <w:bookmarkStart w:id="8" w:name="_MON_1562147677"/>
      <w:bookmarkStart w:id="9" w:name="_MON_1562147743"/>
      <w:bookmarkStart w:id="10" w:name="_MON_1562147867"/>
      <w:bookmarkStart w:id="11" w:name="_MON_1562147934"/>
      <w:bookmarkStart w:id="12" w:name="_MON_1562148056"/>
      <w:bookmarkStart w:id="13" w:name="_MON_1562148171"/>
      <w:bookmarkStart w:id="14" w:name="_MON_1562148229"/>
      <w:bookmarkStart w:id="15" w:name="_MON_1562148307"/>
      <w:bookmarkStart w:id="16" w:name="_MON_1562148447"/>
      <w:bookmarkStart w:id="17" w:name="_MON_1562148558"/>
      <w:bookmarkStart w:id="18" w:name="_MON_1562152805"/>
      <w:bookmarkStart w:id="19" w:name="_MON_1562152984"/>
      <w:bookmarkStart w:id="20" w:name="_MON_1562153459"/>
      <w:bookmarkStart w:id="21" w:name="_MON_1562153503"/>
      <w:bookmarkStart w:id="22" w:name="_MON_1562153559"/>
      <w:bookmarkStart w:id="23" w:name="_MON_1562153646"/>
      <w:bookmarkStart w:id="24" w:name="_MON_1562153939"/>
      <w:bookmarkStart w:id="25" w:name="_MON_1562154053"/>
      <w:bookmarkStart w:id="26" w:name="_MON_1562154282"/>
      <w:bookmarkStart w:id="27" w:name="_MON_1562146286"/>
      <w:bookmarkStart w:id="28" w:name="_MON_1562154881"/>
      <w:bookmarkStart w:id="29" w:name="_MON_1562154973"/>
      <w:bookmarkStart w:id="30" w:name="_MON_1562155194"/>
      <w:bookmarkStart w:id="31" w:name="_MON_1562155231"/>
      <w:bookmarkStart w:id="32" w:name="_MON_1562155321"/>
      <w:bookmarkStart w:id="33" w:name="_MON_15621553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A45908">
        <w:rPr>
          <w:noProof/>
          <w:lang w:eastAsia="bg-BG"/>
        </w:rPr>
        <w:drawing>
          <wp:inline distT="0" distB="0" distL="0" distR="0" wp14:anchorId="5FB81B81" wp14:editId="35041202">
            <wp:extent cx="5547360" cy="3009900"/>
            <wp:effectExtent l="0" t="0" r="15240" b="1905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5EF0" w:rsidRPr="00A45908" w:rsidRDefault="00095EF0" w:rsidP="00095EF0">
      <w:pPr>
        <w:ind w:firstLine="360"/>
        <w:rPr>
          <w:sz w:val="18"/>
          <w:szCs w:val="18"/>
        </w:rPr>
      </w:pPr>
      <w:r w:rsidRPr="00A45908">
        <w:rPr>
          <w:sz w:val="18"/>
          <w:szCs w:val="18"/>
        </w:rPr>
        <w:t>*</w:t>
      </w:r>
      <w:r w:rsidRPr="00A45908">
        <w:t xml:space="preserve"> </w:t>
      </w:r>
      <w:r w:rsidRPr="00A45908">
        <w:rPr>
          <w:sz w:val="18"/>
          <w:szCs w:val="18"/>
        </w:rPr>
        <w:t>Вкл. нетния прираст на държавния резерв</w:t>
      </w:r>
    </w:p>
    <w:p w:rsidR="00095EF0" w:rsidRPr="00A3166E" w:rsidRDefault="00095EF0" w:rsidP="00095EF0">
      <w:pPr>
        <w:pStyle w:val="BodyTextIndent"/>
        <w:spacing w:before="120" w:after="0"/>
        <w:ind w:left="360"/>
        <w:jc w:val="both"/>
        <w:rPr>
          <w:b/>
          <w:bCs/>
          <w:color w:val="0070C0"/>
        </w:rPr>
      </w:pPr>
    </w:p>
    <w:p w:rsidR="00095EF0" w:rsidRPr="00E076DB" w:rsidRDefault="00095EF0" w:rsidP="00095EF0">
      <w:pPr>
        <w:pStyle w:val="BodyTextIndent"/>
        <w:numPr>
          <w:ilvl w:val="0"/>
          <w:numId w:val="22"/>
        </w:numPr>
        <w:spacing w:before="120" w:after="0"/>
        <w:jc w:val="both"/>
        <w:rPr>
          <w:b/>
          <w:bCs/>
        </w:rPr>
      </w:pPr>
      <w:r w:rsidRPr="00E076DB">
        <w:rPr>
          <w:b/>
          <w:bCs/>
        </w:rPr>
        <w:t>Нелихвени разходи</w:t>
      </w:r>
    </w:p>
    <w:p w:rsidR="00095EF0" w:rsidRPr="002C31E0" w:rsidRDefault="00095EF0" w:rsidP="00095EF0">
      <w:pPr>
        <w:spacing w:before="120"/>
        <w:jc w:val="both"/>
        <w:rPr>
          <w:bCs/>
        </w:rPr>
      </w:pPr>
      <w:r w:rsidRPr="002C31E0">
        <w:rPr>
          <w:b/>
          <w:bCs/>
        </w:rPr>
        <w:t>Нелихвените разходи</w:t>
      </w:r>
      <w:r w:rsidRPr="002C31E0">
        <w:rPr>
          <w:bCs/>
        </w:rPr>
        <w:t xml:space="preserve"> по държавния бюджет (без трансферите за др. бюджети) към март 2021</w:t>
      </w:r>
      <w:r w:rsidRPr="002C31E0">
        <w:t xml:space="preserve"> г. </w:t>
      </w:r>
      <w:r w:rsidRPr="002C31E0">
        <w:rPr>
          <w:bCs/>
        </w:rPr>
        <w:t xml:space="preserve">са в размер на </w:t>
      </w:r>
      <w:r w:rsidRPr="002C31E0">
        <w:rPr>
          <w:b/>
          <w:bCs/>
        </w:rPr>
        <w:t>2 990,3 млн. лв</w:t>
      </w:r>
      <w:r w:rsidRPr="002C31E0">
        <w:rPr>
          <w:bCs/>
        </w:rPr>
        <w:t>., което представлява 19,8 % от годишния разчет.</w:t>
      </w:r>
      <w:r w:rsidRPr="00A3166E">
        <w:rPr>
          <w:bCs/>
          <w:color w:val="0070C0"/>
        </w:rPr>
        <w:t xml:space="preserve"> </w:t>
      </w:r>
      <w:r w:rsidRPr="002C31E0">
        <w:rPr>
          <w:bCs/>
        </w:rPr>
        <w:t>Съпоставени с данните към март 2020 г., нелихвените разходи нарастват с 606,2 млн. лв. (25,4 %).</w:t>
      </w:r>
      <w:r>
        <w:rPr>
          <w:bCs/>
        </w:rPr>
        <w:t xml:space="preserve"> </w:t>
      </w:r>
    </w:p>
    <w:p w:rsidR="00095EF0" w:rsidRPr="00D95582" w:rsidRDefault="00095EF0" w:rsidP="00095EF0">
      <w:pPr>
        <w:spacing w:before="120" w:after="120"/>
        <w:jc w:val="both"/>
        <w:rPr>
          <w:bCs/>
        </w:rPr>
      </w:pPr>
      <w:r w:rsidRPr="00AF697F">
        <w:rPr>
          <w:bCs/>
        </w:rPr>
        <w:t xml:space="preserve">Разходите за персонал (заплати и </w:t>
      </w:r>
      <w:r w:rsidRPr="00AF697F">
        <w:rPr>
          <w:bCs/>
          <w:noProof/>
        </w:rPr>
        <w:t>възнаграждения</w:t>
      </w:r>
      <w:r w:rsidRPr="00AF697F">
        <w:rPr>
          <w:bCs/>
        </w:rPr>
        <w:t xml:space="preserve">, други възнаграждения и плащания за персонала и осигурителни </w:t>
      </w:r>
      <w:r w:rsidRPr="00C1254E">
        <w:rPr>
          <w:bCs/>
        </w:rPr>
        <w:t xml:space="preserve">вноски) са в общ размер на 1 613,6 млн. лв. или 24,0 % от планираните </w:t>
      </w:r>
      <w:r w:rsidRPr="00C1254E">
        <w:t xml:space="preserve">за 2021 </w:t>
      </w:r>
      <w:r w:rsidRPr="00C1254E">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490,0 млн. лв. или 16,8 % от планираните </w:t>
      </w:r>
      <w:r w:rsidRPr="00C1254E">
        <w:t>за годината</w:t>
      </w:r>
      <w:r w:rsidRPr="00C1254E">
        <w:rPr>
          <w:bCs/>
        </w:rPr>
        <w:t xml:space="preserve">. Социалните разходи (вкл. разходите за стипендии) са в размер на 292,4 млн. лв. или 16,7 % от предвидените </w:t>
      </w:r>
      <w:r w:rsidRPr="00C1254E">
        <w:t>за годината</w:t>
      </w:r>
      <w:r w:rsidRPr="00C1254E">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w:t>
      </w:r>
      <w:r w:rsidRPr="00A3166E">
        <w:rPr>
          <w:bCs/>
          <w:color w:val="0070C0"/>
        </w:rPr>
        <w:t xml:space="preserve"> </w:t>
      </w:r>
      <w:r w:rsidRPr="00126E24">
        <w:rPr>
          <w:bCs/>
        </w:rPr>
        <w:t>Предоставените текущи и капиталови трансфери за чужбина са в размер на 2,0</w:t>
      </w:r>
      <w:r w:rsidRPr="00126E24">
        <w:rPr>
          <w:rFonts w:eastAsia="Calibri"/>
          <w:b/>
        </w:rPr>
        <w:t> </w:t>
      </w:r>
      <w:r w:rsidRPr="00126E24">
        <w:rPr>
          <w:bCs/>
        </w:rPr>
        <w:t>млн. лв. Разходите за субсидии са в размер на 334,1 млн. лв. или 26,5 % от планираните за годината.</w:t>
      </w:r>
      <w:r w:rsidRPr="00A3166E">
        <w:rPr>
          <w:bCs/>
          <w:color w:val="0070C0"/>
        </w:rPr>
        <w:t xml:space="preserve"> </w:t>
      </w:r>
      <w:r w:rsidRPr="00CA41EA">
        <w:rPr>
          <w:bCs/>
        </w:rPr>
        <w:t>От тях 45,3</w:t>
      </w:r>
      <w:r w:rsidRPr="00CA41EA">
        <w:t xml:space="preserve"> </w:t>
      </w:r>
      <w:r w:rsidRPr="00CA41EA">
        <w:rPr>
          <w:bCs/>
        </w:rPr>
        <w:t xml:space="preserve">млн. лв. са субсидиите за </w:t>
      </w:r>
      <w:r w:rsidRPr="00CA41EA">
        <w:t>„БДЖ – Пътнически превози” ЕООД</w:t>
      </w:r>
      <w:r w:rsidRPr="00CA41EA">
        <w:rPr>
          <w:bCs/>
        </w:rPr>
        <w:t>; 46,3</w:t>
      </w:r>
      <w:r w:rsidRPr="00CA41EA">
        <w:rPr>
          <w:rFonts w:eastAsia="Calibri"/>
          <w:b/>
        </w:rPr>
        <w:t> </w:t>
      </w:r>
      <w:r w:rsidRPr="00CA41EA">
        <w:rPr>
          <w:bCs/>
        </w:rPr>
        <w:t>млн. лв. са</w:t>
      </w:r>
      <w:r w:rsidRPr="0092678A">
        <w:rPr>
          <w:bCs/>
        </w:rPr>
        <w:t xml:space="preserve"> субсидиите за </w:t>
      </w:r>
      <w:r w:rsidRPr="0092678A">
        <w:t>Национална компания „Железопътна инфраструктура” и 14,6</w:t>
      </w:r>
      <w:r w:rsidRPr="0092678A">
        <w:rPr>
          <w:rFonts w:eastAsia="Calibri"/>
          <w:b/>
        </w:rPr>
        <w:t> </w:t>
      </w:r>
      <w:r w:rsidRPr="0092678A">
        <w:t xml:space="preserve">млн. лв. </w:t>
      </w:r>
      <w:r w:rsidRPr="00D40081">
        <w:t>(</w:t>
      </w:r>
      <w:r w:rsidRPr="0092678A">
        <w:t>в т.ч.  8,7 млн. лв. за извършване на универсална пощенска услуга и 5,9 млн. лв. за разпространение на периодични печатни издания</w:t>
      </w:r>
      <w:r>
        <w:t xml:space="preserve"> </w:t>
      </w:r>
      <w:r w:rsidRPr="0092678A">
        <w:t>-</w:t>
      </w:r>
      <w:r>
        <w:t xml:space="preserve"> </w:t>
      </w:r>
      <w:r w:rsidRPr="0092678A">
        <w:t>вестници и списания</w:t>
      </w:r>
      <w:r w:rsidRPr="00D40081">
        <w:t>)</w:t>
      </w:r>
      <w:r w:rsidRPr="0092678A">
        <w:t xml:space="preserve"> за „Български пощи” ЕАД.</w:t>
      </w:r>
      <w:r w:rsidRPr="00A3166E">
        <w:rPr>
          <w:color w:val="0070C0"/>
        </w:rPr>
        <w:t xml:space="preserve"> </w:t>
      </w:r>
      <w:r w:rsidRPr="00CC12D2">
        <w:t xml:space="preserve">Към края на </w:t>
      </w:r>
      <w:r w:rsidRPr="00285BAF">
        <w:t>месец март 2021</w:t>
      </w:r>
      <w:r w:rsidRPr="00285BAF">
        <w:rPr>
          <w:rFonts w:eastAsia="Calibri"/>
          <w:b/>
        </w:rPr>
        <w:t> </w:t>
      </w:r>
      <w:r w:rsidRPr="00285BAF">
        <w:rPr>
          <w:bCs/>
        </w:rPr>
        <w:t>г. ДФ „Земеделие“ e изплатил субсидии в общ размер на 126,1 млн. лв., от които 39,8</w:t>
      </w:r>
      <w:r w:rsidR="00523380">
        <w:rPr>
          <w:bCs/>
        </w:rPr>
        <w:t> </w:t>
      </w:r>
      <w:r w:rsidRPr="00285BAF">
        <w:rPr>
          <w:bCs/>
        </w:rPr>
        <w:t xml:space="preserve">млн. лв. държавна помощ; </w:t>
      </w:r>
      <w:r>
        <w:rPr>
          <w:bCs/>
        </w:rPr>
        <w:t>70,5</w:t>
      </w:r>
      <w:r w:rsidRPr="00D657A9">
        <w:rPr>
          <w:bCs/>
        </w:rPr>
        <w:t> млн.</w:t>
      </w:r>
      <w:r w:rsidRPr="00D657A9">
        <w:t xml:space="preserve"> </w:t>
      </w:r>
      <w:r w:rsidRPr="00D657A9">
        <w:rPr>
          <w:bCs/>
        </w:rPr>
        <w:t xml:space="preserve">лв. преходна национална помощ за </w:t>
      </w:r>
      <w:r w:rsidRPr="00D95582">
        <w:rPr>
          <w:bCs/>
        </w:rPr>
        <w:t xml:space="preserve">тютюн; 14,4 млн. </w:t>
      </w:r>
      <w:r w:rsidRPr="00D95582">
        <w:rPr>
          <w:bCs/>
        </w:rPr>
        <w:lastRenderedPageBreak/>
        <w:t xml:space="preserve">лв. преходна национална помощ за сектор „Животновъдство“ и 1,3 млн. лв. средства за ДДС по схеми „Училищен плод“ и „Училищно мляко“. Капиталовите разходи </w:t>
      </w:r>
      <w:r w:rsidRPr="00D95582">
        <w:t>(вкл. нетния прираст на държавния резерв) по държавния бюджет</w:t>
      </w:r>
      <w:r w:rsidRPr="00D95582">
        <w:rPr>
          <w:bCs/>
        </w:rPr>
        <w:t xml:space="preserve"> възлизат на 258,1 млн. лева. </w:t>
      </w:r>
    </w:p>
    <w:p w:rsidR="00686EF0" w:rsidRPr="00777141" w:rsidRDefault="00686EF0" w:rsidP="00686EF0">
      <w:pPr>
        <w:numPr>
          <w:ilvl w:val="1"/>
          <w:numId w:val="14"/>
        </w:numPr>
        <w:tabs>
          <w:tab w:val="num" w:pos="720"/>
          <w:tab w:val="num" w:pos="900"/>
        </w:tabs>
        <w:spacing w:before="240" w:after="120"/>
        <w:ind w:left="714" w:hanging="357"/>
        <w:jc w:val="both"/>
        <w:rPr>
          <w:b/>
          <w:bCs/>
        </w:rPr>
      </w:pPr>
      <w:r w:rsidRPr="00777141">
        <w:rPr>
          <w:b/>
        </w:rPr>
        <w:t>Просрочени задължения</w:t>
      </w:r>
    </w:p>
    <w:p w:rsidR="00686EF0" w:rsidRPr="009A76FE" w:rsidRDefault="00686EF0" w:rsidP="00686EF0">
      <w:pPr>
        <w:spacing w:after="120"/>
        <w:jc w:val="both"/>
      </w:pPr>
      <w:r w:rsidRPr="00777141">
        <w:t>Към 31.03.202</w:t>
      </w:r>
      <w:r w:rsidRPr="00D40081">
        <w:t>1</w:t>
      </w:r>
      <w:r w:rsidRPr="00777141">
        <w:t xml:space="preserve"> г. просрочените задължения на централно и местно правителство са в размер </w:t>
      </w:r>
      <w:r w:rsidRPr="009A76FE">
        <w:t xml:space="preserve">на </w:t>
      </w:r>
      <w:r w:rsidR="009A76FE" w:rsidRPr="009A76FE">
        <w:rPr>
          <w:b/>
        </w:rPr>
        <w:t>193,8</w:t>
      </w:r>
      <w:r w:rsidRPr="009A76FE">
        <w:rPr>
          <w:b/>
        </w:rPr>
        <w:t xml:space="preserve"> млн. лева.</w:t>
      </w:r>
      <w:r w:rsidRPr="009A76FE">
        <w:t xml:space="preserve"> </w:t>
      </w:r>
    </w:p>
    <w:p w:rsidR="00686EF0" w:rsidRPr="00A11A60" w:rsidRDefault="00686EF0" w:rsidP="00686EF0">
      <w:pPr>
        <w:spacing w:before="120"/>
        <w:jc w:val="both"/>
        <w:rPr>
          <w:noProof/>
        </w:rPr>
      </w:pPr>
      <w:r w:rsidRPr="00041E63">
        <w:t xml:space="preserve">Размерът на просрочените задължения на </w:t>
      </w:r>
      <w:r w:rsidRPr="00041E63">
        <w:rPr>
          <w:b/>
        </w:rPr>
        <w:t>централно правителство</w:t>
      </w:r>
      <w:r w:rsidRPr="00041E63">
        <w:t xml:space="preserve"> (министерства, ведомства и разпоредителите с бюджет по чл. 13, ал. 3 и ал. 4 на ЗПФ) е</w:t>
      </w:r>
      <w:r w:rsidRPr="00041E63">
        <w:rPr>
          <w:b/>
        </w:rPr>
        <w:t xml:space="preserve"> 90,8 млн. лева. </w:t>
      </w:r>
      <w:r w:rsidRPr="00041E63">
        <w:t xml:space="preserve">Спрямо отчетените в края на 2020 г. те нарастват с 21,7 млн. лева. В обхвата на държавния бюджет по-значими </w:t>
      </w:r>
      <w:r w:rsidRPr="002B15F3">
        <w:t xml:space="preserve">проблеми с наличие на просрочени задължения има </w:t>
      </w:r>
      <w:r w:rsidRPr="002B15F3">
        <w:rPr>
          <w:bCs/>
        </w:rPr>
        <w:t>при няколко министерства. С най-значими</w:t>
      </w:r>
      <w:r w:rsidRPr="002B15F3">
        <w:t xml:space="preserve"> </w:t>
      </w:r>
      <w:r w:rsidRPr="00041E63">
        <w:t xml:space="preserve">просрочени задължения по държавния бюджет са: </w:t>
      </w:r>
      <w:r w:rsidRPr="00041E63">
        <w:rPr>
          <w:noProof/>
        </w:rPr>
        <w:t xml:space="preserve">Министерство на земеделието, храните и горите – 15,2 млн. лв. (увеличение с 1,8 млн. лв. </w:t>
      </w:r>
      <w:r w:rsidRPr="00041E63">
        <w:t>спрямо просрочията в края на 2020 г.</w:t>
      </w:r>
      <w:r w:rsidRPr="00041E63">
        <w:rPr>
          <w:noProof/>
        </w:rPr>
        <w:t xml:space="preserve">); </w:t>
      </w:r>
      <w:r w:rsidRPr="005C09E2">
        <w:rPr>
          <w:noProof/>
        </w:rPr>
        <w:t xml:space="preserve">Министерство на вътрешните работи – 12,6 млн. лв. (увеличение с 12,5 млн. лв. спрямо </w:t>
      </w:r>
      <w:r w:rsidRPr="005C09E2">
        <w:t>отчетените в края на 2020 г.</w:t>
      </w:r>
      <w:r w:rsidRPr="005C09E2">
        <w:rPr>
          <w:noProof/>
        </w:rPr>
        <w:t>); Министерство на околната среда и водите</w:t>
      </w:r>
      <w:r>
        <w:rPr>
          <w:noProof/>
        </w:rPr>
        <w:t xml:space="preserve"> </w:t>
      </w:r>
      <w:r w:rsidRPr="005C09E2">
        <w:rPr>
          <w:noProof/>
        </w:rPr>
        <w:t xml:space="preserve">– </w:t>
      </w:r>
      <w:r>
        <w:rPr>
          <w:noProof/>
        </w:rPr>
        <w:t>8</w:t>
      </w:r>
      <w:r w:rsidRPr="005C09E2">
        <w:rPr>
          <w:noProof/>
        </w:rPr>
        <w:t>,6 млн. лв. (</w:t>
      </w:r>
      <w:r w:rsidRPr="00574B80">
        <w:rPr>
          <w:noProof/>
        </w:rPr>
        <w:t xml:space="preserve">просрочията </w:t>
      </w:r>
      <w:r w:rsidR="00FF4397">
        <w:rPr>
          <w:noProof/>
        </w:rPr>
        <w:t xml:space="preserve">нямат промяна </w:t>
      </w:r>
      <w:r w:rsidRPr="00574B80">
        <w:rPr>
          <w:noProof/>
        </w:rPr>
        <w:t xml:space="preserve">спрямо </w:t>
      </w:r>
      <w:r w:rsidRPr="00574B80">
        <w:t>отчетените в края на 2020</w:t>
      </w:r>
      <w:r w:rsidR="00FF4397">
        <w:t> </w:t>
      </w:r>
      <w:r w:rsidRPr="00574B80">
        <w:t>г.</w:t>
      </w:r>
      <w:r w:rsidRPr="00574B80">
        <w:rPr>
          <w:noProof/>
        </w:rPr>
        <w:t xml:space="preserve">); Министерство на отбраната – 3,2 млн. лв. (увеличение с 1,4 млн. лв. спрямо </w:t>
      </w:r>
      <w:r w:rsidRPr="00574B80">
        <w:t>отчетените в края на 2020 г.</w:t>
      </w:r>
      <w:r w:rsidRPr="00574B80">
        <w:rPr>
          <w:noProof/>
        </w:rPr>
        <w:t xml:space="preserve">), в т.ч. 2,6 млн. лв. на </w:t>
      </w:r>
      <w:r w:rsidRPr="00D341E3">
        <w:rPr>
          <w:noProof/>
        </w:rPr>
        <w:t xml:space="preserve">ВМА, и други. 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31,5 млн. лв. (намаление с 0,4 млн. лв. </w:t>
      </w:r>
      <w:r w:rsidRPr="00D341E3">
        <w:t>спрямо отчетените в края на 2020 г</w:t>
      </w:r>
      <w:r w:rsidRPr="000568CF">
        <w:t>.)</w:t>
      </w:r>
      <w:r w:rsidRPr="000568CF">
        <w:rPr>
          <w:noProof/>
        </w:rPr>
        <w:t xml:space="preserve">, в т.ч. 31,1 млн. лв. </w:t>
      </w:r>
      <w:r w:rsidRPr="000568CF">
        <w:t>просрочени задължения към доставчици в страната</w:t>
      </w:r>
      <w:r w:rsidR="008469B1">
        <w:rPr>
          <w:noProof/>
        </w:rPr>
        <w:t xml:space="preserve"> </w:t>
      </w:r>
      <w:r w:rsidRPr="000568CF">
        <w:rPr>
          <w:noProof/>
        </w:rPr>
        <w:t xml:space="preserve">и държавните </w:t>
      </w:r>
      <w:r w:rsidRPr="00212658">
        <w:rPr>
          <w:noProof/>
        </w:rPr>
        <w:t xml:space="preserve">висши училища – 13,7 млн. лв. (увеличение със 7,9 млн. лв. </w:t>
      </w:r>
      <w:r w:rsidRPr="00212658">
        <w:t>спрямо отчетените в края на 2020 г., като включват задължения за внасяне на данъци, вноски, такси  и административни санкции, задължения към доставчици и др.</w:t>
      </w:r>
      <w:r w:rsidRPr="00212658">
        <w:rPr>
          <w:noProof/>
        </w:rPr>
        <w:t>).</w:t>
      </w:r>
    </w:p>
    <w:p w:rsidR="00686EF0" w:rsidRPr="00A11A60" w:rsidRDefault="00686EF0" w:rsidP="00686EF0">
      <w:pPr>
        <w:ind w:firstLine="567"/>
        <w:jc w:val="both"/>
        <w:rPr>
          <w:bCs/>
          <w:sz w:val="6"/>
          <w:szCs w:val="12"/>
        </w:rPr>
      </w:pPr>
    </w:p>
    <w:p w:rsidR="00686EF0" w:rsidRPr="00E00C22" w:rsidRDefault="00686EF0" w:rsidP="00686EF0">
      <w:pPr>
        <w:spacing w:after="120"/>
        <w:jc w:val="both"/>
        <w:rPr>
          <w:noProof/>
        </w:rPr>
      </w:pPr>
      <w:r w:rsidRPr="00A11A60">
        <w:rPr>
          <w:noProof/>
        </w:rPr>
        <w:t xml:space="preserve">Просрочените задължения по </w:t>
      </w:r>
      <w:r w:rsidRPr="00A11A60">
        <w:rPr>
          <w:b/>
          <w:noProof/>
        </w:rPr>
        <w:t>бюджетите на общините</w:t>
      </w:r>
      <w:r w:rsidRPr="00A11A60">
        <w:rPr>
          <w:noProof/>
        </w:rPr>
        <w:t xml:space="preserve"> към 31.03.202</w:t>
      </w:r>
      <w:r w:rsidR="00A87D49" w:rsidRPr="00D40081">
        <w:rPr>
          <w:noProof/>
        </w:rPr>
        <w:t>1</w:t>
      </w:r>
      <w:r w:rsidRPr="00A11A60">
        <w:rPr>
          <w:noProof/>
        </w:rPr>
        <w:t xml:space="preserve"> г. са в размер на </w:t>
      </w:r>
      <w:r w:rsidR="00A87D49" w:rsidRPr="00D40081">
        <w:rPr>
          <w:b/>
          <w:noProof/>
        </w:rPr>
        <w:t>103</w:t>
      </w:r>
      <w:r w:rsidR="00A87D49" w:rsidRPr="00E00C22">
        <w:rPr>
          <w:b/>
          <w:noProof/>
        </w:rPr>
        <w:t>,</w:t>
      </w:r>
      <w:r w:rsidR="00A87D49" w:rsidRPr="00D40081">
        <w:rPr>
          <w:b/>
          <w:noProof/>
        </w:rPr>
        <w:t>0</w:t>
      </w:r>
      <w:r w:rsidRPr="00E00C22">
        <w:rPr>
          <w:b/>
          <w:noProof/>
        </w:rPr>
        <w:t> млн. лв.,</w:t>
      </w:r>
      <w:r w:rsidRPr="00E00C22">
        <w:rPr>
          <w:noProof/>
        </w:rPr>
        <w:t xml:space="preserve"> като спрямо </w:t>
      </w:r>
      <w:r w:rsidRPr="00E00C22">
        <w:t>края на 20</w:t>
      </w:r>
      <w:r w:rsidR="00A87D49" w:rsidRPr="00E00C22">
        <w:t>20</w:t>
      </w:r>
      <w:r w:rsidRPr="00E00C22">
        <w:t xml:space="preserve"> г. </w:t>
      </w:r>
      <w:r w:rsidRPr="00E00C22">
        <w:rPr>
          <w:noProof/>
        </w:rPr>
        <w:t xml:space="preserve">се отчита </w:t>
      </w:r>
      <w:r w:rsidR="00506384" w:rsidRPr="00E00C22">
        <w:rPr>
          <w:noProof/>
        </w:rPr>
        <w:t xml:space="preserve">намаление </w:t>
      </w:r>
      <w:r w:rsidRPr="00E00C22">
        <w:rPr>
          <w:noProof/>
        </w:rPr>
        <w:t xml:space="preserve">с </w:t>
      </w:r>
      <w:r w:rsidR="00506384" w:rsidRPr="00E00C22">
        <w:rPr>
          <w:noProof/>
        </w:rPr>
        <w:t>24,8</w:t>
      </w:r>
      <w:r w:rsidRPr="00E00C22">
        <w:rPr>
          <w:noProof/>
        </w:rPr>
        <w:t xml:space="preserve"> млн. лева. С най-голям относителен дял в просрочените задължения по бюджетите на общините към края на месец март 202</w:t>
      </w:r>
      <w:r w:rsidR="00AF312A" w:rsidRPr="00E00C22">
        <w:rPr>
          <w:noProof/>
        </w:rPr>
        <w:t>1</w:t>
      </w:r>
      <w:r w:rsidRPr="00E00C22">
        <w:rPr>
          <w:noProof/>
        </w:rPr>
        <w:t xml:space="preserve"> г. са просрочените задължения към доставчици, които са в размер на </w:t>
      </w:r>
      <w:r w:rsidR="00AF312A" w:rsidRPr="00E00C22">
        <w:rPr>
          <w:noProof/>
        </w:rPr>
        <w:t>79,2 </w:t>
      </w:r>
      <w:r w:rsidRPr="00E00C22">
        <w:rPr>
          <w:noProof/>
        </w:rPr>
        <w:t xml:space="preserve">млн. лева. В делегираните от държавата дейности просрочените задължения са в размер на </w:t>
      </w:r>
      <w:r w:rsidR="00E00C22" w:rsidRPr="00E00C22">
        <w:rPr>
          <w:noProof/>
        </w:rPr>
        <w:t>1,5</w:t>
      </w:r>
      <w:r w:rsidRPr="00E00C22">
        <w:rPr>
          <w:noProof/>
        </w:rPr>
        <w:t xml:space="preserve"> млн. лева.</w:t>
      </w:r>
    </w:p>
    <w:p w:rsidR="00686EF0" w:rsidRPr="00046658" w:rsidRDefault="00686EF0" w:rsidP="00686EF0">
      <w:pPr>
        <w:spacing w:before="120"/>
        <w:jc w:val="both"/>
      </w:pPr>
      <w:r w:rsidRPr="00CA2D3F">
        <w:t xml:space="preserve">В системата на </w:t>
      </w:r>
      <w:r w:rsidRPr="00CA2D3F">
        <w:rPr>
          <w:b/>
        </w:rPr>
        <w:t>НЗОК</w:t>
      </w:r>
      <w:r w:rsidRPr="00CA2D3F">
        <w:t xml:space="preserve"> към 31.03.2021 г. просрочените задължения са в размер </w:t>
      </w:r>
      <w:r w:rsidRPr="00D40081">
        <w:t>4</w:t>
      </w:r>
      <w:r w:rsidRPr="00CA2D3F">
        <w:t>,</w:t>
      </w:r>
      <w:r w:rsidRPr="00D40081">
        <w:t>8</w:t>
      </w:r>
      <w:r w:rsidR="00CA2D3F" w:rsidRPr="00CA2D3F">
        <w:t> </w:t>
      </w:r>
      <w:r w:rsidRPr="00CA2D3F">
        <w:t>хил. л</w:t>
      </w:r>
      <w:r w:rsidR="00CA2D3F" w:rsidRPr="00CA2D3F">
        <w:t>е</w:t>
      </w:r>
      <w:r w:rsidRPr="00CA2D3F">
        <w:t>в</w:t>
      </w:r>
      <w:r w:rsidR="00CA2D3F" w:rsidRPr="00CA2D3F">
        <w:t>а</w:t>
      </w:r>
      <w:r w:rsidRPr="00CA2D3F">
        <w:t>.</w:t>
      </w:r>
    </w:p>
    <w:p w:rsidR="00686EF0" w:rsidRPr="006D5D56" w:rsidRDefault="00686EF0" w:rsidP="00686EF0">
      <w:pPr>
        <w:spacing w:after="120"/>
        <w:jc w:val="both"/>
        <w:rPr>
          <w:noProof/>
          <w:color w:val="4F81BD" w:themeColor="accent1"/>
          <w:sz w:val="6"/>
          <w:szCs w:val="6"/>
        </w:rPr>
      </w:pPr>
    </w:p>
    <w:p w:rsidR="00686EF0" w:rsidRPr="00245BF0" w:rsidRDefault="00D24573" w:rsidP="00686EF0">
      <w:pPr>
        <w:spacing w:after="120"/>
        <w:jc w:val="both"/>
        <w:rPr>
          <w:lang w:val="en-US"/>
        </w:rPr>
      </w:pPr>
      <w:r w:rsidRPr="00D24573">
        <w:rPr>
          <w:noProof/>
        </w:rPr>
        <w:t xml:space="preserve">Извън обхвата на консолидираната фискална програма, продължава да </w:t>
      </w:r>
      <w:r w:rsidR="00220265">
        <w:rPr>
          <w:noProof/>
        </w:rPr>
        <w:t>има проблем</w:t>
      </w:r>
      <w:r w:rsidRPr="00D24573">
        <w:rPr>
          <w:noProof/>
        </w:rPr>
        <w:t xml:space="preserve"> с просрочията на лечебните заведения за болнична помощ (държавни и общински болници – търговски дружества). Към 31.03.2021 г. размерът на просрочените задължения е 101,3 млн. лв., от които 75,9 млн. лв. са на държавните болници и 25,4 млн. лв. са на общинските болници. Спрямо отчетените просрочени задължения към 31.12.2020 г. се отчита намаление с 13,6 млн. лв. (с 12 на сто)</w:t>
      </w:r>
      <w:r w:rsidR="00686EF0" w:rsidRPr="00245BF0">
        <w:t>.</w:t>
      </w:r>
    </w:p>
    <w:p w:rsidR="00BB059C" w:rsidRPr="006D5D56" w:rsidRDefault="00BB059C" w:rsidP="00BB059C">
      <w:pPr>
        <w:ind w:firstLine="567"/>
        <w:jc w:val="both"/>
        <w:rPr>
          <w:noProof/>
          <w:color w:val="4F81BD" w:themeColor="accent1"/>
          <w:sz w:val="2"/>
          <w:szCs w:val="12"/>
          <w:lang w:val="en-US"/>
        </w:rPr>
      </w:pPr>
    </w:p>
    <w:p w:rsidR="009C2594" w:rsidRPr="00420703" w:rsidRDefault="009C2594" w:rsidP="00337CA7">
      <w:pPr>
        <w:pStyle w:val="BodyTextIndent"/>
        <w:numPr>
          <w:ilvl w:val="1"/>
          <w:numId w:val="14"/>
        </w:numPr>
        <w:tabs>
          <w:tab w:val="clear" w:pos="2160"/>
          <w:tab w:val="num" w:pos="720"/>
          <w:tab w:val="num" w:pos="900"/>
        </w:tabs>
        <w:spacing w:before="120" w:after="0"/>
        <w:ind w:left="720"/>
        <w:jc w:val="both"/>
        <w:rPr>
          <w:b/>
          <w:bCs/>
        </w:rPr>
      </w:pPr>
      <w:r w:rsidRPr="00420703">
        <w:rPr>
          <w:b/>
          <w:bCs/>
        </w:rPr>
        <w:t xml:space="preserve">Разходи по </w:t>
      </w:r>
      <w:r w:rsidRPr="00420703">
        <w:rPr>
          <w:b/>
          <w:bCs/>
          <w:szCs w:val="26"/>
        </w:rPr>
        <w:t xml:space="preserve">централния бюджет </w:t>
      </w:r>
      <w:r w:rsidRPr="00420703">
        <w:rPr>
          <w:b/>
          <w:bCs/>
        </w:rPr>
        <w:t>за субсидии</w:t>
      </w:r>
      <w:r w:rsidR="00F202DD" w:rsidRPr="00420703">
        <w:rPr>
          <w:b/>
          <w:bCs/>
        </w:rPr>
        <w:t>,</w:t>
      </w:r>
      <w:r w:rsidR="0091667E" w:rsidRPr="00420703">
        <w:rPr>
          <w:b/>
          <w:bCs/>
        </w:rPr>
        <w:t xml:space="preserve"> </w:t>
      </w:r>
      <w:r w:rsidR="00F202DD" w:rsidRPr="00420703">
        <w:rPr>
          <w:b/>
          <w:bCs/>
        </w:rPr>
        <w:t xml:space="preserve">капиталови </w:t>
      </w:r>
      <w:r w:rsidR="00AF1CA0" w:rsidRPr="00420703">
        <w:rPr>
          <w:b/>
          <w:bCs/>
        </w:rPr>
        <w:t>трансфери</w:t>
      </w:r>
      <w:r w:rsidR="00AF1CA0" w:rsidRPr="00420703">
        <w:rPr>
          <w:bCs/>
        </w:rPr>
        <w:t xml:space="preserve"> </w:t>
      </w:r>
      <w:r w:rsidRPr="00420703">
        <w:rPr>
          <w:b/>
          <w:bCs/>
        </w:rPr>
        <w:t xml:space="preserve">и други разходи, свързани с дейността на реалния сектор </w:t>
      </w:r>
    </w:p>
    <w:p w:rsidR="009C2594" w:rsidRPr="006D5D56" w:rsidRDefault="009C2594" w:rsidP="009C2594">
      <w:pPr>
        <w:pStyle w:val="Header"/>
        <w:jc w:val="both"/>
        <w:rPr>
          <w:color w:val="4F81BD" w:themeColor="accent1"/>
          <w:sz w:val="8"/>
          <w:szCs w:val="8"/>
        </w:rPr>
      </w:pPr>
    </w:p>
    <w:p w:rsidR="00DD638A" w:rsidRPr="00C81F7E" w:rsidRDefault="00DD638A" w:rsidP="00DD638A">
      <w:pPr>
        <w:pStyle w:val="Header"/>
        <w:ind w:firstLine="567"/>
        <w:jc w:val="both"/>
      </w:pPr>
      <w:r w:rsidRPr="00C81F7E">
        <w:t>Със ЗДБРБ за 202</w:t>
      </w:r>
      <w:r w:rsidR="00420703" w:rsidRPr="00D40081">
        <w:t>1</w:t>
      </w:r>
      <w:r w:rsidRPr="00C81F7E">
        <w:t xml:space="preserve"> г. са утвърдени </w:t>
      </w:r>
      <w:r w:rsidR="00C81F7E" w:rsidRPr="00D40081">
        <w:t>238</w:t>
      </w:r>
      <w:r w:rsidRPr="00C81F7E">
        <w:t>,0 млн. лв</w:t>
      </w:r>
      <w:r w:rsidRPr="00C81F7E">
        <w:rPr>
          <w:b/>
        </w:rPr>
        <w:t>.</w:t>
      </w:r>
      <w:r w:rsidRPr="00C81F7E">
        <w:t xml:space="preserve"> </w:t>
      </w:r>
      <w:r w:rsidRPr="00C81F7E">
        <w:rPr>
          <w:b/>
        </w:rPr>
        <w:t>субсидии</w:t>
      </w:r>
      <w:r w:rsidRPr="00C81F7E">
        <w:t xml:space="preserve"> за нефинансови предприятия от централния бюджет.</w:t>
      </w:r>
    </w:p>
    <w:p w:rsidR="00DD638A" w:rsidRPr="00C81F7E" w:rsidRDefault="00DD638A" w:rsidP="00DD638A">
      <w:pPr>
        <w:pStyle w:val="Header"/>
        <w:ind w:firstLine="567"/>
        <w:jc w:val="both"/>
        <w:rPr>
          <w:sz w:val="4"/>
          <w:szCs w:val="4"/>
        </w:rPr>
      </w:pPr>
    </w:p>
    <w:p w:rsidR="00DD638A" w:rsidRPr="00C81F7E" w:rsidRDefault="00DD638A" w:rsidP="00DD638A">
      <w:pPr>
        <w:pStyle w:val="BodyText2"/>
        <w:spacing w:after="0" w:line="240" w:lineRule="auto"/>
        <w:ind w:firstLine="567"/>
        <w:jc w:val="both"/>
      </w:pPr>
      <w:r w:rsidRPr="00C81F7E">
        <w:t xml:space="preserve">Средствата за </w:t>
      </w:r>
      <w:r w:rsidRPr="00C81F7E">
        <w:rPr>
          <w:bCs/>
        </w:rPr>
        <w:t>субсидии</w:t>
      </w:r>
      <w:r w:rsidRPr="00C81F7E">
        <w:t xml:space="preserve"> са предназначени за търговски дружества, осъществяващи превоза на пътниците по нерентабилни </w:t>
      </w:r>
      <w:r w:rsidR="002E7799">
        <w:t xml:space="preserve">автобусни </w:t>
      </w:r>
      <w:r w:rsidRPr="00C81F7E">
        <w:t>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rsidR="00DD638A" w:rsidRPr="006D5D56" w:rsidRDefault="00DD638A" w:rsidP="00DD638A">
      <w:pPr>
        <w:pStyle w:val="BodyText2"/>
        <w:spacing w:after="0" w:line="240" w:lineRule="auto"/>
        <w:jc w:val="both"/>
        <w:rPr>
          <w:color w:val="4F81BD" w:themeColor="accent1"/>
          <w:sz w:val="12"/>
          <w:szCs w:val="12"/>
        </w:rPr>
      </w:pPr>
    </w:p>
    <w:p w:rsidR="00DD638A" w:rsidRPr="00C81F7E" w:rsidRDefault="003A4801" w:rsidP="00DD638A">
      <w:pPr>
        <w:pStyle w:val="BodyTextIndent"/>
        <w:ind w:left="0" w:firstLine="357"/>
        <w:jc w:val="both"/>
      </w:pPr>
      <w:r w:rsidRPr="00C81F7E">
        <w:t>- Със ЗДБРБ за 202</w:t>
      </w:r>
      <w:r w:rsidR="00C81F7E" w:rsidRPr="00D40081">
        <w:t>1</w:t>
      </w:r>
      <w:r w:rsidR="00DD638A" w:rsidRPr="00C81F7E">
        <w:t xml:space="preserve">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w:t>
      </w:r>
      <w:r w:rsidR="00C81F7E" w:rsidRPr="00D40081">
        <w:t>9</w:t>
      </w:r>
      <w:r w:rsidR="00DD638A" w:rsidRPr="00C81F7E">
        <w:t>5,0 млн. лева. Усвоените средства за първото тримесечие на 202</w:t>
      </w:r>
      <w:r w:rsidR="00C81F7E" w:rsidRPr="00D40081">
        <w:t>1</w:t>
      </w:r>
      <w:r w:rsidR="00DD638A" w:rsidRPr="00C81F7E">
        <w:t xml:space="preserve"> г. са в размер на </w:t>
      </w:r>
      <w:r w:rsidR="00C81F7E" w:rsidRPr="00D40081">
        <w:t>4</w:t>
      </w:r>
      <w:r w:rsidR="00DD638A" w:rsidRPr="00C81F7E">
        <w:t xml:space="preserve">6,3 млн. лв. или </w:t>
      </w:r>
      <w:r w:rsidR="00675366" w:rsidRPr="00C81F7E">
        <w:t>2</w:t>
      </w:r>
      <w:r w:rsidR="00C81F7E" w:rsidRPr="00D40081">
        <w:t>3</w:t>
      </w:r>
      <w:r w:rsidR="00DD638A" w:rsidRPr="00C81F7E">
        <w:t>,</w:t>
      </w:r>
      <w:r w:rsidR="00C81F7E" w:rsidRPr="00D40081">
        <w:t>8</w:t>
      </w:r>
      <w:r w:rsidR="00DD638A" w:rsidRPr="00C81F7E">
        <w:t xml:space="preserve"> на сто от годишния план. </w:t>
      </w:r>
      <w:r w:rsidR="00DD638A" w:rsidRPr="00C81F7E">
        <w:lastRenderedPageBreak/>
        <w:t xml:space="preserve">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 </w:t>
      </w:r>
    </w:p>
    <w:p w:rsidR="00DD638A" w:rsidRPr="00C81F7E" w:rsidRDefault="00DD638A" w:rsidP="00DD638A">
      <w:pPr>
        <w:pStyle w:val="BodyTextIndent2"/>
        <w:spacing w:line="240" w:lineRule="auto"/>
        <w:ind w:left="0" w:firstLine="357"/>
        <w:jc w:val="both"/>
        <w:rPr>
          <w:noProof/>
        </w:rPr>
      </w:pPr>
      <w:r w:rsidRPr="00C81F7E">
        <w:t>- Предвидените със ЗДБРБ за 202</w:t>
      </w:r>
      <w:r w:rsidR="00C81F7E" w:rsidRPr="00D40081">
        <w:t>1</w:t>
      </w:r>
      <w:r w:rsidRPr="00C81F7E">
        <w:t xml:space="preserve"> г. средства за субсидиране на превоза на пътниците по нерентабилни </w:t>
      </w:r>
      <w:r w:rsidR="00D407D8">
        <w:t xml:space="preserve">автобусни </w:t>
      </w:r>
      <w:r w:rsidRPr="00C81F7E">
        <w:t xml:space="preserve">линии във вътрешноградския транспорт и транспорта в планински </w:t>
      </w:r>
      <w:r w:rsidR="00BC1E67" w:rsidRPr="00C81F7E">
        <w:t xml:space="preserve">и други райони са в размер на </w:t>
      </w:r>
      <w:r w:rsidR="00C81F7E" w:rsidRPr="00D40081">
        <w:t>4</w:t>
      </w:r>
      <w:r w:rsidR="00BC1E67" w:rsidRPr="00C81F7E">
        <w:t>3</w:t>
      </w:r>
      <w:r w:rsidRPr="00C81F7E">
        <w:t>,0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 П</w:t>
      </w:r>
      <w:r w:rsidRPr="00C81F7E">
        <w:rPr>
          <w:noProof/>
        </w:rPr>
        <w:t>рез първото тримесечие на 202</w:t>
      </w:r>
      <w:r w:rsidR="00C81F7E" w:rsidRPr="00D40081">
        <w:rPr>
          <w:noProof/>
        </w:rPr>
        <w:t>1</w:t>
      </w:r>
      <w:r w:rsidRPr="00C81F7E">
        <w:rPr>
          <w:noProof/>
        </w:rPr>
        <w:t xml:space="preserve"> г. усвоените средства са в размер на </w:t>
      </w:r>
      <w:r w:rsidR="00C81F7E" w:rsidRPr="00D40081">
        <w:rPr>
          <w:noProof/>
        </w:rPr>
        <w:t>10</w:t>
      </w:r>
      <w:r w:rsidRPr="00C81F7E">
        <w:rPr>
          <w:noProof/>
        </w:rPr>
        <w:t>,</w:t>
      </w:r>
      <w:r w:rsidR="00C81F7E" w:rsidRPr="00D40081">
        <w:rPr>
          <w:noProof/>
        </w:rPr>
        <w:t>1</w:t>
      </w:r>
      <w:r w:rsidRPr="00C81F7E">
        <w:rPr>
          <w:noProof/>
        </w:rPr>
        <w:t xml:space="preserve"> млн. лв. или </w:t>
      </w:r>
      <w:r w:rsidR="00BC1E67" w:rsidRPr="00C81F7E">
        <w:rPr>
          <w:noProof/>
        </w:rPr>
        <w:t>23</w:t>
      </w:r>
      <w:r w:rsidRPr="00C81F7E">
        <w:rPr>
          <w:noProof/>
        </w:rPr>
        <w:t>,</w:t>
      </w:r>
      <w:r w:rsidR="00C81F7E" w:rsidRPr="00D40081">
        <w:rPr>
          <w:noProof/>
        </w:rPr>
        <w:t>5</w:t>
      </w:r>
      <w:r w:rsidRPr="00C81F7E">
        <w:rPr>
          <w:noProof/>
        </w:rPr>
        <w:t xml:space="preserve"> на сто от разчета за годината. </w:t>
      </w:r>
    </w:p>
    <w:p w:rsidR="00DD638A" w:rsidRPr="00C81F7E" w:rsidRDefault="00DD638A" w:rsidP="00DD638A">
      <w:pPr>
        <w:ind w:firstLine="567"/>
        <w:jc w:val="both"/>
        <w:rPr>
          <w:bCs/>
        </w:rPr>
      </w:pPr>
      <w:r w:rsidRPr="00C81F7E">
        <w:rPr>
          <w:bCs/>
        </w:rPr>
        <w:t xml:space="preserve">За </w:t>
      </w:r>
      <w:r w:rsidRPr="00C81F7E">
        <w:rPr>
          <w:b/>
          <w:bCs/>
        </w:rPr>
        <w:t xml:space="preserve">капиталови трансфери </w:t>
      </w:r>
      <w:r w:rsidRPr="00C81F7E">
        <w:rPr>
          <w:bCs/>
        </w:rPr>
        <w:t>от централния бюджет за нефинансови предприятия със ЗДБРБ за 202</w:t>
      </w:r>
      <w:r w:rsidR="00C81F7E" w:rsidRPr="00D40081">
        <w:rPr>
          <w:bCs/>
        </w:rPr>
        <w:t>1</w:t>
      </w:r>
      <w:r w:rsidRPr="00C81F7E">
        <w:rPr>
          <w:bCs/>
        </w:rPr>
        <w:t xml:space="preserve"> г. са предвидени </w:t>
      </w:r>
      <w:r w:rsidR="00C81F7E" w:rsidRPr="00D40081">
        <w:rPr>
          <w:b/>
          <w:bCs/>
        </w:rPr>
        <w:t>4</w:t>
      </w:r>
      <w:r w:rsidRPr="00C81F7E">
        <w:rPr>
          <w:b/>
          <w:bCs/>
        </w:rPr>
        <w:t>0</w:t>
      </w:r>
      <w:r w:rsidR="00C81F7E" w:rsidRPr="00D40081">
        <w:rPr>
          <w:b/>
          <w:bCs/>
        </w:rPr>
        <w:t>7</w:t>
      </w:r>
      <w:r w:rsidRPr="00C81F7E">
        <w:rPr>
          <w:b/>
          <w:bCs/>
        </w:rPr>
        <w:t>,</w:t>
      </w:r>
      <w:r w:rsidR="00C81F7E" w:rsidRPr="00D40081">
        <w:rPr>
          <w:b/>
          <w:bCs/>
        </w:rPr>
        <w:t>5</w:t>
      </w:r>
      <w:r w:rsidRPr="00C81F7E">
        <w:rPr>
          <w:b/>
          <w:bCs/>
        </w:rPr>
        <w:t xml:space="preserve"> млн. лева.</w:t>
      </w:r>
      <w:r w:rsidRPr="00C81F7E">
        <w:rPr>
          <w:bCs/>
        </w:rPr>
        <w:t xml:space="preserve"> Преведените и усвоени средства към 31.03.202</w:t>
      </w:r>
      <w:r w:rsidR="00C81F7E" w:rsidRPr="00D40081">
        <w:rPr>
          <w:bCs/>
        </w:rPr>
        <w:t>1</w:t>
      </w:r>
      <w:r w:rsidRPr="00C81F7E">
        <w:rPr>
          <w:bCs/>
        </w:rPr>
        <w:t xml:space="preserve"> г. са в размер на </w:t>
      </w:r>
      <w:r w:rsidRPr="00C81F7E">
        <w:rPr>
          <w:b/>
          <w:bCs/>
        </w:rPr>
        <w:t>4</w:t>
      </w:r>
      <w:r w:rsidR="00C81F7E" w:rsidRPr="00D40081">
        <w:rPr>
          <w:b/>
          <w:bCs/>
        </w:rPr>
        <w:t>0</w:t>
      </w:r>
      <w:r w:rsidRPr="00C81F7E">
        <w:rPr>
          <w:b/>
          <w:bCs/>
        </w:rPr>
        <w:t>,</w:t>
      </w:r>
      <w:r w:rsidR="00C81F7E" w:rsidRPr="00D40081">
        <w:rPr>
          <w:b/>
          <w:bCs/>
        </w:rPr>
        <w:t>2</w:t>
      </w:r>
      <w:r w:rsidRPr="00C81F7E">
        <w:rPr>
          <w:b/>
          <w:bCs/>
        </w:rPr>
        <w:t xml:space="preserve"> млн. лв.</w:t>
      </w:r>
      <w:r w:rsidRPr="00C81F7E">
        <w:rPr>
          <w:bCs/>
        </w:rPr>
        <w:t xml:space="preserve"> или </w:t>
      </w:r>
      <w:r w:rsidR="00C81F7E" w:rsidRPr="00D40081">
        <w:rPr>
          <w:bCs/>
        </w:rPr>
        <w:t>9</w:t>
      </w:r>
      <w:r w:rsidRPr="00C81F7E">
        <w:rPr>
          <w:bCs/>
        </w:rPr>
        <w:t>,</w:t>
      </w:r>
      <w:r w:rsidR="00C81F7E" w:rsidRPr="00D40081">
        <w:rPr>
          <w:bCs/>
        </w:rPr>
        <w:t>9</w:t>
      </w:r>
      <w:r w:rsidRPr="00C81F7E">
        <w:rPr>
          <w:bCs/>
        </w:rPr>
        <w:t xml:space="preserve"> % от годишния размер, както следва:</w:t>
      </w:r>
    </w:p>
    <w:p w:rsidR="00DD638A" w:rsidRPr="00C81F7E" w:rsidRDefault="00DD638A" w:rsidP="00DD638A">
      <w:pPr>
        <w:numPr>
          <w:ilvl w:val="0"/>
          <w:numId w:val="5"/>
        </w:numPr>
        <w:tabs>
          <w:tab w:val="clear" w:pos="1440"/>
          <w:tab w:val="left" w:pos="851"/>
          <w:tab w:val="left" w:pos="1134"/>
        </w:tabs>
        <w:ind w:left="0" w:firstLine="567"/>
        <w:jc w:val="both"/>
        <w:rPr>
          <w:i/>
        </w:rPr>
      </w:pPr>
      <w:r w:rsidRPr="00C81F7E">
        <w:rPr>
          <w:i/>
        </w:rPr>
        <w:t>капиталови трансфери за  Национална компания „Железопътна инфраструктура</w:t>
      </w:r>
      <w:r w:rsidRPr="00C81F7E">
        <w:t>” - ф</w:t>
      </w:r>
      <w:r w:rsidRPr="00C81F7E">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C81F7E">
        <w:t xml:space="preserve">. </w:t>
      </w:r>
      <w:r w:rsidRPr="00C81F7E">
        <w:rPr>
          <w:noProof/>
        </w:rPr>
        <w:t>За 202</w:t>
      </w:r>
      <w:r w:rsidR="00C81F7E" w:rsidRPr="00D40081">
        <w:rPr>
          <w:noProof/>
        </w:rPr>
        <w:t>1</w:t>
      </w:r>
      <w:r w:rsidRPr="00C81F7E">
        <w:rPr>
          <w:noProof/>
        </w:rPr>
        <w:t xml:space="preserve"> г. от държавния бюджет за компанията е предвиден капиталов трансфер в размер на 1</w:t>
      </w:r>
      <w:r w:rsidR="00C81F7E" w:rsidRPr="00D40081">
        <w:rPr>
          <w:noProof/>
        </w:rPr>
        <w:t>4</w:t>
      </w:r>
      <w:r w:rsidRPr="00C81F7E">
        <w:rPr>
          <w:noProof/>
        </w:rPr>
        <w:t>0,0 млн. лева. Усвоените средства за първото тримесечие на 202</w:t>
      </w:r>
      <w:r w:rsidR="00C81F7E" w:rsidRPr="00D40081">
        <w:rPr>
          <w:noProof/>
        </w:rPr>
        <w:t>1</w:t>
      </w:r>
      <w:r w:rsidRPr="00C81F7E">
        <w:rPr>
          <w:noProof/>
        </w:rPr>
        <w:t xml:space="preserve"> г. са в размер на 1</w:t>
      </w:r>
      <w:r w:rsidR="00C81F7E" w:rsidRPr="00D40081">
        <w:rPr>
          <w:noProof/>
        </w:rPr>
        <w:t>1</w:t>
      </w:r>
      <w:r w:rsidRPr="00C81F7E">
        <w:rPr>
          <w:noProof/>
        </w:rPr>
        <w:t>,</w:t>
      </w:r>
      <w:r w:rsidR="00C81F7E" w:rsidRPr="00D40081">
        <w:rPr>
          <w:noProof/>
        </w:rPr>
        <w:t>1</w:t>
      </w:r>
      <w:r w:rsidRPr="00C81F7E">
        <w:rPr>
          <w:noProof/>
        </w:rPr>
        <w:t xml:space="preserve"> млн. лв. или </w:t>
      </w:r>
      <w:r w:rsidR="00C81F7E" w:rsidRPr="00D40081">
        <w:rPr>
          <w:noProof/>
        </w:rPr>
        <w:t>7</w:t>
      </w:r>
      <w:r w:rsidRPr="00C81F7E">
        <w:rPr>
          <w:noProof/>
        </w:rPr>
        <w:t>,</w:t>
      </w:r>
      <w:r w:rsidR="00C81F7E" w:rsidRPr="00D40081">
        <w:rPr>
          <w:noProof/>
        </w:rPr>
        <w:t>9</w:t>
      </w:r>
      <w:r w:rsidRPr="00C81F7E">
        <w:rPr>
          <w:noProof/>
        </w:rPr>
        <w:t xml:space="preserve"> на сто от годишния разчет.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rsidR="00DD638A" w:rsidRPr="00E464DF" w:rsidRDefault="00DD638A" w:rsidP="00DD638A">
      <w:pPr>
        <w:numPr>
          <w:ilvl w:val="0"/>
          <w:numId w:val="5"/>
        </w:numPr>
        <w:tabs>
          <w:tab w:val="clear" w:pos="1440"/>
          <w:tab w:val="num" w:pos="360"/>
          <w:tab w:val="left" w:pos="851"/>
        </w:tabs>
        <w:ind w:left="0" w:firstLine="567"/>
        <w:jc w:val="both"/>
        <w:rPr>
          <w:i/>
        </w:rPr>
      </w:pPr>
      <w:r w:rsidRPr="00E464DF">
        <w:rPr>
          <w:i/>
        </w:rPr>
        <w:t xml:space="preserve">капиталови трансфери за „БДЖ – Пътнически превози” - ЕООД – </w:t>
      </w:r>
      <w:r w:rsidRPr="00E464DF">
        <w:t>предвидените средства със ЗДБРБ за 202</w:t>
      </w:r>
      <w:r w:rsidR="00C81F7E" w:rsidRPr="00D40081">
        <w:t>1</w:t>
      </w:r>
      <w:r w:rsidRPr="00E464DF">
        <w:t> г. са в размер на 1</w:t>
      </w:r>
      <w:r w:rsidR="00C81F7E" w:rsidRPr="00D40081">
        <w:t>0</w:t>
      </w:r>
      <w:r w:rsidRPr="00E464DF">
        <w:t xml:space="preserve">9,0 млн. лева. </w:t>
      </w:r>
      <w:r w:rsidRPr="00E464DF">
        <w:rPr>
          <w:noProof/>
        </w:rPr>
        <w:t>Усвоените средства за първото тримесечие на 202</w:t>
      </w:r>
      <w:r w:rsidR="00C81F7E" w:rsidRPr="00D40081">
        <w:rPr>
          <w:noProof/>
        </w:rPr>
        <w:t>1</w:t>
      </w:r>
      <w:r w:rsidRPr="00E464DF">
        <w:rPr>
          <w:noProof/>
        </w:rPr>
        <w:t xml:space="preserve"> г. са в размер на 1</w:t>
      </w:r>
      <w:r w:rsidR="00E464DF" w:rsidRPr="00D40081">
        <w:rPr>
          <w:noProof/>
        </w:rPr>
        <w:t>8</w:t>
      </w:r>
      <w:r w:rsidRPr="00E464DF">
        <w:rPr>
          <w:noProof/>
        </w:rPr>
        <w:t>,</w:t>
      </w:r>
      <w:r w:rsidR="00E464DF" w:rsidRPr="00D40081">
        <w:rPr>
          <w:noProof/>
        </w:rPr>
        <w:t>3</w:t>
      </w:r>
      <w:r w:rsidRPr="00E464DF">
        <w:rPr>
          <w:noProof/>
        </w:rPr>
        <w:t xml:space="preserve"> млн. лв. или </w:t>
      </w:r>
      <w:r w:rsidR="00E464DF" w:rsidRPr="00D40081">
        <w:rPr>
          <w:noProof/>
        </w:rPr>
        <w:t>16</w:t>
      </w:r>
      <w:r w:rsidRPr="00E464DF">
        <w:rPr>
          <w:noProof/>
        </w:rPr>
        <w:t>,</w:t>
      </w:r>
      <w:r w:rsidR="00E464DF" w:rsidRPr="00D40081">
        <w:rPr>
          <w:noProof/>
        </w:rPr>
        <w:t>8</w:t>
      </w:r>
      <w:r w:rsidRPr="00E464DF">
        <w:rPr>
          <w:noProof/>
        </w:rPr>
        <w:t xml:space="preserve"> на сто от утвърдения годишен план.</w:t>
      </w:r>
      <w:r w:rsidRPr="00E464DF">
        <w:t xml:space="preserve"> </w:t>
      </w:r>
      <w:r w:rsidR="00613A29" w:rsidRPr="00613A29">
        <w:t>Средствата са предназначени за планов заводски (среден и капитален) ремонт и рециклиране на пътнически вагони, подемен и капитален ремонт и преустройство на електрически локомотиви</w:t>
      </w:r>
      <w:r w:rsidRPr="00E464DF">
        <w:t>;</w:t>
      </w:r>
    </w:p>
    <w:p w:rsidR="00DD638A" w:rsidRPr="002433B0" w:rsidRDefault="00DD638A" w:rsidP="00DD638A">
      <w:pPr>
        <w:numPr>
          <w:ilvl w:val="1"/>
          <w:numId w:val="15"/>
        </w:numPr>
        <w:tabs>
          <w:tab w:val="clear" w:pos="1440"/>
          <w:tab w:val="num" w:pos="360"/>
          <w:tab w:val="left" w:pos="851"/>
        </w:tabs>
        <w:ind w:left="0" w:firstLine="567"/>
        <w:jc w:val="both"/>
      </w:pPr>
      <w:r w:rsidRPr="002433B0">
        <w:rPr>
          <w:i/>
        </w:rPr>
        <w:t>капиталови трансфери за ДП „Пристанищна инфраструктура”</w:t>
      </w:r>
      <w:r w:rsidRPr="002433B0">
        <w:rPr>
          <w:b/>
          <w:i/>
        </w:rPr>
        <w:t xml:space="preserve"> </w:t>
      </w:r>
      <w:r w:rsidRPr="002433B0">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2433B0">
        <w:rPr>
          <w:noProof/>
        </w:rPr>
        <w:t>. Предвидените със ЗДБРБ за  202</w:t>
      </w:r>
      <w:r w:rsidR="002433B0" w:rsidRPr="00D40081">
        <w:rPr>
          <w:noProof/>
        </w:rPr>
        <w:t>1</w:t>
      </w:r>
      <w:r w:rsidRPr="002433B0">
        <w:rPr>
          <w:noProof/>
        </w:rPr>
        <w:t xml:space="preserve"> г. средства са в размер на 1</w:t>
      </w:r>
      <w:r w:rsidR="002433B0" w:rsidRPr="00D40081">
        <w:rPr>
          <w:noProof/>
        </w:rPr>
        <w:t>48</w:t>
      </w:r>
      <w:r w:rsidRPr="002433B0">
        <w:rPr>
          <w:noProof/>
        </w:rPr>
        <w:t>,</w:t>
      </w:r>
      <w:r w:rsidR="002433B0" w:rsidRPr="00D40081">
        <w:rPr>
          <w:noProof/>
        </w:rPr>
        <w:t>5</w:t>
      </w:r>
      <w:r w:rsidRPr="002433B0">
        <w:rPr>
          <w:noProof/>
        </w:rPr>
        <w:t xml:space="preserve"> млн. лева. За първото тримесечие на 202</w:t>
      </w:r>
      <w:r w:rsidR="002433B0" w:rsidRPr="00D40081">
        <w:rPr>
          <w:noProof/>
        </w:rPr>
        <w:t>1</w:t>
      </w:r>
      <w:r w:rsidRPr="002433B0">
        <w:rPr>
          <w:noProof/>
        </w:rPr>
        <w:t xml:space="preserve"> г. са усвоени средства в размер на </w:t>
      </w:r>
      <w:r w:rsidR="002433B0" w:rsidRPr="00D40081">
        <w:rPr>
          <w:noProof/>
        </w:rPr>
        <w:t>10</w:t>
      </w:r>
      <w:r w:rsidRPr="002433B0">
        <w:rPr>
          <w:noProof/>
        </w:rPr>
        <w:t>,</w:t>
      </w:r>
      <w:r w:rsidR="002433B0" w:rsidRPr="00D40081">
        <w:rPr>
          <w:noProof/>
        </w:rPr>
        <w:t>8</w:t>
      </w:r>
      <w:r w:rsidRPr="002433B0">
        <w:rPr>
          <w:noProof/>
        </w:rPr>
        <w:t xml:space="preserve"> млн. лв. или </w:t>
      </w:r>
      <w:r w:rsidR="002433B0" w:rsidRPr="00D40081">
        <w:rPr>
          <w:noProof/>
        </w:rPr>
        <w:t>7</w:t>
      </w:r>
      <w:r w:rsidRPr="002433B0">
        <w:rPr>
          <w:noProof/>
        </w:rPr>
        <w:t>,</w:t>
      </w:r>
      <w:r w:rsidR="002433B0" w:rsidRPr="00D40081">
        <w:rPr>
          <w:noProof/>
        </w:rPr>
        <w:t>3</w:t>
      </w:r>
      <w:r w:rsidRPr="002433B0">
        <w:rPr>
          <w:noProof/>
        </w:rPr>
        <w:t xml:space="preserve"> на сто от годишния план</w:t>
      </w:r>
      <w:r w:rsidRPr="002433B0">
        <w:t>;</w:t>
      </w:r>
    </w:p>
    <w:p w:rsidR="00DD638A" w:rsidRPr="002433B0" w:rsidRDefault="00DD638A" w:rsidP="00DD638A">
      <w:pPr>
        <w:numPr>
          <w:ilvl w:val="0"/>
          <w:numId w:val="16"/>
        </w:numPr>
        <w:tabs>
          <w:tab w:val="clear" w:pos="2157"/>
          <w:tab w:val="left" w:pos="360"/>
          <w:tab w:val="left" w:pos="851"/>
        </w:tabs>
        <w:ind w:left="0" w:firstLine="567"/>
        <w:jc w:val="both"/>
      </w:pPr>
      <w:r w:rsidRPr="002433B0">
        <w:t>През 202</w:t>
      </w:r>
      <w:r w:rsidR="002433B0" w:rsidRPr="00D40081">
        <w:t>1</w:t>
      </w:r>
      <w:r w:rsidRPr="002433B0">
        <w:t xml:space="preserve"> г. продължава изпълнението на Програмите за отстраняване на нанесени щети </w:t>
      </w:r>
      <w:r w:rsidRPr="002433B0">
        <w:rPr>
          <w:noProof/>
        </w:rPr>
        <w:t>върху околната среда</w:t>
      </w:r>
      <w:r w:rsidRPr="002433B0">
        <w:t>, настъпили от минали действия или бездействия, при приватизация. В ЗДБРБ за 202</w:t>
      </w:r>
      <w:r w:rsidR="002433B0" w:rsidRPr="00D40081">
        <w:t>1</w:t>
      </w:r>
      <w:r w:rsidRPr="002433B0">
        <w:t xml:space="preserve"> г. за тези програми са предвидени 10,0 млн. лева. </w:t>
      </w:r>
      <w:r w:rsidR="002433B0" w:rsidRPr="002433B0">
        <w:rPr>
          <w:noProof/>
        </w:rPr>
        <w:t>За първото тримесечие на 202</w:t>
      </w:r>
      <w:r w:rsidR="002433B0" w:rsidRPr="002433B0">
        <w:rPr>
          <w:noProof/>
          <w:lang w:val="en-US"/>
        </w:rPr>
        <w:t>1</w:t>
      </w:r>
      <w:r w:rsidR="002433B0" w:rsidRPr="002433B0">
        <w:rPr>
          <w:noProof/>
        </w:rPr>
        <w:t xml:space="preserve"> г.</w:t>
      </w:r>
      <w:r w:rsidR="002433B0" w:rsidRPr="002433B0">
        <w:rPr>
          <w:noProof/>
          <w:lang w:val="en-US"/>
        </w:rPr>
        <w:t xml:space="preserve"> </w:t>
      </w:r>
      <w:r w:rsidR="002433B0" w:rsidRPr="002433B0">
        <w:t>не са усвоени средства</w:t>
      </w:r>
      <w:r w:rsidRPr="002433B0">
        <w:rPr>
          <w:noProof/>
        </w:rPr>
        <w:t>.</w:t>
      </w:r>
      <w:r w:rsidRPr="002433B0">
        <w:t xml:space="preserve">  </w:t>
      </w:r>
    </w:p>
    <w:p w:rsidR="00DD638A" w:rsidRPr="006D5D56" w:rsidRDefault="00DD638A" w:rsidP="00DD638A">
      <w:pPr>
        <w:jc w:val="both"/>
        <w:rPr>
          <w:color w:val="4F81BD" w:themeColor="accent1"/>
          <w:sz w:val="8"/>
          <w:szCs w:val="8"/>
        </w:rPr>
      </w:pPr>
    </w:p>
    <w:p w:rsidR="00DD638A" w:rsidRPr="006D5D56" w:rsidRDefault="00DD638A" w:rsidP="00DD638A">
      <w:pPr>
        <w:jc w:val="both"/>
        <w:rPr>
          <w:color w:val="4F81BD" w:themeColor="accent1"/>
          <w:sz w:val="8"/>
          <w:szCs w:val="8"/>
          <w:highlight w:val="yellow"/>
        </w:rPr>
      </w:pPr>
    </w:p>
    <w:p w:rsidR="00DD638A" w:rsidRPr="002433B0" w:rsidRDefault="00DD638A" w:rsidP="00DD638A">
      <w:pPr>
        <w:ind w:firstLine="567"/>
        <w:jc w:val="both"/>
      </w:pPr>
      <w:r w:rsidRPr="002433B0">
        <w:rPr>
          <w:b/>
          <w:bCs/>
        </w:rPr>
        <w:t>Други разходи по централния бюджет</w:t>
      </w:r>
      <w:r w:rsidRPr="002433B0">
        <w:t xml:space="preserve"> предназначени за: </w:t>
      </w:r>
    </w:p>
    <w:p w:rsidR="00DD638A" w:rsidRPr="006D5D56" w:rsidRDefault="00DD638A" w:rsidP="00DD638A">
      <w:pPr>
        <w:jc w:val="both"/>
        <w:rPr>
          <w:color w:val="4F81BD" w:themeColor="accent1"/>
          <w:sz w:val="8"/>
          <w:szCs w:val="8"/>
        </w:rPr>
      </w:pPr>
    </w:p>
    <w:p w:rsidR="00DD638A" w:rsidRPr="00017412" w:rsidRDefault="00DD638A" w:rsidP="00DD638A">
      <w:pPr>
        <w:numPr>
          <w:ilvl w:val="0"/>
          <w:numId w:val="5"/>
        </w:numPr>
        <w:tabs>
          <w:tab w:val="clear" w:pos="1440"/>
          <w:tab w:val="num" w:pos="360"/>
          <w:tab w:val="left" w:pos="851"/>
        </w:tabs>
        <w:ind w:left="0" w:firstLine="567"/>
        <w:jc w:val="both"/>
        <w:rPr>
          <w:sz w:val="8"/>
          <w:szCs w:val="8"/>
        </w:rPr>
      </w:pPr>
      <w:r w:rsidRPr="00017412">
        <w:rPr>
          <w:i/>
        </w:rPr>
        <w:t>Компенсиране</w:t>
      </w:r>
      <w:r w:rsidR="00D67216" w:rsidRPr="00017412">
        <w:rPr>
          <w:i/>
        </w:rPr>
        <w:t xml:space="preserve"> </w:t>
      </w:r>
      <w:r w:rsidRPr="00017412">
        <w:rPr>
          <w:i/>
        </w:rPr>
        <w:t xml:space="preserve">на </w:t>
      </w:r>
      <w:r w:rsidRPr="00017412">
        <w:rPr>
          <w:bCs/>
          <w:i/>
        </w:rPr>
        <w:t>намалените приходи от прилагането на цени за пътуване, предвидени в нормативни актове за определени категории пътници</w:t>
      </w:r>
      <w:r w:rsidRPr="00017412">
        <w:rPr>
          <w:i/>
        </w:rPr>
        <w:t xml:space="preserve"> по железопътния и автомобилния транспорт, със средства от държавния бюджет</w:t>
      </w:r>
      <w:r w:rsidRPr="00017412">
        <w:t xml:space="preserve"> - предвидените средства са общо в размер на 1</w:t>
      </w:r>
      <w:r w:rsidR="00017412" w:rsidRPr="00D40081">
        <w:t>22</w:t>
      </w:r>
      <w:r w:rsidRPr="00017412">
        <w:t>,</w:t>
      </w:r>
      <w:r w:rsidR="00C37918">
        <w:t>8</w:t>
      </w:r>
      <w:r w:rsidR="00017412" w:rsidRPr="00D40081">
        <w:t xml:space="preserve"> </w:t>
      </w:r>
      <w:r w:rsidRPr="00017412">
        <w:t>млн. лв., от които 4</w:t>
      </w:r>
      <w:r w:rsidR="00017412" w:rsidRPr="00D40081">
        <w:t>7</w:t>
      </w:r>
      <w:r w:rsidRPr="00017412">
        <w:t xml:space="preserve">,0 млн. лв. </w:t>
      </w:r>
      <w:r w:rsidRPr="00017412">
        <w:rPr>
          <w:noProof/>
        </w:rPr>
        <w:t>за пътувания с вътрешноградския транспорт и междуселищния автомобилен транспорт, 4</w:t>
      </w:r>
      <w:r w:rsidR="00017412" w:rsidRPr="00D40081">
        <w:rPr>
          <w:noProof/>
        </w:rPr>
        <w:t>6</w:t>
      </w:r>
      <w:r w:rsidRPr="00017412">
        <w:rPr>
          <w:noProof/>
        </w:rPr>
        <w:t>,0 млн. лв. за транспорт на деца и ученици по чл. 283, ал. 2 от Закона за предучилищното и училищното образование, 16,8 млн. лв. за превоз на служители, ползващи право на безплатно пътуване при изпълнение на служебните си задължения</w:t>
      </w:r>
      <w:r w:rsidR="00D67216" w:rsidRPr="00017412">
        <w:rPr>
          <w:noProof/>
        </w:rPr>
        <w:t>,</w:t>
      </w:r>
      <w:r w:rsidRPr="00017412">
        <w:rPr>
          <w:noProof/>
        </w:rPr>
        <w:t xml:space="preserve"> и 13,0 млн. лв. за пътувания с железопътния транспорт.</w:t>
      </w:r>
      <w:r w:rsidRPr="00017412">
        <w:t xml:space="preserve"> </w:t>
      </w:r>
      <w:r w:rsidR="00CF3394" w:rsidRPr="00CF3394">
        <w:rPr>
          <w:noProof/>
        </w:rPr>
        <w:t xml:space="preserve">Предоставените </w:t>
      </w:r>
      <w:r w:rsidRPr="00CF3394">
        <w:rPr>
          <w:noProof/>
        </w:rPr>
        <w:t xml:space="preserve">средства за </w:t>
      </w:r>
      <w:r w:rsidRPr="00CF3394">
        <w:t>първото тримесечие на 202</w:t>
      </w:r>
      <w:r w:rsidR="00017412" w:rsidRPr="00D40081">
        <w:t>1</w:t>
      </w:r>
      <w:r w:rsidRPr="00CF3394">
        <w:rPr>
          <w:noProof/>
        </w:rPr>
        <w:t xml:space="preserve"> г. са общо в размер на 3</w:t>
      </w:r>
      <w:r w:rsidR="00017412" w:rsidRPr="00D40081">
        <w:rPr>
          <w:noProof/>
        </w:rPr>
        <w:t>1</w:t>
      </w:r>
      <w:r w:rsidRPr="00CF3394">
        <w:rPr>
          <w:noProof/>
        </w:rPr>
        <w:t>,</w:t>
      </w:r>
      <w:r w:rsidR="00017412" w:rsidRPr="00D40081">
        <w:rPr>
          <w:noProof/>
        </w:rPr>
        <w:t>0</w:t>
      </w:r>
      <w:r w:rsidRPr="00CF3394">
        <w:rPr>
          <w:noProof/>
        </w:rPr>
        <w:t xml:space="preserve"> млн. лв.</w:t>
      </w:r>
      <w:r w:rsidRPr="00017412">
        <w:rPr>
          <w:noProof/>
        </w:rPr>
        <w:t xml:space="preserve"> или 25,</w:t>
      </w:r>
      <w:r w:rsidR="00017412" w:rsidRPr="00D40081">
        <w:rPr>
          <w:noProof/>
        </w:rPr>
        <w:t>3</w:t>
      </w:r>
      <w:r w:rsidRPr="00017412">
        <w:rPr>
          <w:noProof/>
        </w:rPr>
        <w:t xml:space="preserve"> на сто от годишния разчет.</w:t>
      </w:r>
      <w:r w:rsidRPr="00017412">
        <w:t xml:space="preserve"> </w:t>
      </w:r>
    </w:p>
    <w:p w:rsidR="00DD638A" w:rsidRPr="00CF3394" w:rsidRDefault="00CF3394" w:rsidP="00DD638A">
      <w:pPr>
        <w:tabs>
          <w:tab w:val="left" w:pos="851"/>
        </w:tabs>
        <w:ind w:firstLine="567"/>
        <w:jc w:val="both"/>
      </w:pPr>
      <w:r w:rsidRPr="00CF3394">
        <w:lastRenderedPageBreak/>
        <w:t xml:space="preserve">Предоставените </w:t>
      </w:r>
      <w:r w:rsidR="00DD638A" w:rsidRPr="00CF3394">
        <w:t>средства към 31.03.202</w:t>
      </w:r>
      <w:r w:rsidR="00017412" w:rsidRPr="00D40081">
        <w:t>1</w:t>
      </w:r>
      <w:r w:rsidR="00DD638A" w:rsidRPr="00CF3394">
        <w:t xml:space="preserve">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00DD638A" w:rsidRPr="00CF3394">
        <w:rPr>
          <w:noProof/>
        </w:rPr>
        <w:t xml:space="preserve">вътрешноградски транспорт и междуселищен </w:t>
      </w:r>
      <w:r w:rsidR="00DD638A" w:rsidRPr="00CF3394">
        <w:t xml:space="preserve">автомобилен транспорт или железопътен транспорт, съгласно ПМС № </w:t>
      </w:r>
      <w:r w:rsidR="00822B95" w:rsidRPr="00D40081">
        <w:t>408</w:t>
      </w:r>
      <w:r w:rsidR="00822B95" w:rsidRPr="00CF3394">
        <w:t>/20</w:t>
      </w:r>
      <w:r w:rsidR="00822B95" w:rsidRPr="00D40081">
        <w:t>20</w:t>
      </w:r>
      <w:r w:rsidR="00DD638A" w:rsidRPr="00CF3394">
        <w:t xml:space="preserve"> г. за изпълнението на държавния бюджет на Република България за 202</w:t>
      </w:r>
      <w:r w:rsidR="00017412" w:rsidRPr="00D40081">
        <w:t>1</w:t>
      </w:r>
      <w:r w:rsidR="00DD638A" w:rsidRPr="00CF3394">
        <w:t xml:space="preserve"> г., са както следва:</w:t>
      </w:r>
    </w:p>
    <w:p w:rsidR="00DD638A" w:rsidRPr="00CF3394" w:rsidRDefault="00DD638A" w:rsidP="00DD638A">
      <w:pPr>
        <w:ind w:firstLine="567"/>
        <w:jc w:val="both"/>
      </w:pPr>
      <w:r w:rsidRPr="00CF3394">
        <w:t xml:space="preserve">- компенсации за пътувания с железопътния транспорт в размер на </w:t>
      </w:r>
      <w:r w:rsidR="00822B95" w:rsidRPr="00D40081">
        <w:t>0</w:t>
      </w:r>
      <w:r w:rsidRPr="00CF3394">
        <w:t>,</w:t>
      </w:r>
      <w:r w:rsidR="00822B95" w:rsidRPr="00D40081">
        <w:t>7</w:t>
      </w:r>
      <w:r w:rsidRPr="00CF3394">
        <w:t xml:space="preserve"> млн. лв.,  което е </w:t>
      </w:r>
      <w:r w:rsidR="00822B95" w:rsidRPr="00D40081">
        <w:t>5</w:t>
      </w:r>
      <w:r w:rsidRPr="00CF3394">
        <w:t>,</w:t>
      </w:r>
      <w:r w:rsidR="00822B95" w:rsidRPr="00D40081">
        <w:t>3</w:t>
      </w:r>
      <w:r w:rsidRPr="00CF3394">
        <w:t xml:space="preserve"> на сто от утвърдения годишен план; </w:t>
      </w:r>
    </w:p>
    <w:p w:rsidR="00DD638A" w:rsidRPr="00CF3394" w:rsidRDefault="00DD638A" w:rsidP="00DD638A">
      <w:pPr>
        <w:tabs>
          <w:tab w:val="left" w:pos="540"/>
          <w:tab w:val="left" w:pos="709"/>
        </w:tabs>
        <w:ind w:firstLine="567"/>
        <w:jc w:val="both"/>
        <w:rPr>
          <w:noProof/>
        </w:rPr>
      </w:pPr>
      <w:r w:rsidRPr="00CF3394">
        <w:rPr>
          <w:noProof/>
        </w:rPr>
        <w:t xml:space="preserve">-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822B95" w:rsidRPr="00D40081">
        <w:rPr>
          <w:noProof/>
        </w:rPr>
        <w:t>30</w:t>
      </w:r>
      <w:r w:rsidRPr="00CF3394">
        <w:rPr>
          <w:noProof/>
        </w:rPr>
        <w:t>,</w:t>
      </w:r>
      <w:r w:rsidR="00822B95" w:rsidRPr="00D40081">
        <w:rPr>
          <w:noProof/>
        </w:rPr>
        <w:t>3</w:t>
      </w:r>
      <w:r w:rsidRPr="00CF3394">
        <w:rPr>
          <w:noProof/>
        </w:rPr>
        <w:t xml:space="preserve"> млн. лв., което е 27,</w:t>
      </w:r>
      <w:r w:rsidR="00822B95" w:rsidRPr="00D40081">
        <w:rPr>
          <w:noProof/>
        </w:rPr>
        <w:t>6</w:t>
      </w:r>
      <w:r w:rsidRPr="00CF3394">
        <w:rPr>
          <w:noProof/>
        </w:rPr>
        <w:t xml:space="preserve"> на сто от </w:t>
      </w:r>
      <w:r w:rsidRPr="00CF3394">
        <w:t>утвърдения</w:t>
      </w:r>
      <w:r w:rsidRPr="00CF3394">
        <w:rPr>
          <w:noProof/>
        </w:rPr>
        <w:t xml:space="preserve"> годишен план. </w:t>
      </w:r>
    </w:p>
    <w:p w:rsidR="00DD638A" w:rsidRPr="00822B95" w:rsidRDefault="00CF3394" w:rsidP="00DD638A">
      <w:pPr>
        <w:ind w:firstLine="567"/>
        <w:jc w:val="both"/>
        <w:rPr>
          <w:noProof/>
        </w:rPr>
      </w:pPr>
      <w:r w:rsidRPr="00CF3394">
        <w:rPr>
          <w:noProof/>
        </w:rPr>
        <w:t xml:space="preserve">Предоставените </w:t>
      </w:r>
      <w:r w:rsidR="00DD638A" w:rsidRPr="00CF3394">
        <w:rPr>
          <w:noProof/>
        </w:rPr>
        <w:t xml:space="preserve">средства за </w:t>
      </w:r>
      <w:r w:rsidR="00DD638A" w:rsidRPr="00CF3394">
        <w:t>компенсиране на намалените приходи от прилагането на</w:t>
      </w:r>
      <w:r w:rsidR="00DD638A" w:rsidRPr="00822B95">
        <w:t xml:space="preserve"> цени за пътуване, предвидени в нормативни актове за определени категории пътници,</w:t>
      </w:r>
      <w:r w:rsidR="00DD638A" w:rsidRPr="00822B95">
        <w:rPr>
          <w:noProof/>
        </w:rPr>
        <w:t xml:space="preserve"> по вътрешноградския транспорт и междуселищния автомобилен транспорт за първото тримесечие на 202</w:t>
      </w:r>
      <w:r w:rsidR="00822B95" w:rsidRPr="00D40081">
        <w:rPr>
          <w:noProof/>
        </w:rPr>
        <w:t>1</w:t>
      </w:r>
      <w:r w:rsidR="00DD638A" w:rsidRPr="00822B95">
        <w:rPr>
          <w:noProof/>
        </w:rPr>
        <w:t xml:space="preserve"> г., диференцирани по групи правоимащи лица и размер на намалението спрямо редовната цена, са както следва:</w:t>
      </w:r>
    </w:p>
    <w:p w:rsidR="00DD638A" w:rsidRPr="000A3426" w:rsidRDefault="000A3426" w:rsidP="00DD638A">
      <w:pPr>
        <w:pStyle w:val="BodyTextIndent"/>
        <w:spacing w:after="0"/>
        <w:ind w:left="0" w:firstLine="567"/>
        <w:jc w:val="both"/>
      </w:pPr>
      <w:r w:rsidRPr="000A3426">
        <w:t>- 1</w:t>
      </w:r>
      <w:r w:rsidRPr="00D40081">
        <w:t>4</w:t>
      </w:r>
      <w:r w:rsidR="00DD638A" w:rsidRPr="000A3426">
        <w:t>,</w:t>
      </w:r>
      <w:r w:rsidRPr="00D40081">
        <w:t>5</w:t>
      </w:r>
      <w:r w:rsidR="00DD638A" w:rsidRPr="000A3426">
        <w:t xml:space="preserve"> млн. лв. за транспорт на деца и ученици в съответствие с чл. 283, ал. 2 от Закона за предучилищното и училищното образование, което е 3</w:t>
      </w:r>
      <w:r w:rsidRPr="00D40081">
        <w:t>1</w:t>
      </w:r>
      <w:r w:rsidR="00DD638A" w:rsidRPr="000A3426">
        <w:t xml:space="preserve">,6 на сто от утвърдения годишен план; </w:t>
      </w:r>
    </w:p>
    <w:p w:rsidR="00DD638A" w:rsidRPr="000A3426" w:rsidRDefault="00DD638A" w:rsidP="00DD638A">
      <w:pPr>
        <w:pStyle w:val="BodyTextIndent"/>
        <w:tabs>
          <w:tab w:val="left" w:pos="1026"/>
        </w:tabs>
        <w:spacing w:after="0"/>
        <w:ind w:left="0" w:firstLine="567"/>
        <w:jc w:val="both"/>
      </w:pPr>
      <w:r w:rsidRPr="000A3426">
        <w:t>- 15,</w:t>
      </w:r>
      <w:r w:rsidR="000A3426" w:rsidRPr="00D40081">
        <w:t>8</w:t>
      </w:r>
      <w:r w:rsidRPr="000A3426">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24,</w:t>
      </w:r>
      <w:r w:rsidR="000A3426" w:rsidRPr="00D40081">
        <w:t>8</w:t>
      </w:r>
      <w:r w:rsidRPr="000A3426">
        <w:t xml:space="preserve"> на сто, в това число:</w:t>
      </w:r>
    </w:p>
    <w:p w:rsidR="00DD638A" w:rsidRPr="000A3426" w:rsidRDefault="00DD638A" w:rsidP="00DD638A">
      <w:pPr>
        <w:numPr>
          <w:ilvl w:val="0"/>
          <w:numId w:val="20"/>
        </w:numPr>
        <w:tabs>
          <w:tab w:val="left" w:pos="993"/>
        </w:tabs>
        <w:ind w:hanging="275"/>
        <w:jc w:val="both"/>
      </w:pPr>
      <w:r w:rsidRPr="000A3426">
        <w:t>11,</w:t>
      </w:r>
      <w:r w:rsidR="000A3426" w:rsidRPr="00D40081">
        <w:t>8</w:t>
      </w:r>
      <w:r w:rsidRPr="000A3426">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25,0 на сто спрямо утвърдения годишен план; </w:t>
      </w:r>
    </w:p>
    <w:p w:rsidR="00DD638A" w:rsidRPr="000A3426" w:rsidRDefault="00DD638A" w:rsidP="00DD638A">
      <w:pPr>
        <w:numPr>
          <w:ilvl w:val="0"/>
          <w:numId w:val="20"/>
        </w:numPr>
        <w:tabs>
          <w:tab w:val="num" w:pos="360"/>
          <w:tab w:val="left" w:pos="993"/>
        </w:tabs>
        <w:ind w:hanging="275"/>
        <w:jc w:val="both"/>
      </w:pPr>
      <w:r w:rsidRPr="000A3426">
        <w:t>4,0 млн. лв. за превоз на служители, ползващи право на безплатно пътуване при изпълнение на служебните си задължения, което е 2</w:t>
      </w:r>
      <w:r w:rsidR="000A3426" w:rsidRPr="00D40081">
        <w:t>4</w:t>
      </w:r>
      <w:r w:rsidRPr="000A3426">
        <w:t>,</w:t>
      </w:r>
      <w:r w:rsidR="000A3426" w:rsidRPr="00D40081">
        <w:t>1</w:t>
      </w:r>
      <w:r w:rsidRPr="000A3426">
        <w:t xml:space="preserve"> от годишния план.</w:t>
      </w:r>
    </w:p>
    <w:p w:rsidR="00333B5E" w:rsidRPr="000A3426" w:rsidRDefault="00333B5E" w:rsidP="00333B5E">
      <w:pPr>
        <w:jc w:val="both"/>
        <w:rPr>
          <w:sz w:val="12"/>
          <w:szCs w:val="12"/>
        </w:rPr>
      </w:pPr>
    </w:p>
    <w:p w:rsidR="00347A59" w:rsidRPr="0080060A" w:rsidRDefault="00347A59" w:rsidP="00347A59">
      <w:pPr>
        <w:numPr>
          <w:ilvl w:val="0"/>
          <w:numId w:val="7"/>
        </w:numPr>
        <w:spacing w:after="120"/>
        <w:ind w:left="0" w:firstLine="360"/>
        <w:jc w:val="both"/>
        <w:rPr>
          <w:b/>
        </w:rPr>
      </w:pPr>
      <w:r w:rsidRPr="0080060A">
        <w:rPr>
          <w:b/>
        </w:rPr>
        <w:t xml:space="preserve">Разходи за лихви </w:t>
      </w:r>
    </w:p>
    <w:p w:rsidR="00347A59" w:rsidRPr="0080060A" w:rsidRDefault="00347A59" w:rsidP="00347A59">
      <w:pPr>
        <w:spacing w:after="120"/>
        <w:jc w:val="both"/>
      </w:pPr>
      <w:r w:rsidRPr="0080060A">
        <w:rPr>
          <w:b/>
        </w:rPr>
        <w:t xml:space="preserve">Лихвените плащания </w:t>
      </w:r>
      <w:r w:rsidRPr="0080060A">
        <w:t xml:space="preserve">по държавния бюджет към 31.03.2021 г. са в общ размер на </w:t>
      </w:r>
      <w:r w:rsidRPr="0080060A">
        <w:rPr>
          <w:b/>
        </w:rPr>
        <w:t>308,8 млн. лв</w:t>
      </w:r>
      <w:r w:rsidRPr="0080060A">
        <w:t xml:space="preserve">. или 49,6 % от предвидените в годишните разчети. </w:t>
      </w:r>
    </w:p>
    <w:p w:rsidR="00347A59" w:rsidRPr="00F44F24" w:rsidRDefault="00347A59" w:rsidP="00347A59">
      <w:pPr>
        <w:spacing w:after="120"/>
        <w:jc w:val="both"/>
      </w:pPr>
      <w:r w:rsidRPr="0083672C">
        <w:t xml:space="preserve">Разходите за </w:t>
      </w:r>
      <w:r w:rsidRPr="0083672C">
        <w:rPr>
          <w:b/>
        </w:rPr>
        <w:t>лихви по външни заеми</w:t>
      </w:r>
      <w:r w:rsidRPr="0083672C">
        <w:t xml:space="preserve"> са в размер на </w:t>
      </w:r>
      <w:r w:rsidRPr="0083672C">
        <w:rPr>
          <w:b/>
        </w:rPr>
        <w:t>255,2 млн. лв.</w:t>
      </w:r>
      <w:r w:rsidRPr="0083672C">
        <w:t xml:space="preserve">, в т.ч. 248,1 млн. лв. по </w:t>
      </w:r>
      <w:r w:rsidRPr="00E157CF">
        <w:t>централния бюджет. Разходите за лихви по ДИЗ, управлявани от министерства и ведомства са в размер на 7,2 млн. лв.</w:t>
      </w:r>
      <w:r w:rsidRPr="00A3166E">
        <w:rPr>
          <w:color w:val="0070C0"/>
        </w:rPr>
        <w:t xml:space="preserve"> </w:t>
      </w:r>
      <w:r w:rsidRPr="00E579B6">
        <w:t>По заемите с краен бенефициент</w:t>
      </w:r>
      <w:r>
        <w:t xml:space="preserve"> </w:t>
      </w:r>
      <w:r w:rsidRPr="00E579B6">
        <w:t xml:space="preserve">търговско дружество, няма </w:t>
      </w:r>
      <w:r w:rsidRPr="00F44F24">
        <w:t>извършени погашения.</w:t>
      </w:r>
    </w:p>
    <w:p w:rsidR="00347A59" w:rsidRPr="00F44F24" w:rsidRDefault="00347A59" w:rsidP="00347A59">
      <w:pPr>
        <w:spacing w:after="120"/>
        <w:jc w:val="both"/>
        <w:rPr>
          <w:b/>
        </w:rPr>
      </w:pPr>
      <w:r w:rsidRPr="00F44F24">
        <w:t>През отчетния период не са използвани средства, предвидени за покриване на риска от активиране на държавни гаранции.</w:t>
      </w:r>
      <w:r w:rsidRPr="00F44F24">
        <w:rPr>
          <w:b/>
        </w:rPr>
        <w:t xml:space="preserve"> </w:t>
      </w:r>
    </w:p>
    <w:p w:rsidR="00347A59" w:rsidRPr="00F44F24" w:rsidRDefault="00347A59" w:rsidP="00347A59">
      <w:pPr>
        <w:spacing w:after="60"/>
        <w:jc w:val="both"/>
      </w:pPr>
      <w:r w:rsidRPr="00F44F24">
        <w:rPr>
          <w:b/>
        </w:rPr>
        <w:t>Лихвите по вътрешни заеми</w:t>
      </w:r>
      <w:r w:rsidRPr="00F44F24">
        <w:t xml:space="preserve"> по държавния бюджет </w:t>
      </w:r>
      <w:r w:rsidRPr="00F44F24">
        <w:rPr>
          <w:bCs/>
        </w:rPr>
        <w:t>към март 2021</w:t>
      </w:r>
      <w:r w:rsidRPr="00F44F24">
        <w:t xml:space="preserve"> г. са в размер на </w:t>
      </w:r>
      <w:r w:rsidRPr="00F44F24">
        <w:rPr>
          <w:b/>
        </w:rPr>
        <w:t>53,6</w:t>
      </w:r>
      <w:r w:rsidRPr="00F44F24">
        <w:rPr>
          <w:rFonts w:eastAsia="Calibri"/>
          <w:b/>
        </w:rPr>
        <w:t> </w:t>
      </w:r>
      <w:r w:rsidRPr="00F44F24">
        <w:rPr>
          <w:b/>
        </w:rPr>
        <w:t>млн. лв.</w:t>
      </w:r>
      <w:r w:rsidRPr="00F44F24">
        <w:t xml:space="preserve"> и представляват основно лихви по емисии на ДЦК на вътрешния пазар. </w:t>
      </w:r>
      <w:r w:rsidRPr="0030550E">
        <w:t>Платените лихви и отстъпки по ДЦК, емитирани на аукционен принцип са в размер на 56,7</w:t>
      </w:r>
      <w:r>
        <w:t> </w:t>
      </w:r>
      <w:r w:rsidRPr="0030550E">
        <w:t>млн. лв. Реализираните при аукционите премии над номинала от емисии ДЦК към</w:t>
      </w:r>
      <w:r>
        <w:t> </w:t>
      </w:r>
      <w:r w:rsidRPr="0030550E">
        <w:t>31.</w:t>
      </w:r>
      <w:r>
        <w:t>0</w:t>
      </w:r>
      <w:r w:rsidRPr="0030550E">
        <w:t>3.2021 г. (отчетени в намаление на разходите за лихви по вътрешния дълг) съответно (-3,1) млн. лв.</w:t>
      </w:r>
    </w:p>
    <w:p w:rsidR="000B474D" w:rsidRPr="00E57AA2" w:rsidRDefault="000B474D" w:rsidP="009C2E5A">
      <w:pPr>
        <w:numPr>
          <w:ilvl w:val="0"/>
          <w:numId w:val="6"/>
        </w:numPr>
        <w:tabs>
          <w:tab w:val="num" w:pos="426"/>
        </w:tabs>
        <w:spacing w:before="240"/>
        <w:ind w:left="0" w:firstLine="0"/>
        <w:jc w:val="both"/>
        <w:rPr>
          <w:b/>
          <w:bCs/>
        </w:rPr>
      </w:pPr>
      <w:r w:rsidRPr="00E57AA2">
        <w:rPr>
          <w:b/>
          <w:bCs/>
        </w:rPr>
        <w:t xml:space="preserve">Нетният размер на трансферите по държавния бюджет </w:t>
      </w:r>
      <w:r w:rsidRPr="00E57AA2">
        <w:rPr>
          <w:bCs/>
        </w:rPr>
        <w:t>към март 202</w:t>
      </w:r>
      <w:r w:rsidR="00E57AA2" w:rsidRPr="00E57AA2">
        <w:rPr>
          <w:bCs/>
        </w:rPr>
        <w:t>1</w:t>
      </w:r>
      <w:r w:rsidRPr="00E57AA2">
        <w:rPr>
          <w:bCs/>
        </w:rPr>
        <w:t xml:space="preserve"> г.</w:t>
      </w:r>
      <w:r w:rsidRPr="00E57AA2">
        <w:rPr>
          <w:b/>
          <w:bCs/>
        </w:rPr>
        <w:t xml:space="preserve"> е </w:t>
      </w:r>
      <w:r w:rsidR="00E57AA2" w:rsidRPr="00E57AA2">
        <w:rPr>
          <w:b/>
          <w:bCs/>
        </w:rPr>
        <w:t>4 388,6</w:t>
      </w:r>
      <w:r w:rsidR="00E57AA2" w:rsidRPr="00E57AA2">
        <w:rPr>
          <w:rFonts w:eastAsia="Calibri"/>
          <w:b/>
        </w:rPr>
        <w:t> </w:t>
      </w:r>
      <w:r w:rsidRPr="00E57AA2">
        <w:rPr>
          <w:b/>
          <w:bCs/>
        </w:rPr>
        <w:t xml:space="preserve">млн. лв., в т.ч.: </w:t>
      </w:r>
    </w:p>
    <w:p w:rsidR="001F2FB5" w:rsidRPr="00C8246B" w:rsidRDefault="001F2FB5" w:rsidP="001F2FB5">
      <w:pPr>
        <w:numPr>
          <w:ilvl w:val="0"/>
          <w:numId w:val="24"/>
        </w:numPr>
        <w:tabs>
          <w:tab w:val="clear" w:pos="700"/>
          <w:tab w:val="left" w:pos="180"/>
          <w:tab w:val="num" w:pos="540"/>
          <w:tab w:val="num" w:pos="1495"/>
          <w:tab w:val="num" w:pos="9858"/>
        </w:tabs>
        <w:ind w:left="538" w:hanging="357"/>
        <w:jc w:val="both"/>
      </w:pPr>
      <w:r w:rsidRPr="00293304">
        <w:t>бюджетните  взаимоотношения  с  общините  включват  нето трансфери  и временни безлихвени заеми в  размер  на 1</w:t>
      </w:r>
      <w:r>
        <w:t> </w:t>
      </w:r>
      <w:r w:rsidRPr="00D40081">
        <w:t>622</w:t>
      </w:r>
      <w:r>
        <w:t>,</w:t>
      </w:r>
      <w:r w:rsidRPr="00D40081">
        <w:t>1</w:t>
      </w:r>
      <w:r w:rsidRPr="00293304">
        <w:t xml:space="preserve"> млн. лв.,</w:t>
      </w:r>
      <w:r w:rsidRPr="00D40081">
        <w:t xml:space="preserve"> </w:t>
      </w:r>
      <w:r w:rsidRPr="00293304">
        <w:t xml:space="preserve">от които субсидии от централния </w:t>
      </w:r>
      <w:r w:rsidRPr="00C8246B">
        <w:t xml:space="preserve">бюджет в размер на 1 473,5 млн. лв., други целеви трансфери от централния бюджет в размер на 37,7 млн. лв., нетни трансфери от/за други бюджети в размер на </w:t>
      </w:r>
      <w:r>
        <w:t>116,8</w:t>
      </w:r>
      <w:r w:rsidRPr="00C8246B">
        <w:t xml:space="preserve"> млн. лв. и възстановени трансфери от предходни години в централния бюджет – 5,9 млн. лева;</w:t>
      </w:r>
    </w:p>
    <w:p w:rsidR="001F2FB5" w:rsidRPr="00D73EFD" w:rsidRDefault="001F2FB5" w:rsidP="001F2FB5">
      <w:pPr>
        <w:numPr>
          <w:ilvl w:val="0"/>
          <w:numId w:val="24"/>
        </w:numPr>
        <w:tabs>
          <w:tab w:val="clear" w:pos="700"/>
          <w:tab w:val="left" w:pos="180"/>
          <w:tab w:val="num" w:pos="540"/>
          <w:tab w:val="num" w:pos="1495"/>
          <w:tab w:val="num" w:pos="9858"/>
        </w:tabs>
        <w:ind w:left="538" w:hanging="357"/>
        <w:jc w:val="both"/>
      </w:pPr>
      <w:r w:rsidRPr="00D73EFD">
        <w:lastRenderedPageBreak/>
        <w:t>на социалноосигурителните фондове (нето) – 2 416,4 млн. лв.,</w:t>
      </w:r>
      <w:r w:rsidRPr="00D73EFD">
        <w:rPr>
          <w:b/>
        </w:rPr>
        <w:t xml:space="preserve"> </w:t>
      </w:r>
      <w:r w:rsidRPr="00D73EFD">
        <w:t>което представлява 28,7 % от годишния разчет;</w:t>
      </w:r>
    </w:p>
    <w:p w:rsidR="001F2FB5" w:rsidRDefault="001F2FB5" w:rsidP="001F2FB5">
      <w:pPr>
        <w:numPr>
          <w:ilvl w:val="0"/>
          <w:numId w:val="24"/>
        </w:numPr>
        <w:tabs>
          <w:tab w:val="clear" w:pos="700"/>
          <w:tab w:val="left" w:pos="180"/>
          <w:tab w:val="num" w:pos="540"/>
          <w:tab w:val="num" w:pos="1495"/>
          <w:tab w:val="num" w:pos="9858"/>
        </w:tabs>
        <w:ind w:left="538" w:hanging="357"/>
        <w:jc w:val="both"/>
      </w:pPr>
      <w:r w:rsidRPr="00AC4AD9">
        <w:t>на други автономни бюджети (ДВУ, БАН, ССА, БНТ, БНР и БТА) – 235,5 млн. лв., 27,3 % от годишния разчет.</w:t>
      </w:r>
    </w:p>
    <w:p w:rsidR="00F40202" w:rsidRPr="00645A31" w:rsidRDefault="00F40202" w:rsidP="00F40202">
      <w:pPr>
        <w:numPr>
          <w:ilvl w:val="0"/>
          <w:numId w:val="6"/>
        </w:numPr>
        <w:tabs>
          <w:tab w:val="clear" w:pos="700"/>
          <w:tab w:val="left" w:pos="426"/>
        </w:tabs>
        <w:spacing w:before="120"/>
        <w:ind w:left="0" w:firstLine="0"/>
        <w:jc w:val="both"/>
        <w:rPr>
          <w:bCs/>
        </w:rPr>
      </w:pPr>
      <w:r w:rsidRPr="00645A31">
        <w:t>Частта от</w:t>
      </w:r>
      <w:r w:rsidRPr="00645A31">
        <w:rPr>
          <w:b/>
        </w:rPr>
        <w:t xml:space="preserve"> вноската на Република България в общия бюджет на ЕС, </w:t>
      </w:r>
      <w:r w:rsidRPr="00645A31">
        <w:t>изплатена към 31.03.2021 г. от централния бюджет, възлиза на</w:t>
      </w:r>
      <w:r w:rsidRPr="00645A31">
        <w:rPr>
          <w:b/>
        </w:rPr>
        <w:t xml:space="preserve"> 479,3 млн. лева.</w:t>
      </w:r>
      <w:r w:rsidRPr="00645A31">
        <w:t xml:space="preserve"> </w:t>
      </w:r>
    </w:p>
    <w:p w:rsidR="00F40202" w:rsidRPr="000D06A6" w:rsidRDefault="000D06A6" w:rsidP="00F40202">
      <w:pPr>
        <w:numPr>
          <w:ilvl w:val="0"/>
          <w:numId w:val="6"/>
        </w:numPr>
        <w:tabs>
          <w:tab w:val="clear" w:pos="700"/>
          <w:tab w:val="num" w:pos="426"/>
        </w:tabs>
        <w:spacing w:before="240" w:after="240"/>
        <w:ind w:left="0" w:firstLine="0"/>
        <w:jc w:val="both"/>
        <w:rPr>
          <w:sz w:val="16"/>
          <w:szCs w:val="16"/>
        </w:rPr>
      </w:pPr>
      <w:r w:rsidRPr="000D06A6">
        <w:rPr>
          <w:b/>
        </w:rPr>
        <w:t>Бюджетното салдо по държавния бюджет</w:t>
      </w:r>
      <w:r w:rsidRPr="00F34A88">
        <w:t xml:space="preserve"> към </w:t>
      </w:r>
      <w:r w:rsidRPr="00D40081">
        <w:t>31.03.202</w:t>
      </w:r>
      <w:r w:rsidRPr="00F34A88">
        <w:t xml:space="preserve">1 г. </w:t>
      </w:r>
      <w:r w:rsidRPr="000D06A6">
        <w:rPr>
          <w:b/>
        </w:rPr>
        <w:t>е отрицателно</w:t>
      </w:r>
      <w:r w:rsidRPr="007A3952">
        <w:t xml:space="preserve"> в размер </w:t>
      </w:r>
      <w:r w:rsidRPr="000D06A6">
        <w:t>на </w:t>
      </w:r>
      <w:r w:rsidRPr="000D06A6">
        <w:rPr>
          <w:b/>
        </w:rPr>
        <w:t>1 803,1 млн. лева</w:t>
      </w:r>
      <w:r w:rsidRPr="000D06A6">
        <w:t xml:space="preserve">. </w:t>
      </w:r>
      <w:r w:rsidR="00FD5E9E" w:rsidRPr="00FD5E9E">
        <w:t xml:space="preserve">Съпоставено със същия период на предходната година бюджетното салдо </w:t>
      </w:r>
      <w:r w:rsidRPr="000D06A6">
        <w:t>по държавния бюджет към март 2021 г. се влошава с около 1,96 млрд. лв., което се дължи основно на значителен ръст на нетните бюджетни взаимоотношения (трансфери) по държавния бюджет, в т.</w:t>
      </w:r>
      <w:r w:rsidR="00EF7671">
        <w:t> </w:t>
      </w:r>
      <w:r w:rsidRPr="000D06A6">
        <w:t>ч. предоставените субсидии/трансфери за социално и здравноосигурителните фондове, които нарастват с около 0,9 млрд. лв. спрямо същия период на предходната година, предоставените нето субсидии/трансфери за общините - с 0,3 млрд. лв.</w:t>
      </w:r>
      <w:r w:rsidR="00D818D0">
        <w:t>,</w:t>
      </w:r>
      <w:r w:rsidRPr="000D06A6">
        <w:t xml:space="preserve"> </w:t>
      </w:r>
      <w:r w:rsidR="00D818D0">
        <w:t>както</w:t>
      </w:r>
      <w:r w:rsidR="00D818D0" w:rsidRPr="00675459">
        <w:t xml:space="preserve"> и</w:t>
      </w:r>
      <w:r w:rsidR="00D818D0">
        <w:t xml:space="preserve"> на</w:t>
      </w:r>
      <w:r w:rsidRPr="000D06A6">
        <w:t xml:space="preserve"> ръст в разходите по държавния бюджет (с 0,6 млрд. лв.). Вноската в общия бюджет на ЕС също нараства с 0,1 млрд. лв. спрямо първите три месеца на 2020 </w:t>
      </w:r>
      <w:r w:rsidR="00734713" w:rsidRPr="000D06A6">
        <w:t>г</w:t>
      </w:r>
      <w:r w:rsidR="00734713">
        <w:t>одина</w:t>
      </w:r>
      <w:r w:rsidR="00F40202" w:rsidRPr="000D06A6">
        <w:t xml:space="preserve">. </w:t>
      </w:r>
    </w:p>
    <w:p w:rsidR="00DA123A" w:rsidRPr="008D326F" w:rsidRDefault="00DA123A" w:rsidP="00B53EDF">
      <w:pPr>
        <w:numPr>
          <w:ilvl w:val="0"/>
          <w:numId w:val="6"/>
        </w:numPr>
        <w:tabs>
          <w:tab w:val="clear" w:pos="700"/>
          <w:tab w:val="num" w:pos="426"/>
        </w:tabs>
        <w:spacing w:before="240" w:after="120"/>
        <w:ind w:left="0" w:firstLine="0"/>
        <w:jc w:val="both"/>
        <w:rPr>
          <w:b/>
        </w:rPr>
      </w:pPr>
      <w:r w:rsidRPr="008D326F">
        <w:rPr>
          <w:b/>
        </w:rPr>
        <w:t>Финансиране на бюджета чрез операции по дълга</w:t>
      </w:r>
    </w:p>
    <w:p w:rsidR="00DA123A" w:rsidRPr="00D40081" w:rsidRDefault="00DA123A" w:rsidP="00DA123A">
      <w:pPr>
        <w:spacing w:after="120"/>
        <w:jc w:val="both"/>
      </w:pPr>
      <w:r w:rsidRPr="00B865C2">
        <w:t>Към 31.03.2021 г. по централния бюджет няма усвоени средства и извършени погашения по заеми от чужбина.</w:t>
      </w:r>
    </w:p>
    <w:p w:rsidR="00DA123A" w:rsidRPr="0063146A" w:rsidRDefault="00DA123A" w:rsidP="00DA123A">
      <w:pPr>
        <w:spacing w:before="120" w:after="120"/>
        <w:jc w:val="both"/>
      </w:pPr>
      <w:r w:rsidRPr="0063146A">
        <w:t xml:space="preserve">По </w:t>
      </w:r>
      <w:r w:rsidRPr="0063146A">
        <w:rPr>
          <w:b/>
        </w:rPr>
        <w:t>държавните инвестиционни заеми</w:t>
      </w:r>
      <w:r w:rsidRPr="0063146A">
        <w:t xml:space="preserve">, управлявани от министерства и ведомства, през отчетния период няма </w:t>
      </w:r>
      <w:r w:rsidRPr="0063146A">
        <w:rPr>
          <w:b/>
          <w:i/>
        </w:rPr>
        <w:t>усвоени</w:t>
      </w:r>
      <w:r w:rsidRPr="0063146A">
        <w:t xml:space="preserve"> средства. </w:t>
      </w:r>
    </w:p>
    <w:p w:rsidR="00DA123A" w:rsidRPr="00A3166E" w:rsidRDefault="00DA123A" w:rsidP="00DA123A">
      <w:pPr>
        <w:spacing w:after="120"/>
        <w:jc w:val="both"/>
        <w:rPr>
          <w:color w:val="0070C0"/>
        </w:rPr>
      </w:pPr>
      <w:r w:rsidRPr="00690118">
        <w:rPr>
          <w:b/>
          <w:i/>
        </w:rPr>
        <w:t>Изплатените погашения</w:t>
      </w:r>
      <w:r w:rsidRPr="00690118">
        <w:t xml:space="preserve"> по ДИЗ, управлявани от министерства и ведомства, са в размер на </w:t>
      </w:r>
      <w:r w:rsidRPr="00D40081">
        <w:t>15,6</w:t>
      </w:r>
      <w:r w:rsidRPr="00690118">
        <w:t xml:space="preserve"> млн. лв.</w:t>
      </w:r>
      <w:r w:rsidRPr="00A3166E">
        <w:rPr>
          <w:color w:val="0070C0"/>
        </w:rPr>
        <w:t xml:space="preserve"> </w:t>
      </w:r>
      <w:r w:rsidRPr="00472F34">
        <w:t xml:space="preserve">По заемите с краен бенефициент търговско дружество извършените погашения са в размер на </w:t>
      </w:r>
      <w:r>
        <w:t>0,3</w:t>
      </w:r>
      <w:r w:rsidRPr="00472F34">
        <w:t xml:space="preserve"> млн. лева.</w:t>
      </w:r>
    </w:p>
    <w:p w:rsidR="00DA123A" w:rsidRPr="00C66153" w:rsidRDefault="00DA123A" w:rsidP="00DA123A">
      <w:pPr>
        <w:spacing w:after="120"/>
        <w:jc w:val="both"/>
      </w:pPr>
      <w:r w:rsidRPr="00046C7C">
        <w:t xml:space="preserve">Не са използвани средства, предвидени за покриване на риска от активиране на държавни </w:t>
      </w:r>
      <w:r w:rsidRPr="00C66153">
        <w:t>гаранции.</w:t>
      </w:r>
    </w:p>
    <w:p w:rsidR="00DA123A" w:rsidRPr="00551EFF" w:rsidRDefault="00DA123A" w:rsidP="00DA123A">
      <w:pPr>
        <w:spacing w:after="60"/>
        <w:jc w:val="both"/>
      </w:pPr>
      <w:r w:rsidRPr="00C66153">
        <w:t xml:space="preserve">Операции с </w:t>
      </w:r>
      <w:r w:rsidRPr="00C66153">
        <w:rPr>
          <w:b/>
        </w:rPr>
        <w:t xml:space="preserve">държавни ценни книжа </w:t>
      </w:r>
      <w:r w:rsidRPr="00C66153">
        <w:t xml:space="preserve">по централния бюджет </w:t>
      </w:r>
      <w:r w:rsidRPr="00C66153">
        <w:rPr>
          <w:b/>
        </w:rPr>
        <w:t>(позиция във вътрешното финансиране):</w:t>
      </w:r>
      <w:r w:rsidRPr="00C66153">
        <w:t xml:space="preserve"> В края на месец март 2021 г. е реализирано положително нетно вътрешно финансиране </w:t>
      </w:r>
      <w:r w:rsidRPr="004A07D4">
        <w:t xml:space="preserve">на бюджета с държавни ценни книжа (ДЦК) в размер на 315,1 млн. лв. Общият </w:t>
      </w:r>
      <w:r w:rsidRPr="001D4E8E">
        <w:t xml:space="preserve">размер на постъпленията от емисии на ДЦК е 798,7 млн. лв. или са емитирани 800,0 млн. лв. ДЦК на обща номинална стойност, както следва: петгодишни облигации в обем 200 млн. лв. номинална стойност при постигната среднопретеглена годишна доходност в размер на </w:t>
      </w:r>
      <w:r w:rsidRPr="00D40081">
        <w:t>(</w:t>
      </w:r>
      <w:r w:rsidRPr="001D4E8E">
        <w:t>-0,17</w:t>
      </w:r>
      <w:r w:rsidRPr="00D40081">
        <w:t xml:space="preserve"> </w:t>
      </w:r>
      <w:r w:rsidRPr="001D4E8E">
        <w:t>%</w:t>
      </w:r>
      <w:r w:rsidRPr="00D40081">
        <w:t>),</w:t>
      </w:r>
      <w:r w:rsidRPr="001D4E8E">
        <w:t xml:space="preserve"> облигации с матуритет десет години и 6 месеца с номинална стойност 300 млн. лв. при</w:t>
      </w:r>
      <w:r w:rsidRPr="005E6292">
        <w:t xml:space="preserve"> среднопретеглена годиш</w:t>
      </w:r>
      <w:r>
        <w:t>на доходност в размер на 0,14 % и н</w:t>
      </w:r>
      <w:r w:rsidRPr="0097187C">
        <w:t>а 22 март М</w:t>
      </w:r>
      <w:r>
        <w:t>Ф</w:t>
      </w:r>
      <w:r w:rsidRPr="0097187C">
        <w:t xml:space="preserve"> преотвори емисия </w:t>
      </w:r>
      <w:r>
        <w:t xml:space="preserve">пет </w:t>
      </w:r>
      <w:r w:rsidRPr="0097187C">
        <w:t xml:space="preserve">годишни ДЦК </w:t>
      </w:r>
      <w:r>
        <w:t>(деноминирана в лева</w:t>
      </w:r>
      <w:r w:rsidRPr="0097187C">
        <w:t xml:space="preserve"> с падеж 24.02.2026 година</w:t>
      </w:r>
      <w:r>
        <w:t>), като н</w:t>
      </w:r>
      <w:r w:rsidRPr="0097187C">
        <w:t>а проведения аукцион бяха</w:t>
      </w:r>
      <w:r>
        <w:t xml:space="preserve"> </w:t>
      </w:r>
      <w:r w:rsidRPr="0097187C">
        <w:t xml:space="preserve">пласирани успешно ДЦК за 300 млн. лв. съвкупна номинална стойност при </w:t>
      </w:r>
      <w:r w:rsidRPr="00551EFF">
        <w:t>среднопретеглена годишна доходност в размер на (-0,10 %).</w:t>
      </w:r>
    </w:p>
    <w:p w:rsidR="00DA123A" w:rsidRPr="00551EFF" w:rsidRDefault="00DA123A" w:rsidP="00DA123A">
      <w:pPr>
        <w:spacing w:after="60"/>
        <w:jc w:val="both"/>
      </w:pPr>
      <w:r w:rsidRPr="00551EFF">
        <w:t>Отчетените погашения за периода са в размер на 483,6 млн. лв., в т.ч. през февруари  МФ погаси емисия 4-годишни ДЦК от 2017 г. в обем от 200 млн. лв. и 7-годишни ДЦК от 2014 г. в размер на 145 млн. евро (283,6 млн. лв.) номинална стойност.</w:t>
      </w:r>
    </w:p>
    <w:p w:rsidR="0004753C" w:rsidRPr="007C1025" w:rsidRDefault="0004753C" w:rsidP="00C2409D">
      <w:pPr>
        <w:pStyle w:val="Heading1"/>
        <w:numPr>
          <w:ilvl w:val="1"/>
          <w:numId w:val="10"/>
        </w:numPr>
        <w:spacing w:before="240" w:after="120"/>
        <w:ind w:right="-108" w:hanging="357"/>
        <w:jc w:val="both"/>
        <w:rPr>
          <w:sz w:val="24"/>
        </w:rPr>
      </w:pPr>
      <w:r w:rsidRPr="007C1025">
        <w:rPr>
          <w:sz w:val="24"/>
        </w:rPr>
        <w:t>Бюджет на съдебната власт</w:t>
      </w:r>
    </w:p>
    <w:p w:rsidR="005B6604" w:rsidRPr="000B49EE" w:rsidRDefault="005B6604" w:rsidP="009344DC">
      <w:pPr>
        <w:ind w:firstLine="567"/>
        <w:jc w:val="both"/>
      </w:pPr>
      <w:r w:rsidRPr="007C1025">
        <w:t>Със ЗДБРБ за 20</w:t>
      </w:r>
      <w:r w:rsidR="007C1025" w:rsidRPr="007C1025">
        <w:t>21</w:t>
      </w:r>
      <w:r w:rsidRPr="007C1025">
        <w:t xml:space="preserve"> г. са предвидени общо </w:t>
      </w:r>
      <w:r w:rsidRPr="007C1025">
        <w:rPr>
          <w:b/>
        </w:rPr>
        <w:t>приходи</w:t>
      </w:r>
      <w:r w:rsidRPr="007C1025">
        <w:t xml:space="preserve"> по бюджета на съдебната власт в </w:t>
      </w:r>
      <w:r w:rsidR="007C1025" w:rsidRPr="007C1025">
        <w:t>размер на 109,0 млн. лв., от тях 93</w:t>
      </w:r>
      <w:r w:rsidRPr="007C1025">
        <w:t xml:space="preserve">,0 млн. лв. са приходи от съдебни такси. За </w:t>
      </w:r>
      <w:r w:rsidR="007C1025" w:rsidRPr="007C1025">
        <w:t>първото тримесечие на 2021</w:t>
      </w:r>
      <w:r w:rsidRPr="007C1025">
        <w:t xml:space="preserve"> г. са отчетени приходи в раз</w:t>
      </w:r>
      <w:r w:rsidRPr="000B49EE">
        <w:t xml:space="preserve">мер на </w:t>
      </w:r>
      <w:r w:rsidR="000B49EE" w:rsidRPr="000B49EE">
        <w:t>23,1</w:t>
      </w:r>
      <w:r w:rsidRPr="000B49EE">
        <w:t xml:space="preserve"> млн. лв. (</w:t>
      </w:r>
      <w:r w:rsidR="000B49EE" w:rsidRPr="000B49EE">
        <w:t>21,2</w:t>
      </w:r>
      <w:r w:rsidRPr="000B49EE">
        <w:t xml:space="preserve"> % от планираните), от които </w:t>
      </w:r>
      <w:r w:rsidR="000B49EE" w:rsidRPr="000B49EE">
        <w:t>19,4</w:t>
      </w:r>
      <w:r w:rsidRPr="000B49EE">
        <w:t xml:space="preserve"> млн. лв. - приходи от съдебни такси. За сравнение, към 3</w:t>
      </w:r>
      <w:r w:rsidR="00B37E05" w:rsidRPr="000B49EE">
        <w:t>1</w:t>
      </w:r>
      <w:r w:rsidRPr="000B49EE">
        <w:t>.</w:t>
      </w:r>
      <w:r w:rsidR="00B37E05" w:rsidRPr="000B49EE">
        <w:t>03</w:t>
      </w:r>
      <w:r w:rsidR="000B49EE" w:rsidRPr="000B49EE">
        <w:t>.2020</w:t>
      </w:r>
      <w:r w:rsidRPr="000B49EE">
        <w:t xml:space="preserve"> г. са отчетени общо приходи в размер на </w:t>
      </w:r>
      <w:r w:rsidR="000B49EE" w:rsidRPr="000B49EE">
        <w:t>25,6</w:t>
      </w:r>
      <w:r w:rsidRPr="000B49EE">
        <w:t xml:space="preserve"> млн. лв. (</w:t>
      </w:r>
      <w:r w:rsidR="000B49EE" w:rsidRPr="000B49EE">
        <w:t>22,1</w:t>
      </w:r>
      <w:r w:rsidRPr="000B49EE">
        <w:t xml:space="preserve"> % от закона), от които </w:t>
      </w:r>
      <w:r w:rsidR="000B49EE" w:rsidRPr="000B49EE">
        <w:t>19,7</w:t>
      </w:r>
      <w:r w:rsidRPr="000B49EE">
        <w:t xml:space="preserve"> млн. лв. - приходи от съдебни такси.</w:t>
      </w:r>
    </w:p>
    <w:p w:rsidR="005B6604" w:rsidRPr="006D5D56" w:rsidRDefault="005B6604" w:rsidP="009344DC">
      <w:pPr>
        <w:ind w:firstLine="567"/>
        <w:jc w:val="both"/>
        <w:rPr>
          <w:color w:val="4F81BD" w:themeColor="accent1"/>
        </w:rPr>
      </w:pPr>
      <w:r w:rsidRPr="000B49EE">
        <w:rPr>
          <w:b/>
        </w:rPr>
        <w:t xml:space="preserve">Разходите </w:t>
      </w:r>
      <w:r w:rsidRPr="000B49EE">
        <w:t>по бюджета на съдебната власт</w:t>
      </w:r>
      <w:r w:rsidRPr="000B49EE">
        <w:rPr>
          <w:b/>
        </w:rPr>
        <w:t xml:space="preserve"> </w:t>
      </w:r>
      <w:r w:rsidRPr="000B49EE">
        <w:t xml:space="preserve">към </w:t>
      </w:r>
      <w:r w:rsidR="000B49EE" w:rsidRPr="000B49EE">
        <w:t>31.03.2021</w:t>
      </w:r>
      <w:r w:rsidRPr="000B49EE">
        <w:t xml:space="preserve"> г.</w:t>
      </w:r>
      <w:r w:rsidRPr="000B49EE">
        <w:rPr>
          <w:b/>
        </w:rPr>
        <w:t xml:space="preserve"> </w:t>
      </w:r>
      <w:r w:rsidRPr="000B49EE">
        <w:t xml:space="preserve">са в размер на </w:t>
      </w:r>
      <w:r w:rsidR="000B49EE" w:rsidRPr="000B49EE">
        <w:t>217,0</w:t>
      </w:r>
      <w:r w:rsidRPr="000B49EE">
        <w:t xml:space="preserve"> млн. лв. или </w:t>
      </w:r>
      <w:r w:rsidR="000B49EE" w:rsidRPr="000B49EE">
        <w:t>24,7</w:t>
      </w:r>
      <w:r w:rsidRPr="000B49EE">
        <w:t> % от планираните за годината (</w:t>
      </w:r>
      <w:r w:rsidR="000B49EE" w:rsidRPr="000B49EE">
        <w:t>880</w:t>
      </w:r>
      <w:r w:rsidRPr="000B49EE">
        <w:t>,3 млн. лв.). За сра</w:t>
      </w:r>
      <w:r w:rsidR="000B49EE" w:rsidRPr="000B49EE">
        <w:t>внение, през същия период на 2020</w:t>
      </w:r>
      <w:r w:rsidRPr="000B49EE">
        <w:t xml:space="preserve"> г. са отчетени разходи в размер </w:t>
      </w:r>
      <w:r w:rsidR="000B49EE" w:rsidRPr="000B49EE">
        <w:t>202,4</w:t>
      </w:r>
      <w:r w:rsidRPr="000B49EE">
        <w:t xml:space="preserve"> млн. лв., които представляват </w:t>
      </w:r>
      <w:r w:rsidR="000B49EE" w:rsidRPr="000B49EE">
        <w:t>26,2</w:t>
      </w:r>
      <w:r w:rsidRPr="000B49EE">
        <w:t xml:space="preserve"> % от </w:t>
      </w:r>
      <w:r w:rsidRPr="000B49EE">
        <w:lastRenderedPageBreak/>
        <w:t xml:space="preserve">определените с годишния закон </w:t>
      </w:r>
      <w:r w:rsidR="000B49EE" w:rsidRPr="000B49EE">
        <w:t>771</w:t>
      </w:r>
      <w:r w:rsidR="00B86928" w:rsidRPr="000B49EE">
        <w:t>,3</w:t>
      </w:r>
      <w:r w:rsidRPr="000B49EE">
        <w:t xml:space="preserve"> млн. лева. </w:t>
      </w:r>
      <w:r w:rsidRPr="00D633BB">
        <w:t xml:space="preserve">За </w:t>
      </w:r>
      <w:r w:rsidR="000B49EE" w:rsidRPr="00D633BB">
        <w:t>първото тримесечие на 2021</w:t>
      </w:r>
      <w:r w:rsidRPr="00D633BB">
        <w:t xml:space="preserve"> г. с най-голям относителен дял от отчетените разходи са тези за персонал – </w:t>
      </w:r>
      <w:r w:rsidR="00D633BB" w:rsidRPr="00D633BB">
        <w:t>94,2</w:t>
      </w:r>
      <w:r w:rsidRPr="00D633BB">
        <w:t xml:space="preserve"> % (</w:t>
      </w:r>
      <w:r w:rsidR="00D633BB" w:rsidRPr="00D633BB">
        <w:t>204,5</w:t>
      </w:r>
      <w:r w:rsidRPr="00D633BB">
        <w:t xml:space="preserve"> млн. лв.).</w:t>
      </w:r>
    </w:p>
    <w:p w:rsidR="00F521AA" w:rsidRPr="00D744AF" w:rsidRDefault="00F521AA" w:rsidP="00F521AA">
      <w:pPr>
        <w:pStyle w:val="Heading1"/>
        <w:numPr>
          <w:ilvl w:val="0"/>
          <w:numId w:val="10"/>
        </w:numPr>
        <w:spacing w:before="240" w:after="120"/>
        <w:ind w:left="748" w:right="-108" w:hanging="391"/>
        <w:jc w:val="both"/>
        <w:rPr>
          <w:sz w:val="24"/>
        </w:rPr>
      </w:pPr>
      <w:r w:rsidRPr="00D744AF">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D744AF" w:rsidRDefault="00F521AA" w:rsidP="00F521AA">
      <w:pPr>
        <w:pStyle w:val="Heading1"/>
        <w:numPr>
          <w:ilvl w:val="1"/>
          <w:numId w:val="10"/>
        </w:numPr>
        <w:spacing w:after="120"/>
        <w:ind w:left="788" w:right="-108" w:hanging="431"/>
        <w:jc w:val="both"/>
        <w:rPr>
          <w:sz w:val="24"/>
        </w:rPr>
      </w:pPr>
      <w:r w:rsidRPr="00D744AF">
        <w:rPr>
          <w:sz w:val="24"/>
        </w:rPr>
        <w:t xml:space="preserve"> Сметка за Европейски средства на Разплащателна агенция към Държавен фонд „Земеделие” </w:t>
      </w:r>
    </w:p>
    <w:p w:rsidR="00063CF1" w:rsidRPr="00D744AF" w:rsidRDefault="00063CF1" w:rsidP="00063CF1">
      <w:pPr>
        <w:numPr>
          <w:ilvl w:val="0"/>
          <w:numId w:val="28"/>
        </w:numPr>
        <w:tabs>
          <w:tab w:val="num" w:pos="540"/>
        </w:tabs>
        <w:spacing w:before="120" w:after="120" w:line="276" w:lineRule="auto"/>
        <w:contextualSpacing/>
        <w:jc w:val="both"/>
        <w:rPr>
          <w:b/>
          <w:lang w:eastAsia="bg-BG"/>
        </w:rPr>
      </w:pPr>
      <w:r w:rsidRPr="00D744AF">
        <w:rPr>
          <w:b/>
          <w:lang w:eastAsia="bg-BG"/>
        </w:rPr>
        <w:t>Приходи</w:t>
      </w:r>
    </w:p>
    <w:p w:rsidR="00477886" w:rsidRPr="00030658" w:rsidRDefault="00477886" w:rsidP="009344DC">
      <w:pPr>
        <w:ind w:firstLine="567"/>
        <w:jc w:val="both"/>
      </w:pPr>
      <w:r w:rsidRPr="00030658">
        <w:t>За 202</w:t>
      </w:r>
      <w:r w:rsidR="00030658" w:rsidRPr="00030658">
        <w:t>1</w:t>
      </w:r>
      <w:r w:rsidRPr="00030658">
        <w:t xml:space="preserve">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w:t>
      </w:r>
      <w:r w:rsidR="00030658" w:rsidRPr="00030658">
        <w:t>699,7</w:t>
      </w:r>
      <w:r w:rsidRPr="00030658">
        <w:t xml:space="preserve"> млн. лева. Към 31.03.202</w:t>
      </w:r>
      <w:r w:rsidR="00030658" w:rsidRPr="00030658">
        <w:t>1</w:t>
      </w:r>
      <w:r w:rsidRPr="00030658">
        <w:t xml:space="preserve"> г. постъпленията са в размер на 13</w:t>
      </w:r>
      <w:r w:rsidR="00030658" w:rsidRPr="00030658">
        <w:t>1,1</w:t>
      </w:r>
      <w:r w:rsidRPr="00030658">
        <w:t xml:space="preserve"> млн. лв., което представлява 1</w:t>
      </w:r>
      <w:r w:rsidR="00030658" w:rsidRPr="00030658">
        <w:t>8,7</w:t>
      </w:r>
      <w:r w:rsidRPr="00030658">
        <w:t xml:space="preserve"> % от годишния план, при 1</w:t>
      </w:r>
      <w:r w:rsidR="00030658" w:rsidRPr="00030658">
        <w:t>5,1</w:t>
      </w:r>
      <w:r w:rsidRPr="00030658">
        <w:t xml:space="preserve"> % изпълнение на годишния план за същия период на предходната година. </w:t>
      </w:r>
      <w:r w:rsidRPr="00030658">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rsidR="00477886" w:rsidRPr="00030658" w:rsidRDefault="00477886" w:rsidP="009344DC">
      <w:pPr>
        <w:numPr>
          <w:ilvl w:val="0"/>
          <w:numId w:val="25"/>
        </w:numPr>
        <w:tabs>
          <w:tab w:val="left" w:pos="993"/>
        </w:tabs>
        <w:spacing w:before="120" w:after="120" w:line="276" w:lineRule="auto"/>
        <w:ind w:left="1321" w:firstLine="567"/>
        <w:jc w:val="both"/>
        <w:rPr>
          <w:b/>
          <w:i/>
        </w:rPr>
      </w:pPr>
      <w:r w:rsidRPr="00030658">
        <w:rPr>
          <w:b/>
          <w:i/>
        </w:rPr>
        <w:t>Текущи помощи и дарения от Европейския съюз</w:t>
      </w:r>
    </w:p>
    <w:p w:rsidR="00477886" w:rsidRPr="00030658" w:rsidRDefault="00477886" w:rsidP="009344DC">
      <w:pPr>
        <w:ind w:firstLine="567"/>
        <w:jc w:val="both"/>
      </w:pPr>
      <w:r w:rsidRPr="00030658">
        <w:t>Общият размер на получените приходи, отчетени в „Текущи помощи и дарения от Европейския съюз“ към края на март 202</w:t>
      </w:r>
      <w:r w:rsidR="00030658" w:rsidRPr="00030658">
        <w:t>1</w:t>
      </w:r>
      <w:r w:rsidRPr="00030658">
        <w:t xml:space="preserve"> г. е </w:t>
      </w:r>
      <w:r w:rsidR="00030658" w:rsidRPr="00030658">
        <w:t xml:space="preserve">15,2 </w:t>
      </w:r>
      <w:r w:rsidRPr="00030658">
        <w:t>млн. лв. при планирани за годината средства в размер на 1</w:t>
      </w:r>
      <w:r w:rsidR="00030658" w:rsidRPr="00030658">
        <w:t>47,9</w:t>
      </w:r>
      <w:r w:rsidRPr="00030658">
        <w:t xml:space="preserve"> млн. лева.</w:t>
      </w:r>
    </w:p>
    <w:p w:rsidR="00477886" w:rsidRPr="00030658" w:rsidRDefault="00477886" w:rsidP="009344DC">
      <w:pPr>
        <w:ind w:firstLine="567"/>
        <w:jc w:val="both"/>
      </w:pPr>
      <w:r w:rsidRPr="00030658">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31.03.202</w:t>
      </w:r>
      <w:r w:rsidR="00030658" w:rsidRPr="00030658">
        <w:t>1</w:t>
      </w:r>
      <w:r w:rsidRPr="00030658">
        <w:t xml:space="preserve"> г. </w:t>
      </w:r>
      <w:r w:rsidR="00030658" w:rsidRPr="00030658">
        <w:t>възлизат на</w:t>
      </w:r>
      <w:r w:rsidRPr="00030658">
        <w:t xml:space="preserve"> </w:t>
      </w:r>
      <w:r w:rsidR="00030658" w:rsidRPr="00030658">
        <w:t>11,8</w:t>
      </w:r>
      <w:r w:rsidRPr="00030658">
        <w:t xml:space="preserve"> млн. лв., което е </w:t>
      </w:r>
      <w:r w:rsidR="00030658" w:rsidRPr="00030658">
        <w:t>8,8</w:t>
      </w:r>
      <w:r w:rsidRPr="00030658">
        <w:t xml:space="preserve"> % от планираните за годината 134,</w:t>
      </w:r>
      <w:r w:rsidR="00030658" w:rsidRPr="00030658">
        <w:t>2</w:t>
      </w:r>
      <w:r w:rsidRPr="00030658">
        <w:t xml:space="preserve"> млн. лева. За сравнение, изпълнението на плана за първите три месеца на 20</w:t>
      </w:r>
      <w:r w:rsidR="00030658" w:rsidRPr="00030658">
        <w:t>20</w:t>
      </w:r>
      <w:r w:rsidRPr="00030658">
        <w:t xml:space="preserve"> г. е 17</w:t>
      </w:r>
      <w:r w:rsidR="00030658" w:rsidRPr="00030658">
        <w:t>,6</w:t>
      </w:r>
      <w:r w:rsidRPr="00030658">
        <w:t xml:space="preserve"> процента.</w:t>
      </w:r>
    </w:p>
    <w:p w:rsidR="00477886" w:rsidRPr="005C1D39" w:rsidRDefault="00477886" w:rsidP="009344DC">
      <w:pPr>
        <w:ind w:firstLine="567"/>
        <w:jc w:val="both"/>
      </w:pPr>
      <w:r w:rsidRPr="005C1D39">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31.03.202</w:t>
      </w:r>
      <w:r w:rsidR="005C1D39" w:rsidRPr="005C1D39">
        <w:t>1</w:t>
      </w:r>
      <w:r w:rsidRPr="005C1D39">
        <w:t xml:space="preserve"> г. са </w:t>
      </w:r>
      <w:r w:rsidR="005C1D39" w:rsidRPr="005C1D39">
        <w:t>0</w:t>
      </w:r>
      <w:r w:rsidRPr="005C1D39">
        <w:t>,3 млн. лв., което представлява 3,</w:t>
      </w:r>
      <w:r w:rsidR="005C1D39" w:rsidRPr="005C1D39">
        <w:t>3</w:t>
      </w:r>
      <w:r w:rsidRPr="005C1D39">
        <w:t xml:space="preserve"> % от планираните за годината 9,</w:t>
      </w:r>
      <w:r w:rsidR="005C1D39" w:rsidRPr="005C1D39">
        <w:t>2</w:t>
      </w:r>
      <w:r w:rsidRPr="005C1D39">
        <w:t xml:space="preserve"> млн. лева. За сравнение, за същия период на предходната година възстановените суми по това направление са </w:t>
      </w:r>
      <w:r w:rsidR="005C1D39" w:rsidRPr="005C1D39">
        <w:t>1</w:t>
      </w:r>
      <w:r w:rsidRPr="005C1D39">
        <w:t>3</w:t>
      </w:r>
      <w:r w:rsidR="005C1D39" w:rsidRPr="005C1D39">
        <w:t>,7</w:t>
      </w:r>
      <w:r w:rsidRPr="005C1D39">
        <w:t xml:space="preserve"> % от годишния план. </w:t>
      </w:r>
    </w:p>
    <w:p w:rsidR="00477886" w:rsidRPr="00702733" w:rsidRDefault="00477886" w:rsidP="009344DC">
      <w:pPr>
        <w:ind w:firstLine="567"/>
        <w:jc w:val="both"/>
      </w:pPr>
      <w:r w:rsidRPr="00702733">
        <w:t>През първото тримесечие на 202</w:t>
      </w:r>
      <w:r w:rsidR="00702733" w:rsidRPr="00702733">
        <w:t>1</w:t>
      </w:r>
      <w:r w:rsidRPr="00702733">
        <w:t xml:space="preserve"> г. са получени </w:t>
      </w:r>
      <w:r w:rsidR="00702733" w:rsidRPr="00702733">
        <w:t>3,1</w:t>
      </w:r>
      <w:r w:rsidRPr="00702733">
        <w:t xml:space="preserve"> млн. лв. текущи приходи от възстановяване от Европейския фонд за морско дело и рибарство (ЕФМДР), което представлява </w:t>
      </w:r>
      <w:r w:rsidR="00702733" w:rsidRPr="00702733">
        <w:t>68,9</w:t>
      </w:r>
      <w:r w:rsidRPr="00702733">
        <w:t xml:space="preserve"> % от планираните за годината </w:t>
      </w:r>
      <w:r w:rsidR="00702733" w:rsidRPr="00702733">
        <w:t>4</w:t>
      </w:r>
      <w:r w:rsidRPr="00702733">
        <w:t xml:space="preserve">,5 млн. лева. За същия период на предходната година изпълнението е било </w:t>
      </w:r>
      <w:r w:rsidR="00702733" w:rsidRPr="00702733">
        <w:t>23,2</w:t>
      </w:r>
      <w:r w:rsidRPr="00702733">
        <w:t xml:space="preserve"> %. </w:t>
      </w:r>
    </w:p>
    <w:p w:rsidR="00477886" w:rsidRPr="00702733" w:rsidRDefault="00477886" w:rsidP="009344DC">
      <w:pPr>
        <w:numPr>
          <w:ilvl w:val="0"/>
          <w:numId w:val="25"/>
        </w:numPr>
        <w:tabs>
          <w:tab w:val="left" w:pos="993"/>
        </w:tabs>
        <w:spacing w:before="120" w:after="120" w:line="276" w:lineRule="auto"/>
        <w:ind w:left="1321" w:firstLine="567"/>
        <w:jc w:val="both"/>
        <w:rPr>
          <w:b/>
          <w:i/>
        </w:rPr>
      </w:pPr>
      <w:r w:rsidRPr="00702733">
        <w:rPr>
          <w:b/>
          <w:i/>
        </w:rPr>
        <w:t>Капиталови помощи и дарения от Европейския съюз</w:t>
      </w:r>
    </w:p>
    <w:p w:rsidR="00477886" w:rsidRPr="00703DA0" w:rsidRDefault="00477886" w:rsidP="009344DC">
      <w:pPr>
        <w:ind w:firstLine="567"/>
        <w:jc w:val="both"/>
      </w:pPr>
      <w:r w:rsidRPr="00AF732C">
        <w:t>Общият размер на получените приходи, отчетени в „Капиталови помощи и дарения от Европейския съюз“ към 31.03.202</w:t>
      </w:r>
      <w:r w:rsidR="00AF732C" w:rsidRPr="00AF732C">
        <w:t>1</w:t>
      </w:r>
      <w:r w:rsidRPr="00AF732C">
        <w:t xml:space="preserve"> г. е 1</w:t>
      </w:r>
      <w:r w:rsidR="00AF732C" w:rsidRPr="00AF732C">
        <w:t>16,7</w:t>
      </w:r>
      <w:r w:rsidRPr="00AF732C">
        <w:t xml:space="preserve"> млн. лв. при планирани за годината </w:t>
      </w:r>
      <w:r w:rsidR="00AF732C" w:rsidRPr="00AF732C">
        <w:t>551,8</w:t>
      </w:r>
      <w:r w:rsidRPr="00AF732C">
        <w:t xml:space="preserve"> </w:t>
      </w:r>
      <w:r w:rsidRPr="00703DA0">
        <w:t>млн. лева.</w:t>
      </w:r>
    </w:p>
    <w:p w:rsidR="00477886" w:rsidRPr="00703DA0" w:rsidRDefault="00477886" w:rsidP="009344DC">
      <w:pPr>
        <w:ind w:firstLine="567"/>
        <w:jc w:val="both"/>
      </w:pPr>
      <w:r w:rsidRPr="00703DA0">
        <w:t>Получените капиталови приходи от ЕЗФРСР по линия на ПРСР без директни плащания до 31.03.202</w:t>
      </w:r>
      <w:r w:rsidR="00AF732C" w:rsidRPr="00703DA0">
        <w:t>1</w:t>
      </w:r>
      <w:r w:rsidRPr="00703DA0">
        <w:t xml:space="preserve"> г. са </w:t>
      </w:r>
      <w:r w:rsidR="00AF732C" w:rsidRPr="00703DA0">
        <w:t>107,5</w:t>
      </w:r>
      <w:r w:rsidRPr="00703DA0">
        <w:t xml:space="preserve"> млн. лв.</w:t>
      </w:r>
      <w:r w:rsidR="005932E4" w:rsidRPr="00703DA0">
        <w:t>, което</w:t>
      </w:r>
      <w:r w:rsidRPr="00703DA0">
        <w:t xml:space="preserve"> е </w:t>
      </w:r>
      <w:r w:rsidR="00AF732C" w:rsidRPr="00703DA0">
        <w:t>20,1</w:t>
      </w:r>
      <w:r w:rsidRPr="00703DA0">
        <w:t xml:space="preserve"> % от годишния план (</w:t>
      </w:r>
      <w:r w:rsidR="00AF732C" w:rsidRPr="00703DA0">
        <w:t>536,0</w:t>
      </w:r>
      <w:r w:rsidRPr="00703DA0">
        <w:t xml:space="preserve"> млн. лв.). За сравнение, през първото тримесечие на 20</w:t>
      </w:r>
      <w:r w:rsidR="00AF732C" w:rsidRPr="00703DA0">
        <w:t>20</w:t>
      </w:r>
      <w:r w:rsidRPr="00703DA0">
        <w:t xml:space="preserve"> г. са получени </w:t>
      </w:r>
      <w:r w:rsidR="00AF732C" w:rsidRPr="00703DA0">
        <w:t>95,2</w:t>
      </w:r>
      <w:r w:rsidRPr="00703DA0">
        <w:t xml:space="preserve"> млн. лева.</w:t>
      </w:r>
    </w:p>
    <w:p w:rsidR="00477886" w:rsidRPr="00703DA0" w:rsidRDefault="00477886" w:rsidP="009344DC">
      <w:pPr>
        <w:ind w:firstLine="567"/>
        <w:jc w:val="both"/>
      </w:pPr>
      <w:r w:rsidRPr="00703DA0">
        <w:t>През първото тримесечие на 202</w:t>
      </w:r>
      <w:r w:rsidR="00703DA0" w:rsidRPr="00703DA0">
        <w:t>1</w:t>
      </w:r>
      <w:r w:rsidRPr="00703DA0">
        <w:t xml:space="preserve"> г. са  получени капиталови приходи в размер на </w:t>
      </w:r>
      <w:r w:rsidR="00703DA0" w:rsidRPr="00703DA0">
        <w:t>9,2</w:t>
      </w:r>
      <w:r w:rsidRPr="00703DA0">
        <w:t xml:space="preserve"> млн. лв. </w:t>
      </w:r>
      <w:r w:rsidRPr="00703DA0">
        <w:rPr>
          <w:rFonts w:eastAsiaTheme="minorHAnsi"/>
        </w:rPr>
        <w:t>от фонд ЕФМДР</w:t>
      </w:r>
      <w:r w:rsidRPr="00703DA0">
        <w:t xml:space="preserve"> при планирани за годината </w:t>
      </w:r>
      <w:r w:rsidR="00703DA0" w:rsidRPr="00703DA0">
        <w:t>15,8</w:t>
      </w:r>
      <w:r w:rsidRPr="00703DA0">
        <w:t xml:space="preserve"> млн. лв., което е </w:t>
      </w:r>
      <w:r w:rsidR="00703DA0" w:rsidRPr="00703DA0">
        <w:t>58,2</w:t>
      </w:r>
      <w:r w:rsidRPr="00703DA0">
        <w:rPr>
          <w:rFonts w:eastAsiaTheme="minorHAnsi"/>
        </w:rPr>
        <w:t xml:space="preserve"> % изпълнение на плана за годината. </w:t>
      </w:r>
      <w:r w:rsidRPr="00703DA0">
        <w:t xml:space="preserve">За сравнение, изпълнението </w:t>
      </w:r>
      <w:r w:rsidR="005932E4" w:rsidRPr="00703DA0">
        <w:t xml:space="preserve">на годишния план </w:t>
      </w:r>
      <w:r w:rsidRPr="00703DA0">
        <w:t>към 31.03.20</w:t>
      </w:r>
      <w:r w:rsidR="00703DA0" w:rsidRPr="00703DA0">
        <w:t>20</w:t>
      </w:r>
      <w:r w:rsidRPr="00703DA0">
        <w:t xml:space="preserve"> г. е </w:t>
      </w:r>
      <w:r w:rsidR="00703DA0" w:rsidRPr="00703DA0">
        <w:t>43,9</w:t>
      </w:r>
      <w:r w:rsidRPr="00703DA0">
        <w:t xml:space="preserve"> процента.</w:t>
      </w:r>
    </w:p>
    <w:p w:rsidR="00477886" w:rsidRPr="00703DA0" w:rsidRDefault="00477886" w:rsidP="009344DC">
      <w:pPr>
        <w:numPr>
          <w:ilvl w:val="0"/>
          <w:numId w:val="25"/>
        </w:numPr>
        <w:tabs>
          <w:tab w:val="left" w:pos="993"/>
        </w:tabs>
        <w:spacing w:before="120" w:after="120"/>
        <w:ind w:left="1321" w:firstLine="567"/>
        <w:jc w:val="both"/>
        <w:rPr>
          <w:b/>
          <w:i/>
        </w:rPr>
      </w:pPr>
      <w:r w:rsidRPr="00703DA0">
        <w:rPr>
          <w:b/>
          <w:i/>
        </w:rPr>
        <w:t>Приходи от наказателни лихви</w:t>
      </w:r>
    </w:p>
    <w:p w:rsidR="00477886" w:rsidRDefault="00477886" w:rsidP="009344DC">
      <w:pPr>
        <w:tabs>
          <w:tab w:val="left" w:pos="993"/>
        </w:tabs>
        <w:spacing w:before="120" w:after="120"/>
        <w:ind w:firstLine="567"/>
        <w:jc w:val="both"/>
      </w:pPr>
      <w:r w:rsidRPr="00703DA0">
        <w:t>През първото тримесечие на 202</w:t>
      </w:r>
      <w:r w:rsidR="00703DA0" w:rsidRPr="00703DA0">
        <w:t>1</w:t>
      </w:r>
      <w:r w:rsidRPr="00703DA0">
        <w:t xml:space="preserve"> г. са отчетени приходи от получени наказателни лихви, свързани с вземания за възстановяване на средства от ЕК в размер на 0,</w:t>
      </w:r>
      <w:r w:rsidR="00703DA0" w:rsidRPr="00703DA0">
        <w:t>2</w:t>
      </w:r>
      <w:r w:rsidRPr="00703DA0">
        <w:t xml:space="preserve"> млн. лева.</w:t>
      </w:r>
    </w:p>
    <w:p w:rsidR="009C318D" w:rsidRDefault="009C318D" w:rsidP="009344DC">
      <w:pPr>
        <w:tabs>
          <w:tab w:val="left" w:pos="993"/>
        </w:tabs>
        <w:spacing w:before="120" w:after="120"/>
        <w:ind w:firstLine="567"/>
        <w:jc w:val="both"/>
      </w:pPr>
    </w:p>
    <w:p w:rsidR="009C318D" w:rsidRPr="00703DA0" w:rsidRDefault="009C318D" w:rsidP="009344DC">
      <w:pPr>
        <w:tabs>
          <w:tab w:val="left" w:pos="993"/>
        </w:tabs>
        <w:spacing w:before="120" w:after="120"/>
        <w:ind w:firstLine="567"/>
        <w:jc w:val="both"/>
      </w:pPr>
    </w:p>
    <w:p w:rsidR="00477886" w:rsidRPr="00703DA0" w:rsidRDefault="00477886" w:rsidP="009344DC">
      <w:pPr>
        <w:ind w:firstLine="567"/>
        <w:jc w:val="both"/>
        <w:rPr>
          <w:sz w:val="10"/>
        </w:rPr>
      </w:pPr>
    </w:p>
    <w:p w:rsidR="00477886" w:rsidRPr="00703DA0" w:rsidRDefault="00477886" w:rsidP="00F15EFE">
      <w:pPr>
        <w:numPr>
          <w:ilvl w:val="0"/>
          <w:numId w:val="28"/>
        </w:numPr>
        <w:tabs>
          <w:tab w:val="num" w:pos="540"/>
        </w:tabs>
        <w:spacing w:before="120" w:after="120" w:line="276" w:lineRule="auto"/>
        <w:contextualSpacing/>
        <w:jc w:val="both"/>
        <w:rPr>
          <w:b/>
          <w:lang w:eastAsia="bg-BG"/>
        </w:rPr>
      </w:pPr>
      <w:r w:rsidRPr="00703DA0">
        <w:rPr>
          <w:b/>
          <w:lang w:eastAsia="bg-BG"/>
        </w:rPr>
        <w:lastRenderedPageBreak/>
        <w:t xml:space="preserve">Разходи </w:t>
      </w:r>
    </w:p>
    <w:p w:rsidR="00477886" w:rsidRPr="00D56BDE" w:rsidRDefault="00477886" w:rsidP="009344DC">
      <w:pPr>
        <w:ind w:firstLine="567"/>
        <w:jc w:val="both"/>
      </w:pPr>
      <w:r w:rsidRPr="00D56BDE">
        <w:t>Общият размер на планираните за 202</w:t>
      </w:r>
      <w:r w:rsidR="00D56BDE" w:rsidRPr="00D56BDE">
        <w:t>1</w:t>
      </w:r>
      <w:r w:rsidRPr="00D56BDE">
        <w:t xml:space="preserve"> г. разходи по утвърдените годишни разчети на сметката за средства от Европейския съюз на Разплащателната агенция към ДФ „Земеделие” е </w:t>
      </w:r>
      <w:r w:rsidR="00D56BDE" w:rsidRPr="00D56BDE">
        <w:t>913,1</w:t>
      </w:r>
      <w:r w:rsidRPr="00D56BDE">
        <w:t xml:space="preserve"> млн. лева. </w:t>
      </w:r>
    </w:p>
    <w:p w:rsidR="00477886" w:rsidRPr="00D56BDE" w:rsidRDefault="00477886" w:rsidP="009344DC">
      <w:pPr>
        <w:ind w:firstLine="567"/>
        <w:jc w:val="both"/>
      </w:pPr>
      <w:r w:rsidRPr="00D56BDE">
        <w:t>Уточненият план на субсидиите за текуща дейност и капиталовите трансфери за 202</w:t>
      </w:r>
      <w:r w:rsidR="00D40081" w:rsidRPr="00D40081">
        <w:t>1</w:t>
      </w:r>
      <w:r w:rsidRPr="00D56BDE">
        <w:t xml:space="preserve"> г. е </w:t>
      </w:r>
      <w:r w:rsidR="00D56BDE" w:rsidRPr="00D56BDE">
        <w:t>647</w:t>
      </w:r>
      <w:r w:rsidRPr="00D56BDE">
        <w:t>,5 млн. лева. Изпълнението към 31.03.202</w:t>
      </w:r>
      <w:r w:rsidR="00D56BDE" w:rsidRPr="00D56BDE">
        <w:t>1</w:t>
      </w:r>
      <w:r w:rsidRPr="00D56BDE">
        <w:t xml:space="preserve"> г. възлиза на 8,</w:t>
      </w:r>
      <w:r w:rsidR="00D56BDE" w:rsidRPr="00D56BDE">
        <w:t>8</w:t>
      </w:r>
      <w:r w:rsidRPr="00D56BDE">
        <w:t xml:space="preserve"> % от годишния план и е в размер на </w:t>
      </w:r>
      <w:r w:rsidR="00D56BDE" w:rsidRPr="00D56BDE">
        <w:t>57,0</w:t>
      </w:r>
      <w:r w:rsidRPr="00D56BDE">
        <w:t xml:space="preserve"> млн. лева.</w:t>
      </w:r>
    </w:p>
    <w:p w:rsidR="00477886" w:rsidRPr="00D56BDE" w:rsidRDefault="00477886" w:rsidP="009344DC">
      <w:pPr>
        <w:ind w:firstLine="567"/>
        <w:jc w:val="both"/>
      </w:pPr>
      <w:r w:rsidRPr="00D56BDE">
        <w:t>Разпределението на разходите е както следва:</w:t>
      </w:r>
    </w:p>
    <w:p w:rsidR="00477886" w:rsidRPr="00B30CDD" w:rsidRDefault="00477886" w:rsidP="009344DC">
      <w:pPr>
        <w:numPr>
          <w:ilvl w:val="0"/>
          <w:numId w:val="25"/>
        </w:numPr>
        <w:tabs>
          <w:tab w:val="left" w:pos="993"/>
        </w:tabs>
        <w:spacing w:before="120" w:after="120" w:line="276" w:lineRule="auto"/>
        <w:ind w:left="1321" w:firstLine="567"/>
        <w:jc w:val="both"/>
        <w:rPr>
          <w:b/>
          <w:i/>
        </w:rPr>
      </w:pPr>
      <w:r w:rsidRPr="00B30CDD">
        <w:rPr>
          <w:b/>
          <w:i/>
        </w:rPr>
        <w:t>Субсидии и други текущи трансфери за нефинансови предприятия</w:t>
      </w:r>
    </w:p>
    <w:p w:rsidR="00477886" w:rsidRPr="00B30CDD" w:rsidRDefault="00477886" w:rsidP="009344DC">
      <w:pPr>
        <w:ind w:firstLine="567"/>
        <w:jc w:val="both"/>
      </w:pPr>
      <w:r w:rsidRPr="00B30CDD">
        <w:t>За 202</w:t>
      </w:r>
      <w:r w:rsidR="00B30CDD" w:rsidRPr="00B30CDD">
        <w:t>1</w:t>
      </w:r>
      <w:r w:rsidRPr="00B30CDD">
        <w:t xml:space="preserve"> г. са планирани средства в размер на 2</w:t>
      </w:r>
      <w:r w:rsidR="00B30CDD" w:rsidRPr="00B30CDD">
        <w:t>97,8</w:t>
      </w:r>
      <w:r w:rsidRPr="00B30CDD">
        <w:t xml:space="preserve"> млн. лв. за субсидии и други текущи трансфери за нефинансови предприятия. Отчетените към края на първото тримесечие на 202</w:t>
      </w:r>
      <w:r w:rsidR="00B30CDD" w:rsidRPr="00B30CDD">
        <w:t>1</w:t>
      </w:r>
      <w:r w:rsidRPr="00B30CDD">
        <w:t xml:space="preserve"> г. средства представляват </w:t>
      </w:r>
      <w:r w:rsidR="00B30CDD" w:rsidRPr="00B30CDD">
        <w:t>7,6</w:t>
      </w:r>
      <w:r w:rsidRPr="00B30CDD">
        <w:t xml:space="preserve"> % от планираните за годината и са в размер на </w:t>
      </w:r>
      <w:r w:rsidR="00B30CDD" w:rsidRPr="00B30CDD">
        <w:t>22,7</w:t>
      </w:r>
      <w:r w:rsidRPr="00B30CDD">
        <w:t xml:space="preserve"> млн. лева. За същия период на предходната година, изпълнението е </w:t>
      </w:r>
      <w:r w:rsidR="00B30CDD" w:rsidRPr="00B30CDD">
        <w:t>14,9</w:t>
      </w:r>
      <w:r w:rsidRPr="00B30CDD">
        <w:t xml:space="preserve"> млн. лева.</w:t>
      </w:r>
    </w:p>
    <w:p w:rsidR="00477886" w:rsidRPr="00B30CDD" w:rsidRDefault="00477886" w:rsidP="009344DC">
      <w:pPr>
        <w:ind w:firstLine="567"/>
        <w:jc w:val="both"/>
      </w:pPr>
      <w:r w:rsidRPr="00B30CDD">
        <w:t>Изпълнението по дейности е както следва:</w:t>
      </w:r>
    </w:p>
    <w:p w:rsidR="00477886" w:rsidRDefault="00477886" w:rsidP="009344DC">
      <w:pPr>
        <w:ind w:firstLine="567"/>
        <w:contextualSpacing/>
        <w:jc w:val="both"/>
      </w:pPr>
      <w:r w:rsidRPr="00B30CDD">
        <w:t xml:space="preserve">- национално съфинансиране към ЕЗФРСР за директни плащания – </w:t>
      </w:r>
      <w:r w:rsidR="00B30CDD" w:rsidRPr="00B30CDD">
        <w:t>6,2</w:t>
      </w:r>
      <w:r w:rsidRPr="00B30CDD">
        <w:t xml:space="preserve"> млн. лв., изпълнение </w:t>
      </w:r>
      <w:r w:rsidR="00B30CDD" w:rsidRPr="00B30CDD">
        <w:t>6,3</w:t>
      </w:r>
      <w:r w:rsidRPr="00B30CDD">
        <w:t xml:space="preserve"> % на планираните за годината </w:t>
      </w:r>
      <w:r w:rsidR="00B30CDD" w:rsidRPr="00B30CDD">
        <w:t>98,2</w:t>
      </w:r>
      <w:r w:rsidRPr="00B30CDD">
        <w:t xml:space="preserve"> млн. лева;</w:t>
      </w:r>
    </w:p>
    <w:p w:rsidR="00B30CDD" w:rsidRPr="00BC2620" w:rsidRDefault="00B30CDD" w:rsidP="00B30CDD">
      <w:pPr>
        <w:ind w:firstLine="567"/>
        <w:contextualSpacing/>
        <w:jc w:val="both"/>
      </w:pPr>
      <w:r w:rsidRPr="00B30CDD">
        <w:t xml:space="preserve">- </w:t>
      </w:r>
      <w:r w:rsidR="00BC2620">
        <w:t xml:space="preserve"> </w:t>
      </w:r>
      <w:r>
        <w:t xml:space="preserve">текущи субсидии </w:t>
      </w:r>
      <w:r w:rsidR="00BC2620">
        <w:t xml:space="preserve">по Програмата за морско дело и рибарство </w:t>
      </w:r>
      <w:r w:rsidRPr="00B30CDD">
        <w:t xml:space="preserve">– </w:t>
      </w:r>
      <w:r w:rsidR="00BC2620">
        <w:t xml:space="preserve">за отчетния период няма </w:t>
      </w:r>
      <w:r w:rsidR="00BC2620" w:rsidRPr="00BC2620">
        <w:t>усвоени средства при</w:t>
      </w:r>
      <w:r w:rsidRPr="00BC2620">
        <w:t xml:space="preserve"> планирани за годината </w:t>
      </w:r>
      <w:r w:rsidR="00BC2620" w:rsidRPr="00BC2620">
        <w:t>6,6</w:t>
      </w:r>
      <w:r w:rsidRPr="00BC2620">
        <w:t xml:space="preserve"> млн. лева;</w:t>
      </w:r>
    </w:p>
    <w:p w:rsidR="00477886" w:rsidRPr="00BC2620" w:rsidRDefault="00477886" w:rsidP="009344DC">
      <w:pPr>
        <w:ind w:firstLine="567"/>
        <w:contextualSpacing/>
        <w:jc w:val="both"/>
      </w:pPr>
      <w:r w:rsidRPr="00BC2620">
        <w:t xml:space="preserve">- текущи субсидии по Програмата за развитие на селските райони – </w:t>
      </w:r>
      <w:r w:rsidR="00BC2620" w:rsidRPr="00BC2620">
        <w:t>9,8</w:t>
      </w:r>
      <w:r w:rsidRPr="00BC2620">
        <w:t xml:space="preserve"> млн. лв., изпълнение от </w:t>
      </w:r>
      <w:r w:rsidR="00BC2620" w:rsidRPr="00BC2620">
        <w:t>6,6</w:t>
      </w:r>
      <w:r w:rsidRPr="00BC2620">
        <w:t xml:space="preserve"> % на планираните за годината 14</w:t>
      </w:r>
      <w:r w:rsidR="00BC2620" w:rsidRPr="00BC2620">
        <w:t>9,2</w:t>
      </w:r>
      <w:r w:rsidRPr="00BC2620">
        <w:t xml:space="preserve"> млн. лева;</w:t>
      </w:r>
    </w:p>
    <w:p w:rsidR="00477886" w:rsidRPr="00BC2620" w:rsidRDefault="00477886" w:rsidP="009344DC">
      <w:pPr>
        <w:tabs>
          <w:tab w:val="left" w:pos="851"/>
          <w:tab w:val="left" w:pos="1134"/>
        </w:tabs>
        <w:ind w:firstLine="567"/>
        <w:contextualSpacing/>
        <w:jc w:val="both"/>
      </w:pPr>
      <w:r w:rsidRPr="00BC2620">
        <w:t xml:space="preserve">- текущи субсидии за пазарни мерки – </w:t>
      </w:r>
      <w:r w:rsidR="00BC2620" w:rsidRPr="00BC2620">
        <w:t>6,7</w:t>
      </w:r>
      <w:r w:rsidRPr="00BC2620">
        <w:t xml:space="preserve"> млн. лв., изпълнение от 1</w:t>
      </w:r>
      <w:r w:rsidR="00BC2620" w:rsidRPr="00BC2620">
        <w:t>5</w:t>
      </w:r>
      <w:r w:rsidRPr="00BC2620">
        <w:t>,3 % на планираните за 202</w:t>
      </w:r>
      <w:r w:rsidR="00BC2620" w:rsidRPr="00BC2620">
        <w:t>1</w:t>
      </w:r>
      <w:r w:rsidRPr="00BC2620">
        <w:t xml:space="preserve"> г. </w:t>
      </w:r>
      <w:r w:rsidR="00BC2620" w:rsidRPr="00BC2620">
        <w:t>43,7</w:t>
      </w:r>
      <w:r w:rsidRPr="00BC2620">
        <w:t xml:space="preserve"> млн. лева.</w:t>
      </w:r>
    </w:p>
    <w:p w:rsidR="00477886" w:rsidRPr="00BC2620" w:rsidRDefault="00477886" w:rsidP="009344DC">
      <w:pPr>
        <w:numPr>
          <w:ilvl w:val="0"/>
          <w:numId w:val="25"/>
        </w:numPr>
        <w:tabs>
          <w:tab w:val="left" w:pos="993"/>
        </w:tabs>
        <w:spacing w:before="120" w:after="120" w:line="276" w:lineRule="auto"/>
        <w:ind w:left="1321" w:firstLine="567"/>
        <w:jc w:val="both"/>
        <w:rPr>
          <w:b/>
          <w:i/>
        </w:rPr>
      </w:pPr>
      <w:r w:rsidRPr="00BC2620">
        <w:rPr>
          <w:b/>
          <w:i/>
        </w:rPr>
        <w:t>Субсидии и други текущи трансфери за юридически лица с нестопанска цел</w:t>
      </w:r>
    </w:p>
    <w:p w:rsidR="00477886" w:rsidRPr="00BC2620" w:rsidRDefault="00477886" w:rsidP="009344DC">
      <w:pPr>
        <w:ind w:firstLine="567"/>
        <w:contextualSpacing/>
        <w:jc w:val="both"/>
      </w:pPr>
      <w:r w:rsidRPr="00BC2620">
        <w:tab/>
        <w:t>За 202</w:t>
      </w:r>
      <w:r w:rsidR="00BC2620" w:rsidRPr="00BC2620">
        <w:t>1</w:t>
      </w:r>
      <w:r w:rsidRPr="00BC2620">
        <w:t xml:space="preserve"> г. за субсидии и други текущи трансфери за юридически лица с нестопанска цел са планирани 1</w:t>
      </w:r>
      <w:r w:rsidR="00BC2620" w:rsidRPr="00BC2620">
        <w:t>8,2</w:t>
      </w:r>
      <w:r w:rsidRPr="00BC2620">
        <w:t xml:space="preserve"> млн. лева. Към края на първото тримесечие са отчетени разходи в размер на 1,</w:t>
      </w:r>
      <w:r w:rsidR="00BC2620" w:rsidRPr="00BC2620">
        <w:t>8</w:t>
      </w:r>
      <w:r w:rsidRPr="00BC2620">
        <w:t xml:space="preserve"> млн. лв. при </w:t>
      </w:r>
      <w:r w:rsidR="00BC2620" w:rsidRPr="00BC2620">
        <w:t>1,5</w:t>
      </w:r>
      <w:r w:rsidRPr="00BC2620">
        <w:t xml:space="preserve"> млн. лв. за същия период на 20</w:t>
      </w:r>
      <w:r w:rsidR="00BC2620" w:rsidRPr="00BC2620">
        <w:t>20</w:t>
      </w:r>
      <w:r w:rsidRPr="00BC2620">
        <w:t xml:space="preserve"> година.</w:t>
      </w:r>
    </w:p>
    <w:p w:rsidR="00477886" w:rsidRPr="00BC2620" w:rsidRDefault="00477886" w:rsidP="009344DC">
      <w:pPr>
        <w:ind w:firstLine="567"/>
        <w:contextualSpacing/>
        <w:jc w:val="both"/>
      </w:pPr>
      <w:r w:rsidRPr="00BC2620">
        <w:t>Разпределението по дейности е както следва:</w:t>
      </w:r>
    </w:p>
    <w:p w:rsidR="00477886" w:rsidRPr="00BC2620" w:rsidRDefault="00477886" w:rsidP="009344DC">
      <w:pPr>
        <w:ind w:firstLine="567"/>
        <w:contextualSpacing/>
        <w:jc w:val="both"/>
      </w:pPr>
      <w:r w:rsidRPr="00BC2620">
        <w:t xml:space="preserve">-  национално съфинансиране към ЕЗФРСР за директни плащания  – </w:t>
      </w:r>
      <w:r w:rsidR="00BC2620" w:rsidRPr="00BC2620">
        <w:t>няма усвоени средства</w:t>
      </w:r>
      <w:r w:rsidRPr="00BC2620">
        <w:t xml:space="preserve">; </w:t>
      </w:r>
    </w:p>
    <w:p w:rsidR="00477886" w:rsidRPr="00BC2620" w:rsidRDefault="00477886" w:rsidP="009344DC">
      <w:pPr>
        <w:tabs>
          <w:tab w:val="left" w:pos="851"/>
        </w:tabs>
        <w:ind w:firstLine="567"/>
        <w:contextualSpacing/>
        <w:jc w:val="both"/>
      </w:pPr>
      <w:r w:rsidRPr="00BC2620">
        <w:t>-  текущи субсидии по ПМДР – 1,</w:t>
      </w:r>
      <w:r w:rsidR="00BC2620" w:rsidRPr="00BC2620">
        <w:t>1</w:t>
      </w:r>
      <w:r w:rsidRPr="00BC2620">
        <w:t xml:space="preserve"> млн. лв. при планирани </w:t>
      </w:r>
      <w:r w:rsidR="00BC2620" w:rsidRPr="00BC2620">
        <w:t>1,3</w:t>
      </w:r>
      <w:r w:rsidRPr="00BC2620">
        <w:t xml:space="preserve"> млн. лева;</w:t>
      </w:r>
    </w:p>
    <w:p w:rsidR="00477886" w:rsidRPr="00BC2620" w:rsidRDefault="00477886" w:rsidP="009344DC">
      <w:pPr>
        <w:ind w:firstLine="567"/>
        <w:contextualSpacing/>
        <w:jc w:val="both"/>
      </w:pPr>
      <w:r w:rsidRPr="00BC2620">
        <w:t>- текущи субсидии по Програмата за развитие на селските райони – 0,</w:t>
      </w:r>
      <w:r w:rsidR="00BC2620" w:rsidRPr="00BC2620">
        <w:t>6</w:t>
      </w:r>
      <w:r w:rsidRPr="00BC2620">
        <w:t xml:space="preserve"> млн. лв., изпълнение </w:t>
      </w:r>
      <w:r w:rsidR="00BC2620" w:rsidRPr="00BC2620">
        <w:t>3</w:t>
      </w:r>
      <w:r w:rsidRPr="00BC2620">
        <w:t>,6 % на планираните 1</w:t>
      </w:r>
      <w:r w:rsidR="00BC2620" w:rsidRPr="00BC2620">
        <w:t>6,8</w:t>
      </w:r>
      <w:r w:rsidRPr="00BC2620">
        <w:t xml:space="preserve"> млн. лева;</w:t>
      </w:r>
    </w:p>
    <w:p w:rsidR="00477886" w:rsidRPr="00BC2620" w:rsidRDefault="00477886" w:rsidP="009344DC">
      <w:pPr>
        <w:ind w:firstLine="567"/>
        <w:contextualSpacing/>
        <w:jc w:val="both"/>
      </w:pPr>
      <w:r w:rsidRPr="00BC2620">
        <w:t xml:space="preserve">-  текущи субсидии за пазарни мерки – няма усвоени средства през първото тримесечие </w:t>
      </w:r>
      <w:r w:rsidR="0088368D" w:rsidRPr="00BC2620">
        <w:t xml:space="preserve">при </w:t>
      </w:r>
      <w:r w:rsidRPr="00BC2620">
        <w:t>планирани за годината 0,1 млн. лева.</w:t>
      </w:r>
    </w:p>
    <w:p w:rsidR="00477886" w:rsidRPr="00BC2620" w:rsidRDefault="00477886" w:rsidP="009344DC">
      <w:pPr>
        <w:numPr>
          <w:ilvl w:val="0"/>
          <w:numId w:val="25"/>
        </w:numPr>
        <w:tabs>
          <w:tab w:val="left" w:pos="993"/>
        </w:tabs>
        <w:spacing w:before="120" w:after="120" w:line="276" w:lineRule="auto"/>
        <w:ind w:left="1321" w:firstLine="567"/>
        <w:jc w:val="both"/>
        <w:rPr>
          <w:b/>
          <w:i/>
        </w:rPr>
      </w:pPr>
      <w:r w:rsidRPr="00BC2620">
        <w:rPr>
          <w:b/>
          <w:i/>
        </w:rPr>
        <w:t>Капиталови трансфери за нефинансови предприятия</w:t>
      </w:r>
    </w:p>
    <w:p w:rsidR="00477886" w:rsidRPr="00AD44E5" w:rsidRDefault="00477886" w:rsidP="009344DC">
      <w:pPr>
        <w:ind w:firstLine="567"/>
        <w:jc w:val="both"/>
      </w:pPr>
      <w:r w:rsidRPr="00BC2620">
        <w:t>За 202</w:t>
      </w:r>
      <w:r w:rsidR="00BC2620" w:rsidRPr="00BC2620">
        <w:t>1</w:t>
      </w:r>
      <w:r w:rsidRPr="00BC2620">
        <w:t xml:space="preserve"> г. за капиталови трансфери за нефинансови предприятия са планирани </w:t>
      </w:r>
      <w:r w:rsidR="00BC2620" w:rsidRPr="00BC2620">
        <w:t>314,3</w:t>
      </w:r>
      <w:r w:rsidRPr="00BC2620">
        <w:t xml:space="preserve"> млн. лева. Към 31.03.202</w:t>
      </w:r>
      <w:r w:rsidR="00BC2620" w:rsidRPr="00BC2620">
        <w:t>1</w:t>
      </w:r>
      <w:r w:rsidRPr="00BC2620">
        <w:t xml:space="preserve"> г. са отчетени </w:t>
      </w:r>
      <w:r w:rsidR="00BC2620" w:rsidRPr="00BC2620">
        <w:t>30,3</w:t>
      </w:r>
      <w:r w:rsidRPr="00BC2620">
        <w:t xml:space="preserve"> млн. лв., което е </w:t>
      </w:r>
      <w:r w:rsidR="00BC2620" w:rsidRPr="00BC2620">
        <w:t>9,6</w:t>
      </w:r>
      <w:r w:rsidRPr="00BC2620">
        <w:t xml:space="preserve"> % изпълнение на годишния </w:t>
      </w:r>
      <w:r w:rsidRPr="00AD44E5">
        <w:t xml:space="preserve">план. Изпълнението за същия период на предходната година е </w:t>
      </w:r>
      <w:r w:rsidR="00BC2620" w:rsidRPr="00AD44E5">
        <w:t>42,2</w:t>
      </w:r>
      <w:r w:rsidRPr="00AD44E5">
        <w:t xml:space="preserve"> млн. лева.</w:t>
      </w:r>
    </w:p>
    <w:p w:rsidR="00477886" w:rsidRPr="00AD44E5" w:rsidRDefault="00477886" w:rsidP="009344DC">
      <w:pPr>
        <w:ind w:firstLine="567"/>
        <w:jc w:val="both"/>
      </w:pPr>
      <w:r w:rsidRPr="00AD44E5">
        <w:t>Разпределението по дейности е както следва:</w:t>
      </w:r>
    </w:p>
    <w:p w:rsidR="00477886" w:rsidRPr="00AD44E5" w:rsidRDefault="00477886" w:rsidP="009344DC">
      <w:pPr>
        <w:ind w:firstLine="567"/>
        <w:contextualSpacing/>
        <w:jc w:val="both"/>
      </w:pPr>
      <w:r w:rsidRPr="00AD44E5">
        <w:t xml:space="preserve">-  капиталови трансфери по Програмата за морско дело и рибарство (ПМДР) – </w:t>
      </w:r>
      <w:r w:rsidR="00BC2620" w:rsidRPr="00AD44E5">
        <w:t>0,3</w:t>
      </w:r>
      <w:r w:rsidRPr="00AD44E5">
        <w:t xml:space="preserve"> млн. лв., което е </w:t>
      </w:r>
      <w:r w:rsidR="00BC2620" w:rsidRPr="00AD44E5">
        <w:t>1,5</w:t>
      </w:r>
      <w:r w:rsidRPr="00AD44E5">
        <w:t xml:space="preserve"> %  изпълнение на годишния план (</w:t>
      </w:r>
      <w:r w:rsidR="00BC2620" w:rsidRPr="00AD44E5">
        <w:t>20,3</w:t>
      </w:r>
      <w:r w:rsidRPr="00AD44E5">
        <w:t xml:space="preserve"> млн. лева);</w:t>
      </w:r>
    </w:p>
    <w:p w:rsidR="00477886" w:rsidRPr="00AD44E5" w:rsidRDefault="00477886" w:rsidP="009344DC">
      <w:pPr>
        <w:ind w:firstLine="567"/>
        <w:contextualSpacing/>
        <w:jc w:val="both"/>
      </w:pPr>
      <w:r w:rsidRPr="00AD44E5">
        <w:t xml:space="preserve">-  капиталови трансфери по ПРСР – </w:t>
      </w:r>
      <w:r w:rsidR="00D40081" w:rsidRPr="00D40081">
        <w:t>29</w:t>
      </w:r>
      <w:r w:rsidR="00BC2620" w:rsidRPr="00AD44E5">
        <w:t>,</w:t>
      </w:r>
      <w:r w:rsidR="00D40081" w:rsidRPr="00D40081">
        <w:t>9</w:t>
      </w:r>
      <w:r w:rsidRPr="00AD44E5">
        <w:t xml:space="preserve"> млн. лв., 1</w:t>
      </w:r>
      <w:r w:rsidR="00BC2620" w:rsidRPr="00AD44E5">
        <w:t>0</w:t>
      </w:r>
      <w:r w:rsidRPr="00AD44E5">
        <w:t>,3 %  изпълнение на годишния план (</w:t>
      </w:r>
      <w:r w:rsidR="00BC2620" w:rsidRPr="00AD44E5">
        <w:t>291,6</w:t>
      </w:r>
      <w:r w:rsidRPr="00AD44E5">
        <w:t xml:space="preserve"> млн. лв.);</w:t>
      </w:r>
    </w:p>
    <w:p w:rsidR="00477886" w:rsidRPr="00AD44E5" w:rsidRDefault="00477886" w:rsidP="009344DC">
      <w:pPr>
        <w:ind w:firstLine="567"/>
        <w:contextualSpacing/>
        <w:jc w:val="both"/>
      </w:pPr>
      <w:r w:rsidRPr="00AD44E5">
        <w:t xml:space="preserve">-  капиталови трансфери за пазарни мерки – </w:t>
      </w:r>
      <w:r w:rsidR="00AD44E5" w:rsidRPr="00AD44E5">
        <w:t>няма усвоени средства</w:t>
      </w:r>
      <w:r w:rsidRPr="00AD44E5">
        <w:t xml:space="preserve"> при планирани в разчетите за годината 2,3 млн. лева. </w:t>
      </w:r>
    </w:p>
    <w:p w:rsidR="00477886" w:rsidRPr="00AD44E5" w:rsidRDefault="00477886" w:rsidP="009344DC">
      <w:pPr>
        <w:numPr>
          <w:ilvl w:val="0"/>
          <w:numId w:val="25"/>
        </w:numPr>
        <w:tabs>
          <w:tab w:val="left" w:pos="993"/>
        </w:tabs>
        <w:spacing w:before="120" w:after="120" w:line="276" w:lineRule="auto"/>
        <w:ind w:left="1321" w:firstLine="567"/>
        <w:jc w:val="both"/>
        <w:rPr>
          <w:b/>
          <w:i/>
        </w:rPr>
      </w:pPr>
      <w:r w:rsidRPr="00AD44E5">
        <w:rPr>
          <w:b/>
          <w:i/>
        </w:rPr>
        <w:t>Капиталови трансфери за организации с нестопанска цел</w:t>
      </w:r>
    </w:p>
    <w:p w:rsidR="00477886" w:rsidRPr="00AD44E5" w:rsidRDefault="00477886" w:rsidP="009344DC">
      <w:pPr>
        <w:ind w:firstLine="567"/>
        <w:jc w:val="both"/>
      </w:pPr>
      <w:r w:rsidRPr="00AD44E5">
        <w:t>За 202</w:t>
      </w:r>
      <w:r w:rsidR="00AD44E5" w:rsidRPr="00AD44E5">
        <w:t>1</w:t>
      </w:r>
      <w:r w:rsidRPr="00AD44E5">
        <w:t xml:space="preserve"> г. са планирани капиталови трансфери за организации с нестопанска цел в размер на </w:t>
      </w:r>
      <w:r w:rsidR="00AD44E5" w:rsidRPr="00AD44E5">
        <w:t>17,3</w:t>
      </w:r>
      <w:r w:rsidRPr="00AD44E5">
        <w:t xml:space="preserve"> млн. лева. Към 31.03.202</w:t>
      </w:r>
      <w:r w:rsidR="00AD44E5" w:rsidRPr="00AD44E5">
        <w:t>1</w:t>
      </w:r>
      <w:r w:rsidRPr="00AD44E5">
        <w:t xml:space="preserve"> г. са отчетени капиталови трансфери по ПРСР в размер на 2,</w:t>
      </w:r>
      <w:r w:rsidR="00AD44E5" w:rsidRPr="00AD44E5">
        <w:t>3</w:t>
      </w:r>
      <w:r w:rsidRPr="00AD44E5">
        <w:t xml:space="preserve"> млн. лв., </w:t>
      </w:r>
      <w:r w:rsidR="00AD44E5" w:rsidRPr="00AD44E5">
        <w:t>13</w:t>
      </w:r>
      <w:r w:rsidRPr="00AD44E5">
        <w:t xml:space="preserve">,3 % изпълнение на годишния план. </w:t>
      </w:r>
    </w:p>
    <w:p w:rsidR="00477886" w:rsidRPr="00AD44E5" w:rsidRDefault="00477886" w:rsidP="009344DC">
      <w:pPr>
        <w:spacing w:before="120"/>
        <w:ind w:firstLine="567"/>
        <w:jc w:val="both"/>
      </w:pPr>
      <w:r w:rsidRPr="00AD44E5">
        <w:lastRenderedPageBreak/>
        <w:t xml:space="preserve">Планираните разходи в размер </w:t>
      </w:r>
      <w:r w:rsidR="00AD44E5" w:rsidRPr="00AD44E5">
        <w:t>265,6</w:t>
      </w:r>
      <w:r w:rsidRPr="00AD44E5">
        <w:t xml:space="preserve"> млн. лв., в т.ч.: за заплати и възнаграждения на персонала </w:t>
      </w:r>
      <w:r w:rsidR="00AD44E5" w:rsidRPr="00AD44E5">
        <w:t>8,9</w:t>
      </w:r>
      <w:r w:rsidRPr="00AD44E5">
        <w:t xml:space="preserve"> млн. лв., задължителни осигурителни вноски от работодатели 2,</w:t>
      </w:r>
      <w:r w:rsidR="00AD44E5" w:rsidRPr="00AD44E5">
        <w:t>5</w:t>
      </w:r>
      <w:r w:rsidRPr="00AD44E5">
        <w:t xml:space="preserve"> млн. лв., издръжка </w:t>
      </w:r>
      <w:r w:rsidR="00AD44E5" w:rsidRPr="00AD44E5">
        <w:t>8,9</w:t>
      </w:r>
      <w:r w:rsidRPr="00AD44E5">
        <w:t xml:space="preserve"> млн. лв. и придобиване на ДМА 2</w:t>
      </w:r>
      <w:r w:rsidR="00AD44E5" w:rsidRPr="00AD44E5">
        <w:t>45,2</w:t>
      </w:r>
      <w:r w:rsidRPr="00AD44E5">
        <w:t xml:space="preserve"> млн. лв., подлежат на отчитане в § 63-00 „Трансфери между сметки за средствата от ЕС“.</w:t>
      </w:r>
    </w:p>
    <w:p w:rsidR="00477886" w:rsidRPr="00AD44E5" w:rsidRDefault="00477886" w:rsidP="009344DC">
      <w:pPr>
        <w:ind w:firstLine="567"/>
        <w:jc w:val="both"/>
        <w:rPr>
          <w:b/>
          <w:sz w:val="12"/>
          <w:u w:val="single"/>
        </w:rPr>
      </w:pPr>
    </w:p>
    <w:p w:rsidR="00477886" w:rsidRPr="00AD44E5" w:rsidRDefault="00477886" w:rsidP="00B07CFD">
      <w:pPr>
        <w:numPr>
          <w:ilvl w:val="0"/>
          <w:numId w:val="28"/>
        </w:numPr>
        <w:tabs>
          <w:tab w:val="num" w:pos="540"/>
        </w:tabs>
        <w:spacing w:before="120" w:after="120" w:line="276" w:lineRule="auto"/>
        <w:contextualSpacing/>
        <w:jc w:val="both"/>
        <w:rPr>
          <w:b/>
          <w:lang w:eastAsia="bg-BG"/>
        </w:rPr>
      </w:pPr>
      <w:r w:rsidRPr="00AD44E5">
        <w:rPr>
          <w:b/>
          <w:lang w:eastAsia="bg-BG"/>
        </w:rPr>
        <w:t xml:space="preserve">Трансфери </w:t>
      </w:r>
    </w:p>
    <w:p w:rsidR="00477886" w:rsidRPr="00AD44E5" w:rsidRDefault="00477886" w:rsidP="009344DC">
      <w:pPr>
        <w:ind w:firstLine="567"/>
        <w:jc w:val="both"/>
      </w:pPr>
      <w:r w:rsidRPr="00AD44E5">
        <w:t>В частта на трансферите, в касовия отчет на ДФЗ-РА към 31.03.202</w:t>
      </w:r>
      <w:r w:rsidR="00AD44E5" w:rsidRPr="00AD44E5">
        <w:t>1</w:t>
      </w:r>
      <w:r w:rsidRPr="00AD44E5">
        <w:t xml:space="preserve"> г. са отразени следните касови потоци:</w:t>
      </w:r>
    </w:p>
    <w:p w:rsidR="00477886" w:rsidRPr="00650C67" w:rsidRDefault="00477886" w:rsidP="009344DC">
      <w:pPr>
        <w:numPr>
          <w:ilvl w:val="0"/>
          <w:numId w:val="25"/>
        </w:numPr>
        <w:tabs>
          <w:tab w:val="left" w:pos="993"/>
        </w:tabs>
        <w:spacing w:before="120" w:after="120" w:line="276" w:lineRule="auto"/>
        <w:ind w:left="1321" w:firstLine="567"/>
        <w:jc w:val="both"/>
        <w:rPr>
          <w:b/>
          <w:i/>
        </w:rPr>
      </w:pPr>
      <w:r w:rsidRPr="00AD44E5">
        <w:rPr>
          <w:b/>
          <w:i/>
        </w:rPr>
        <w:t xml:space="preserve">Трансфери между бюджети и сметки за средства от Европейския </w:t>
      </w:r>
      <w:r w:rsidRPr="00650C67">
        <w:rPr>
          <w:b/>
          <w:i/>
        </w:rPr>
        <w:t xml:space="preserve">съюз </w:t>
      </w:r>
    </w:p>
    <w:p w:rsidR="00477886" w:rsidRPr="00650C67" w:rsidRDefault="00477886" w:rsidP="009344DC">
      <w:pPr>
        <w:ind w:firstLine="567"/>
        <w:jc w:val="both"/>
      </w:pPr>
      <w:r w:rsidRPr="00650C67">
        <w:t xml:space="preserve">Получените трансфери от бюджетни сметки на бюджетни организации и общини са формирани при възстановяване на суми по вземания по ПРСР, </w:t>
      </w:r>
      <w:r w:rsidR="00650C67" w:rsidRPr="00650C67">
        <w:t xml:space="preserve">ОПРСР, </w:t>
      </w:r>
      <w:r w:rsidRPr="00650C67">
        <w:t>ПМДР и директни плащания. Към 31.03.202</w:t>
      </w:r>
      <w:r w:rsidR="00650C67" w:rsidRPr="00650C67">
        <w:t>1</w:t>
      </w:r>
      <w:r w:rsidRPr="00650C67">
        <w:t xml:space="preserve"> г. техният размер е 0,</w:t>
      </w:r>
      <w:r w:rsidR="00650C67" w:rsidRPr="00650C67">
        <w:t>2</w:t>
      </w:r>
      <w:r w:rsidRPr="00650C67">
        <w:t xml:space="preserve"> млн. лева. </w:t>
      </w:r>
    </w:p>
    <w:p w:rsidR="00477886" w:rsidRPr="00650C67" w:rsidRDefault="00477886" w:rsidP="009344DC">
      <w:pPr>
        <w:ind w:firstLine="567"/>
        <w:jc w:val="both"/>
      </w:pPr>
      <w:r w:rsidRPr="00650C67">
        <w:tab/>
        <w:t>Предоставените през първото тримесечие на 202</w:t>
      </w:r>
      <w:r w:rsidR="00650C67" w:rsidRPr="00650C67">
        <w:t>1</w:t>
      </w:r>
      <w:r w:rsidRPr="00650C67">
        <w:t xml:space="preserve"> г. трансфери във връзка с чл.14 от Закона за подпомагане на земеделските производители възлизат на 0,</w:t>
      </w:r>
      <w:r w:rsidR="00650C67" w:rsidRPr="00650C67">
        <w:t>4</w:t>
      </w:r>
      <w:r w:rsidRPr="00650C67">
        <w:t xml:space="preserve"> млн. лева.</w:t>
      </w:r>
    </w:p>
    <w:p w:rsidR="00477886" w:rsidRPr="00650C67" w:rsidRDefault="00477886" w:rsidP="009344DC">
      <w:pPr>
        <w:numPr>
          <w:ilvl w:val="0"/>
          <w:numId w:val="25"/>
        </w:numPr>
        <w:tabs>
          <w:tab w:val="left" w:pos="993"/>
        </w:tabs>
        <w:spacing w:before="120" w:after="120" w:line="276" w:lineRule="auto"/>
        <w:ind w:left="1321" w:firstLine="567"/>
        <w:jc w:val="both"/>
        <w:rPr>
          <w:b/>
          <w:i/>
        </w:rPr>
      </w:pPr>
      <w:r w:rsidRPr="00650C67">
        <w:rPr>
          <w:b/>
          <w:i/>
        </w:rPr>
        <w:t>Трансфери между сметки за средства от Европейския съюз:</w:t>
      </w:r>
    </w:p>
    <w:p w:rsidR="00477886" w:rsidRPr="00650C67" w:rsidRDefault="00477886" w:rsidP="009344DC">
      <w:pPr>
        <w:ind w:firstLine="567"/>
        <w:jc w:val="both"/>
      </w:pPr>
      <w:r w:rsidRPr="00650C67">
        <w:t>Предоставените трансфери са формирани от изплатените субсидии и възстановените суми от публични бенефициенти. Към края на първото тримесечие на 202</w:t>
      </w:r>
      <w:r w:rsidR="00650C67" w:rsidRPr="00650C67">
        <w:t>1</w:t>
      </w:r>
      <w:r w:rsidRPr="00650C67">
        <w:t xml:space="preserve"> г. са отчетени </w:t>
      </w:r>
      <w:r w:rsidR="00650C67" w:rsidRPr="00650C67">
        <w:t>64,5</w:t>
      </w:r>
      <w:r w:rsidRPr="00650C67">
        <w:t xml:space="preserve"> млн. лв., в т.ч.:</w:t>
      </w:r>
    </w:p>
    <w:p w:rsidR="00477886" w:rsidRPr="00650C67" w:rsidRDefault="00477886" w:rsidP="00903E34">
      <w:pPr>
        <w:pStyle w:val="ListParagraph"/>
        <w:numPr>
          <w:ilvl w:val="0"/>
          <w:numId w:val="24"/>
        </w:numPr>
        <w:tabs>
          <w:tab w:val="left" w:pos="1080"/>
        </w:tabs>
        <w:spacing w:line="240" w:lineRule="auto"/>
        <w:ind w:left="706" w:firstLine="14"/>
        <w:rPr>
          <w:rFonts w:ascii="Times New Roman" w:hAnsi="Times New Roman"/>
        </w:rPr>
      </w:pPr>
      <w:r w:rsidRPr="00650C67">
        <w:rPr>
          <w:rFonts w:ascii="Times New Roman" w:hAnsi="Times New Roman"/>
        </w:rPr>
        <w:t xml:space="preserve">по Програмата за развитие на селските райони – </w:t>
      </w:r>
      <w:r w:rsidR="00650C67" w:rsidRPr="00650C67">
        <w:rPr>
          <w:rFonts w:ascii="Times New Roman" w:hAnsi="Times New Roman"/>
        </w:rPr>
        <w:t>63,9</w:t>
      </w:r>
      <w:r w:rsidRPr="00650C67">
        <w:rPr>
          <w:rFonts w:ascii="Times New Roman" w:hAnsi="Times New Roman"/>
        </w:rPr>
        <w:t xml:space="preserve"> млн. лв.;</w:t>
      </w:r>
    </w:p>
    <w:p w:rsidR="00477886" w:rsidRPr="00650C67" w:rsidRDefault="00477886" w:rsidP="00903E34">
      <w:pPr>
        <w:pStyle w:val="ListParagraph"/>
        <w:numPr>
          <w:ilvl w:val="0"/>
          <w:numId w:val="24"/>
        </w:numPr>
        <w:tabs>
          <w:tab w:val="left" w:pos="1080"/>
        </w:tabs>
        <w:spacing w:line="240" w:lineRule="auto"/>
        <w:ind w:left="706" w:firstLine="14"/>
        <w:rPr>
          <w:rFonts w:ascii="Times New Roman" w:hAnsi="Times New Roman"/>
        </w:rPr>
      </w:pPr>
      <w:r w:rsidRPr="00650C67">
        <w:rPr>
          <w:rFonts w:ascii="Times New Roman" w:hAnsi="Times New Roman"/>
        </w:rPr>
        <w:t>по Програмата за морско дело и рибарство: 0,</w:t>
      </w:r>
      <w:r w:rsidR="00650C67" w:rsidRPr="00650C67">
        <w:rPr>
          <w:rFonts w:ascii="Times New Roman" w:hAnsi="Times New Roman"/>
        </w:rPr>
        <w:t>6</w:t>
      </w:r>
      <w:r w:rsidRPr="00650C67">
        <w:rPr>
          <w:rFonts w:ascii="Times New Roman" w:hAnsi="Times New Roman"/>
        </w:rPr>
        <w:t xml:space="preserve"> млн. лева.</w:t>
      </w:r>
    </w:p>
    <w:p w:rsidR="00477886" w:rsidRPr="00650C67" w:rsidRDefault="00650C67" w:rsidP="009344DC">
      <w:pPr>
        <w:ind w:firstLine="567"/>
        <w:jc w:val="both"/>
      </w:pPr>
      <w:r w:rsidRPr="00650C67">
        <w:t>През</w:t>
      </w:r>
      <w:r w:rsidR="00477886" w:rsidRPr="00650C67">
        <w:t xml:space="preserve"> първото тримесечие на 20</w:t>
      </w:r>
      <w:r w:rsidRPr="00650C67">
        <w:t>2</w:t>
      </w:r>
      <w:r w:rsidR="004D6CE6">
        <w:t>0</w:t>
      </w:r>
      <w:r w:rsidR="00477886" w:rsidRPr="00650C67">
        <w:t xml:space="preserve"> г. с</w:t>
      </w:r>
      <w:r w:rsidRPr="00650C67">
        <w:t xml:space="preserve">а предоставени </w:t>
      </w:r>
      <w:r w:rsidR="00477886" w:rsidRPr="00650C67">
        <w:t xml:space="preserve">трансфери </w:t>
      </w:r>
      <w:r w:rsidRPr="00650C67">
        <w:t xml:space="preserve">в размер на 44,7 </w:t>
      </w:r>
      <w:r w:rsidR="00477886" w:rsidRPr="00650C67">
        <w:t>млн. лв.</w:t>
      </w:r>
    </w:p>
    <w:p w:rsidR="00477886" w:rsidRPr="00650C67" w:rsidRDefault="00477886" w:rsidP="009344DC">
      <w:pPr>
        <w:tabs>
          <w:tab w:val="left" w:pos="540"/>
        </w:tabs>
        <w:ind w:firstLine="567"/>
        <w:jc w:val="both"/>
      </w:pPr>
      <w:r w:rsidRPr="00650C67">
        <w:rPr>
          <w:lang w:eastAsia="bg-BG"/>
        </w:rPr>
        <w:tab/>
      </w:r>
    </w:p>
    <w:p w:rsidR="00477886" w:rsidRPr="00650C67" w:rsidRDefault="00477886" w:rsidP="00C0419A">
      <w:pPr>
        <w:numPr>
          <w:ilvl w:val="0"/>
          <w:numId w:val="28"/>
        </w:numPr>
        <w:tabs>
          <w:tab w:val="num" w:pos="540"/>
        </w:tabs>
        <w:spacing w:before="120" w:after="120" w:line="276" w:lineRule="auto"/>
        <w:contextualSpacing/>
        <w:jc w:val="both"/>
        <w:rPr>
          <w:b/>
          <w:lang w:eastAsia="bg-BG"/>
        </w:rPr>
      </w:pPr>
      <w:r w:rsidRPr="00650C67">
        <w:rPr>
          <w:b/>
          <w:lang w:eastAsia="bg-BG"/>
        </w:rPr>
        <w:t>Финансиране</w:t>
      </w:r>
    </w:p>
    <w:p w:rsidR="00477886" w:rsidRPr="00AB57F6" w:rsidRDefault="00477886" w:rsidP="009344DC">
      <w:pPr>
        <w:ind w:firstLine="567"/>
        <w:jc w:val="both"/>
      </w:pPr>
      <w:r w:rsidRPr="00AB57F6">
        <w:t>Към 31.03.202</w:t>
      </w:r>
      <w:r w:rsidR="00650C67" w:rsidRPr="00AB57F6">
        <w:t>1</w:t>
      </w:r>
      <w:r w:rsidRPr="00AB57F6">
        <w:t xml:space="preserve">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w:t>
      </w:r>
      <w:r w:rsidR="00AB57F6" w:rsidRPr="00AB57F6">
        <w:t>9,2</w:t>
      </w:r>
      <w:r w:rsidRPr="00AB57F6">
        <w:t xml:space="preserve"> млн. лева.</w:t>
      </w:r>
    </w:p>
    <w:p w:rsidR="00477886" w:rsidRPr="00AB57F6" w:rsidRDefault="00477886" w:rsidP="009344DC">
      <w:pPr>
        <w:ind w:firstLine="567"/>
        <w:jc w:val="both"/>
        <w:rPr>
          <w:lang w:eastAsia="bg-BG"/>
        </w:rPr>
      </w:pPr>
      <w:r w:rsidRPr="00AB57F6">
        <w:rPr>
          <w:lang w:eastAsia="bg-BG"/>
        </w:rPr>
        <w:t>Към 31.03.202</w:t>
      </w:r>
      <w:r w:rsidR="00AB57F6" w:rsidRPr="00AB57F6">
        <w:rPr>
          <w:lang w:eastAsia="bg-BG"/>
        </w:rPr>
        <w:t>1</w:t>
      </w:r>
      <w:r w:rsidRPr="00AB57F6">
        <w:rPr>
          <w:lang w:eastAsia="bg-BG"/>
        </w:rPr>
        <w:t xml:space="preserve"> г. са отчетени плащания в общ размер </w:t>
      </w:r>
      <w:r w:rsidR="00AB57F6" w:rsidRPr="00AB57F6">
        <w:rPr>
          <w:lang w:eastAsia="bg-BG"/>
        </w:rPr>
        <w:t xml:space="preserve">на </w:t>
      </w:r>
      <w:r w:rsidRPr="00AB57F6">
        <w:rPr>
          <w:lang w:eastAsia="bg-BG"/>
        </w:rPr>
        <w:t>2</w:t>
      </w:r>
      <w:r w:rsidR="00AB57F6" w:rsidRPr="00AB57F6">
        <w:rPr>
          <w:lang w:eastAsia="bg-BG"/>
        </w:rPr>
        <w:t>17,3</w:t>
      </w:r>
      <w:r w:rsidRPr="00AB57F6">
        <w:rPr>
          <w:lang w:eastAsia="bg-BG"/>
        </w:rPr>
        <w:t xml:space="preserve"> млн. лв., 11,</w:t>
      </w:r>
      <w:r w:rsidR="00AB57F6" w:rsidRPr="00AB57F6">
        <w:rPr>
          <w:lang w:eastAsia="bg-BG"/>
        </w:rPr>
        <w:t>0</w:t>
      </w:r>
      <w:r w:rsidRPr="00AB57F6">
        <w:rPr>
          <w:lang w:eastAsia="bg-BG"/>
        </w:rPr>
        <w:t xml:space="preserve"> % от годишните разчети (1</w:t>
      </w:r>
      <w:r w:rsidR="00AB57F6" w:rsidRPr="00AB57F6">
        <w:rPr>
          <w:lang w:eastAsia="bg-BG"/>
        </w:rPr>
        <w:t> 969,8</w:t>
      </w:r>
      <w:r w:rsidRPr="00AB57F6">
        <w:rPr>
          <w:lang w:eastAsia="bg-BG"/>
        </w:rPr>
        <w:t xml:space="preserve"> млн. лв.) при </w:t>
      </w:r>
      <w:r w:rsidR="00AB57F6" w:rsidRPr="00AB57F6">
        <w:rPr>
          <w:lang w:eastAsia="bg-BG"/>
        </w:rPr>
        <w:t>205,9</w:t>
      </w:r>
      <w:r w:rsidRPr="00AB57F6">
        <w:rPr>
          <w:lang w:eastAsia="bg-BG"/>
        </w:rPr>
        <w:t xml:space="preserve"> млн. лв. за първото тримесечие на 20</w:t>
      </w:r>
      <w:r w:rsidR="00AB57F6" w:rsidRPr="00AB57F6">
        <w:rPr>
          <w:lang w:eastAsia="bg-BG"/>
        </w:rPr>
        <w:t>20</w:t>
      </w:r>
      <w:r w:rsidRPr="00AB57F6">
        <w:rPr>
          <w:lang w:eastAsia="bg-BG"/>
        </w:rPr>
        <w:t xml:space="preserve"> г.</w:t>
      </w:r>
    </w:p>
    <w:p w:rsidR="00477886" w:rsidRPr="00AB57F6" w:rsidRDefault="00477886" w:rsidP="009344DC">
      <w:pPr>
        <w:ind w:firstLine="567"/>
        <w:jc w:val="both"/>
        <w:rPr>
          <w:lang w:eastAsia="bg-BG"/>
        </w:rPr>
      </w:pPr>
      <w:r w:rsidRPr="00AB57F6">
        <w:rPr>
          <w:lang w:eastAsia="bg-BG"/>
        </w:rPr>
        <w:t>Отчетени са плащания по следните направления:</w:t>
      </w:r>
    </w:p>
    <w:p w:rsidR="00477886" w:rsidRPr="00AB57F6" w:rsidRDefault="00477886" w:rsidP="00903E34">
      <w:pPr>
        <w:numPr>
          <w:ilvl w:val="0"/>
          <w:numId w:val="30"/>
        </w:numPr>
        <w:tabs>
          <w:tab w:val="left" w:pos="993"/>
        </w:tabs>
        <w:ind w:left="0" w:firstLine="562"/>
        <w:contextualSpacing/>
        <w:jc w:val="both"/>
        <w:rPr>
          <w:szCs w:val="20"/>
        </w:rPr>
      </w:pPr>
      <w:r w:rsidRPr="00AB57F6">
        <w:rPr>
          <w:szCs w:val="20"/>
        </w:rPr>
        <w:t>1</w:t>
      </w:r>
      <w:r w:rsidR="00AB57F6" w:rsidRPr="00AB57F6">
        <w:rPr>
          <w:szCs w:val="20"/>
        </w:rPr>
        <w:t>96,2</w:t>
      </w:r>
      <w:r w:rsidRPr="00AB57F6">
        <w:rPr>
          <w:szCs w:val="20"/>
        </w:rPr>
        <w:t xml:space="preserve"> млн. лв. за директни плащания за сметка на ЕФГЗ, представляващи 1</w:t>
      </w:r>
      <w:r w:rsidR="00AB57F6" w:rsidRPr="00AB57F6">
        <w:rPr>
          <w:szCs w:val="20"/>
        </w:rPr>
        <w:t>2,2</w:t>
      </w:r>
      <w:r w:rsidRPr="00AB57F6">
        <w:rPr>
          <w:szCs w:val="20"/>
        </w:rPr>
        <w:t xml:space="preserve"> % от планираните 1 </w:t>
      </w:r>
      <w:r w:rsidR="00AB57F6" w:rsidRPr="00AB57F6">
        <w:rPr>
          <w:szCs w:val="20"/>
        </w:rPr>
        <w:t>60</w:t>
      </w:r>
      <w:r w:rsidRPr="00AB57F6">
        <w:rPr>
          <w:szCs w:val="20"/>
        </w:rPr>
        <w:t>7,4 млн. лева;</w:t>
      </w:r>
    </w:p>
    <w:p w:rsidR="00477886" w:rsidRPr="00AB57F6" w:rsidRDefault="00AB57F6" w:rsidP="00903E34">
      <w:pPr>
        <w:numPr>
          <w:ilvl w:val="0"/>
          <w:numId w:val="30"/>
        </w:numPr>
        <w:tabs>
          <w:tab w:val="left" w:pos="993"/>
        </w:tabs>
        <w:ind w:left="0" w:firstLine="562"/>
        <w:contextualSpacing/>
        <w:jc w:val="both"/>
        <w:rPr>
          <w:szCs w:val="20"/>
        </w:rPr>
      </w:pPr>
      <w:r w:rsidRPr="00AB57F6">
        <w:rPr>
          <w:szCs w:val="20"/>
        </w:rPr>
        <w:t>18,7</w:t>
      </w:r>
      <w:r w:rsidR="00477886" w:rsidRPr="00AB57F6">
        <w:rPr>
          <w:szCs w:val="20"/>
        </w:rPr>
        <w:t xml:space="preserve"> млн. лв. средства от ЕЗФРСР, прехвърлени към директни плащания, което е </w:t>
      </w:r>
      <w:r w:rsidRPr="00AB57F6">
        <w:rPr>
          <w:szCs w:val="20"/>
        </w:rPr>
        <w:t>6,3 </w:t>
      </w:r>
      <w:r w:rsidR="00477886" w:rsidRPr="00AB57F6">
        <w:rPr>
          <w:szCs w:val="20"/>
        </w:rPr>
        <w:t>% от планираните 2</w:t>
      </w:r>
      <w:r w:rsidRPr="00AB57F6">
        <w:rPr>
          <w:szCs w:val="20"/>
        </w:rPr>
        <w:t>9</w:t>
      </w:r>
      <w:r w:rsidR="00477886" w:rsidRPr="00AB57F6">
        <w:rPr>
          <w:szCs w:val="20"/>
        </w:rPr>
        <w:t>4,</w:t>
      </w:r>
      <w:r w:rsidRPr="00AB57F6">
        <w:rPr>
          <w:szCs w:val="20"/>
        </w:rPr>
        <w:t>7</w:t>
      </w:r>
      <w:r w:rsidR="00477886" w:rsidRPr="00AB57F6">
        <w:rPr>
          <w:szCs w:val="20"/>
        </w:rPr>
        <w:t xml:space="preserve"> млн. лева;</w:t>
      </w:r>
    </w:p>
    <w:p w:rsidR="00477886" w:rsidRPr="00AB57F6" w:rsidRDefault="00AB57F6" w:rsidP="00903E34">
      <w:pPr>
        <w:numPr>
          <w:ilvl w:val="0"/>
          <w:numId w:val="30"/>
        </w:numPr>
        <w:tabs>
          <w:tab w:val="left" w:pos="993"/>
        </w:tabs>
        <w:ind w:left="0" w:firstLine="562"/>
        <w:contextualSpacing/>
        <w:jc w:val="both"/>
        <w:rPr>
          <w:szCs w:val="20"/>
        </w:rPr>
      </w:pPr>
      <w:r w:rsidRPr="00AB57F6">
        <w:rPr>
          <w:szCs w:val="20"/>
        </w:rPr>
        <w:t xml:space="preserve">1,3 млн. лв. </w:t>
      </w:r>
      <w:r w:rsidR="00477886" w:rsidRPr="00AB57F6">
        <w:rPr>
          <w:szCs w:val="20"/>
        </w:rPr>
        <w:t>за пазарни мерки</w:t>
      </w:r>
      <w:r w:rsidRPr="00AB57F6">
        <w:rPr>
          <w:szCs w:val="20"/>
        </w:rPr>
        <w:t>, което е 3,4 % изпълнение на</w:t>
      </w:r>
      <w:r w:rsidR="00477886" w:rsidRPr="00AB57F6">
        <w:rPr>
          <w:szCs w:val="20"/>
        </w:rPr>
        <w:t xml:space="preserve"> годишн</w:t>
      </w:r>
      <w:r w:rsidRPr="00AB57F6">
        <w:rPr>
          <w:szCs w:val="20"/>
        </w:rPr>
        <w:t>ия</w:t>
      </w:r>
      <w:r w:rsidR="00477886" w:rsidRPr="00AB57F6">
        <w:rPr>
          <w:szCs w:val="20"/>
        </w:rPr>
        <w:t xml:space="preserve"> разчет</w:t>
      </w:r>
      <w:r w:rsidRPr="00AB57F6">
        <w:rPr>
          <w:szCs w:val="20"/>
        </w:rPr>
        <w:t xml:space="preserve"> от</w:t>
      </w:r>
      <w:r w:rsidR="00477886" w:rsidRPr="00AB57F6">
        <w:rPr>
          <w:szCs w:val="20"/>
        </w:rPr>
        <w:t xml:space="preserve"> 3</w:t>
      </w:r>
      <w:r w:rsidRPr="00AB57F6">
        <w:rPr>
          <w:szCs w:val="20"/>
        </w:rPr>
        <w:t>7,8</w:t>
      </w:r>
      <w:r w:rsidR="00477886" w:rsidRPr="00AB57F6">
        <w:rPr>
          <w:szCs w:val="20"/>
        </w:rPr>
        <w:t xml:space="preserve"> млн. лева;</w:t>
      </w:r>
    </w:p>
    <w:p w:rsidR="00477886" w:rsidRPr="00FA0665" w:rsidRDefault="00AB57F6" w:rsidP="00903E34">
      <w:pPr>
        <w:numPr>
          <w:ilvl w:val="0"/>
          <w:numId w:val="30"/>
        </w:numPr>
        <w:tabs>
          <w:tab w:val="left" w:pos="993"/>
        </w:tabs>
        <w:ind w:left="0" w:firstLine="562"/>
        <w:contextualSpacing/>
        <w:jc w:val="both"/>
        <w:rPr>
          <w:szCs w:val="20"/>
        </w:rPr>
      </w:pPr>
      <w:r w:rsidRPr="00FA0665">
        <w:rPr>
          <w:szCs w:val="20"/>
        </w:rPr>
        <w:t>1,1</w:t>
      </w:r>
      <w:r w:rsidR="00477886" w:rsidRPr="00FA0665">
        <w:rPr>
          <w:szCs w:val="20"/>
        </w:rPr>
        <w:t xml:space="preserve"> млн. лв. суми за преструктуриране, </w:t>
      </w:r>
      <w:r w:rsidRPr="00FA0665">
        <w:rPr>
          <w:szCs w:val="20"/>
        </w:rPr>
        <w:t>3,7</w:t>
      </w:r>
      <w:r w:rsidR="00477886" w:rsidRPr="00FA0665">
        <w:rPr>
          <w:szCs w:val="20"/>
        </w:rPr>
        <w:t xml:space="preserve"> % от планираните 29,8 млн. лева.</w:t>
      </w:r>
    </w:p>
    <w:p w:rsidR="00477886" w:rsidRPr="006D5D56" w:rsidRDefault="00477886" w:rsidP="009344DC">
      <w:pPr>
        <w:ind w:firstLine="567"/>
        <w:jc w:val="both"/>
        <w:rPr>
          <w:color w:val="4F81BD" w:themeColor="accent1"/>
          <w:sz w:val="12"/>
          <w:szCs w:val="12"/>
          <w:lang w:eastAsia="bg-BG"/>
        </w:rPr>
      </w:pPr>
    </w:p>
    <w:p w:rsidR="00477886" w:rsidRPr="00FA0665" w:rsidRDefault="00477886" w:rsidP="009344DC">
      <w:pPr>
        <w:ind w:firstLine="567"/>
        <w:jc w:val="both"/>
        <w:rPr>
          <w:lang w:eastAsia="bg-BG"/>
        </w:rPr>
      </w:pPr>
      <w:r w:rsidRPr="00FA0665">
        <w:rPr>
          <w:lang w:eastAsia="bg-BG"/>
        </w:rPr>
        <w:t>Възстановените суми от Европейския съюз към 31.03.202</w:t>
      </w:r>
      <w:r w:rsidR="00FA0665" w:rsidRPr="00FA0665">
        <w:rPr>
          <w:lang w:eastAsia="bg-BG"/>
        </w:rPr>
        <w:t>1</w:t>
      </w:r>
      <w:r w:rsidRPr="00FA0665">
        <w:rPr>
          <w:lang w:eastAsia="bg-BG"/>
        </w:rPr>
        <w:t xml:space="preserve"> г. възлизат общо на </w:t>
      </w:r>
      <w:r w:rsidR="00FA0665" w:rsidRPr="00FA0665">
        <w:rPr>
          <w:lang w:eastAsia="bg-BG"/>
        </w:rPr>
        <w:t>936,1</w:t>
      </w:r>
      <w:r w:rsidRPr="00FA0665">
        <w:t> </w:t>
      </w:r>
      <w:r w:rsidRPr="00FA0665">
        <w:rPr>
          <w:lang w:eastAsia="bg-BG"/>
        </w:rPr>
        <w:t>млн. лв., което е 4</w:t>
      </w:r>
      <w:r w:rsidR="00FA0665" w:rsidRPr="00FA0665">
        <w:rPr>
          <w:lang w:eastAsia="bg-BG"/>
        </w:rPr>
        <w:t>7,7</w:t>
      </w:r>
      <w:r w:rsidRPr="00FA0665">
        <w:rPr>
          <w:lang w:eastAsia="bg-BG"/>
        </w:rPr>
        <w:t xml:space="preserve"> % от планираните 1</w:t>
      </w:r>
      <w:r w:rsidR="00FA0665" w:rsidRPr="00FA0665">
        <w:rPr>
          <w:lang w:eastAsia="bg-BG"/>
        </w:rPr>
        <w:t> 962,7</w:t>
      </w:r>
      <w:r w:rsidRPr="00FA0665">
        <w:rPr>
          <w:lang w:eastAsia="bg-BG"/>
        </w:rPr>
        <w:t xml:space="preserve"> млн. лв. </w:t>
      </w:r>
      <w:r w:rsidR="00FA0665" w:rsidRPr="00FA0665">
        <w:rPr>
          <w:lang w:eastAsia="bg-BG"/>
        </w:rPr>
        <w:t>За сравнение към 31.03.2021 г. изпълнението е било 43,9 %</w:t>
      </w:r>
      <w:r w:rsidRPr="00FA0665">
        <w:rPr>
          <w:lang w:eastAsia="bg-BG"/>
        </w:rPr>
        <w:t>.</w:t>
      </w:r>
    </w:p>
    <w:p w:rsidR="00477886" w:rsidRPr="00FA0665" w:rsidRDefault="00477886" w:rsidP="009344DC">
      <w:pPr>
        <w:ind w:firstLine="567"/>
        <w:jc w:val="both"/>
        <w:rPr>
          <w:lang w:eastAsia="bg-BG"/>
        </w:rPr>
      </w:pPr>
      <w:r w:rsidRPr="00FA0665">
        <w:rPr>
          <w:lang w:eastAsia="bg-BG"/>
        </w:rPr>
        <w:t>Възстановени са суми по следните направления:</w:t>
      </w:r>
    </w:p>
    <w:p w:rsidR="00477886" w:rsidRPr="00A67BA0" w:rsidRDefault="00477886" w:rsidP="008612A8">
      <w:pPr>
        <w:numPr>
          <w:ilvl w:val="0"/>
          <w:numId w:val="30"/>
        </w:numPr>
        <w:tabs>
          <w:tab w:val="left" w:pos="993"/>
        </w:tabs>
        <w:ind w:left="0" w:firstLine="562"/>
        <w:contextualSpacing/>
        <w:jc w:val="both"/>
        <w:rPr>
          <w:szCs w:val="20"/>
        </w:rPr>
      </w:pPr>
      <w:r w:rsidRPr="00A67BA0">
        <w:rPr>
          <w:szCs w:val="20"/>
        </w:rPr>
        <w:t>7</w:t>
      </w:r>
      <w:r w:rsidR="00E747EE">
        <w:rPr>
          <w:szCs w:val="20"/>
        </w:rPr>
        <w:t>98,1</w:t>
      </w:r>
      <w:r w:rsidRPr="00A67BA0">
        <w:rPr>
          <w:szCs w:val="20"/>
        </w:rPr>
        <w:t xml:space="preserve"> млн. лв. за директни плащания от ЕФГЗ – 4</w:t>
      </w:r>
      <w:r w:rsidR="00FA0665" w:rsidRPr="00A67BA0">
        <w:rPr>
          <w:szCs w:val="20"/>
        </w:rPr>
        <w:t>9,7</w:t>
      </w:r>
      <w:r w:rsidRPr="00A67BA0">
        <w:rPr>
          <w:szCs w:val="20"/>
        </w:rPr>
        <w:t xml:space="preserve"> % от заложените 1</w:t>
      </w:r>
      <w:r w:rsidR="00FA0665" w:rsidRPr="00A67BA0">
        <w:rPr>
          <w:szCs w:val="20"/>
        </w:rPr>
        <w:t> 604,9</w:t>
      </w:r>
      <w:r w:rsidRPr="00A67BA0">
        <w:rPr>
          <w:szCs w:val="20"/>
        </w:rPr>
        <w:t xml:space="preserve"> млн. лева;</w:t>
      </w:r>
    </w:p>
    <w:p w:rsidR="00477886" w:rsidRPr="00A67BA0" w:rsidRDefault="00FA0665" w:rsidP="008612A8">
      <w:pPr>
        <w:numPr>
          <w:ilvl w:val="0"/>
          <w:numId w:val="30"/>
        </w:numPr>
        <w:tabs>
          <w:tab w:val="left" w:pos="993"/>
        </w:tabs>
        <w:ind w:left="0" w:firstLine="562"/>
        <w:contextualSpacing/>
        <w:jc w:val="both"/>
        <w:rPr>
          <w:szCs w:val="20"/>
        </w:rPr>
      </w:pPr>
      <w:r w:rsidRPr="00A67BA0">
        <w:rPr>
          <w:szCs w:val="20"/>
        </w:rPr>
        <w:t>132,0</w:t>
      </w:r>
      <w:r w:rsidR="00477886" w:rsidRPr="00A67BA0">
        <w:rPr>
          <w:szCs w:val="20"/>
        </w:rPr>
        <w:t xml:space="preserve"> млн. лв. от ЕЗФРСР, прехвърлени към директни плащания – </w:t>
      </w:r>
      <w:r w:rsidRPr="00A67BA0">
        <w:rPr>
          <w:szCs w:val="20"/>
        </w:rPr>
        <w:t>44,8</w:t>
      </w:r>
      <w:r w:rsidR="00477886" w:rsidRPr="00A67BA0">
        <w:rPr>
          <w:szCs w:val="20"/>
        </w:rPr>
        <w:t xml:space="preserve"> % от заложените 2</w:t>
      </w:r>
      <w:r w:rsidRPr="00A67BA0">
        <w:rPr>
          <w:szCs w:val="20"/>
        </w:rPr>
        <w:t>94,7</w:t>
      </w:r>
      <w:r w:rsidR="00477886" w:rsidRPr="00A67BA0">
        <w:rPr>
          <w:szCs w:val="20"/>
        </w:rPr>
        <w:t xml:space="preserve"> млн. лева; </w:t>
      </w:r>
    </w:p>
    <w:p w:rsidR="00477886" w:rsidRPr="00A67BA0" w:rsidRDefault="00FA0665" w:rsidP="008612A8">
      <w:pPr>
        <w:numPr>
          <w:ilvl w:val="0"/>
          <w:numId w:val="30"/>
        </w:numPr>
        <w:tabs>
          <w:tab w:val="left" w:pos="993"/>
        </w:tabs>
        <w:ind w:left="0" w:firstLine="562"/>
        <w:contextualSpacing/>
        <w:jc w:val="both"/>
        <w:rPr>
          <w:szCs w:val="20"/>
        </w:rPr>
      </w:pPr>
      <w:r w:rsidRPr="00A67BA0">
        <w:rPr>
          <w:szCs w:val="20"/>
        </w:rPr>
        <w:t xml:space="preserve">1,9 млн. лв. </w:t>
      </w:r>
      <w:r w:rsidR="00477886" w:rsidRPr="00A67BA0">
        <w:rPr>
          <w:szCs w:val="20"/>
        </w:rPr>
        <w:t>за пазарни мерки</w:t>
      </w:r>
      <w:r w:rsidRPr="00A67BA0">
        <w:rPr>
          <w:szCs w:val="20"/>
        </w:rPr>
        <w:t xml:space="preserve"> от ЕФГЗ</w:t>
      </w:r>
      <w:r w:rsidR="00477886" w:rsidRPr="00A67BA0">
        <w:rPr>
          <w:szCs w:val="20"/>
        </w:rPr>
        <w:t xml:space="preserve">, </w:t>
      </w:r>
      <w:r w:rsidRPr="00A67BA0">
        <w:rPr>
          <w:szCs w:val="20"/>
        </w:rPr>
        <w:t xml:space="preserve">5,5 % изпълнение на </w:t>
      </w:r>
      <w:r w:rsidR="00477886" w:rsidRPr="00A67BA0">
        <w:rPr>
          <w:szCs w:val="20"/>
        </w:rPr>
        <w:t>планирани</w:t>
      </w:r>
      <w:r w:rsidRPr="00A67BA0">
        <w:rPr>
          <w:szCs w:val="20"/>
        </w:rPr>
        <w:t>те</w:t>
      </w:r>
      <w:r w:rsidR="00477886" w:rsidRPr="00A67BA0">
        <w:rPr>
          <w:szCs w:val="20"/>
        </w:rPr>
        <w:t xml:space="preserve"> </w:t>
      </w:r>
      <w:r w:rsidRPr="00A67BA0">
        <w:rPr>
          <w:szCs w:val="20"/>
        </w:rPr>
        <w:t xml:space="preserve">за годината </w:t>
      </w:r>
      <w:r w:rsidR="00477886" w:rsidRPr="00A67BA0">
        <w:rPr>
          <w:szCs w:val="20"/>
        </w:rPr>
        <w:t>3</w:t>
      </w:r>
      <w:r w:rsidRPr="00A67BA0">
        <w:rPr>
          <w:szCs w:val="20"/>
        </w:rPr>
        <w:t>4,5</w:t>
      </w:r>
      <w:r w:rsidR="00477886" w:rsidRPr="00A67BA0">
        <w:rPr>
          <w:szCs w:val="20"/>
        </w:rPr>
        <w:t xml:space="preserve"> млн. лева;</w:t>
      </w:r>
    </w:p>
    <w:p w:rsidR="00477886" w:rsidRPr="00A67BA0" w:rsidRDefault="00FA0665" w:rsidP="008612A8">
      <w:pPr>
        <w:numPr>
          <w:ilvl w:val="0"/>
          <w:numId w:val="30"/>
        </w:numPr>
        <w:tabs>
          <w:tab w:val="left" w:pos="993"/>
        </w:tabs>
        <w:ind w:left="0" w:firstLine="562"/>
        <w:contextualSpacing/>
        <w:jc w:val="both"/>
      </w:pPr>
      <w:r w:rsidRPr="00A67BA0">
        <w:rPr>
          <w:szCs w:val="20"/>
        </w:rPr>
        <w:t xml:space="preserve">4,2 млн. лв. </w:t>
      </w:r>
      <w:r w:rsidR="00477886" w:rsidRPr="00A67BA0">
        <w:rPr>
          <w:szCs w:val="20"/>
        </w:rPr>
        <w:t xml:space="preserve">суми за преструктуриране </w:t>
      </w:r>
      <w:r w:rsidRPr="00A67BA0">
        <w:rPr>
          <w:szCs w:val="20"/>
        </w:rPr>
        <w:t>от ЕФГЗ при планирани 28,6 млн. лв., изпълнение 14,7 %</w:t>
      </w:r>
      <w:r w:rsidR="00A67BA0" w:rsidRPr="00A67BA0">
        <w:rPr>
          <w:szCs w:val="20"/>
        </w:rPr>
        <w:t>.</w:t>
      </w:r>
    </w:p>
    <w:p w:rsidR="00477886" w:rsidRPr="004C7DEF" w:rsidRDefault="00457539" w:rsidP="009344DC">
      <w:pPr>
        <w:spacing w:before="120"/>
        <w:ind w:firstLine="567"/>
        <w:jc w:val="both"/>
      </w:pPr>
      <w:r>
        <w:t>Предоставените</w:t>
      </w:r>
      <w:r w:rsidR="00477886" w:rsidRPr="004C7DEF">
        <w:t xml:space="preserve"> суми (нето) по разчети с ЦБ за финансиране на плащания при недостиг на средства по сметки възлизат на -</w:t>
      </w:r>
      <w:r w:rsidR="004C7DEF" w:rsidRPr="004C7DEF">
        <w:t>728,0</w:t>
      </w:r>
      <w:r w:rsidR="00477886" w:rsidRPr="004C7DEF">
        <w:t xml:space="preserve"> млн. лева. при планирани -</w:t>
      </w:r>
      <w:r w:rsidR="004C7DEF" w:rsidRPr="004C7DEF">
        <w:t>26,3</w:t>
      </w:r>
      <w:r w:rsidR="00477886" w:rsidRPr="004C7DEF">
        <w:t xml:space="preserve"> млн. лева. </w:t>
      </w:r>
    </w:p>
    <w:p w:rsidR="00063CF1" w:rsidRPr="006D5D56" w:rsidRDefault="00477886" w:rsidP="004C7DEF">
      <w:pPr>
        <w:tabs>
          <w:tab w:val="left" w:pos="540"/>
        </w:tabs>
        <w:spacing w:before="120"/>
        <w:ind w:firstLine="567"/>
        <w:jc w:val="both"/>
        <w:rPr>
          <w:color w:val="4F81BD" w:themeColor="accent1"/>
        </w:rPr>
      </w:pPr>
      <w:r w:rsidRPr="006D5D56">
        <w:rPr>
          <w:color w:val="4F81BD" w:themeColor="accent1"/>
          <w:lang w:eastAsia="bg-BG"/>
        </w:rPr>
        <w:lastRenderedPageBreak/>
        <w:tab/>
      </w:r>
    </w:p>
    <w:p w:rsidR="002B1377" w:rsidRPr="006D5D56" w:rsidRDefault="002B1377" w:rsidP="006D5D56">
      <w:pPr>
        <w:pStyle w:val="Heading1"/>
        <w:numPr>
          <w:ilvl w:val="1"/>
          <w:numId w:val="10"/>
        </w:numPr>
        <w:spacing w:after="120"/>
        <w:ind w:left="792" w:right="-115" w:hanging="432"/>
        <w:jc w:val="both"/>
        <w:rPr>
          <w:sz w:val="24"/>
        </w:rPr>
      </w:pPr>
      <w:r w:rsidRPr="006D5D56">
        <w:rPr>
          <w:sz w:val="24"/>
        </w:rPr>
        <w:t>Национален фонд към Министерство на финансите</w:t>
      </w:r>
    </w:p>
    <w:p w:rsidR="006D5D56" w:rsidRPr="00E06C3A" w:rsidRDefault="006D5D56" w:rsidP="006D5D56">
      <w:pPr>
        <w:pStyle w:val="BodyTextIndent"/>
        <w:ind w:left="0" w:firstLine="686"/>
        <w:jc w:val="both"/>
        <w:rPr>
          <w:bCs/>
        </w:rPr>
      </w:pPr>
      <w:r w:rsidRPr="00E06C3A">
        <w:rPr>
          <w:bCs/>
        </w:rPr>
        <w:t>По сметките на НФ към 3</w:t>
      </w:r>
      <w:r w:rsidRPr="00E06C3A">
        <w:rPr>
          <w:bCs/>
          <w:lang w:val="ru-RU"/>
        </w:rPr>
        <w:t>1</w:t>
      </w:r>
      <w:r w:rsidRPr="00E06C3A">
        <w:rPr>
          <w:bCs/>
        </w:rPr>
        <w:t>.</w:t>
      </w:r>
      <w:r w:rsidRPr="00E06C3A">
        <w:rPr>
          <w:bCs/>
          <w:lang w:val="ru-RU"/>
        </w:rPr>
        <w:t>03</w:t>
      </w:r>
      <w:r w:rsidRPr="00E06C3A">
        <w:rPr>
          <w:bCs/>
        </w:rPr>
        <w:t>.2021 г. са постъпили приходи  (нето) в размер на 522</w:t>
      </w:r>
      <w:r w:rsidR="0008165A">
        <w:rPr>
          <w:bCs/>
        </w:rPr>
        <w:t>,</w:t>
      </w:r>
      <w:r w:rsidRPr="00E06C3A">
        <w:rPr>
          <w:bCs/>
          <w:lang w:val="ru-RU"/>
        </w:rPr>
        <w:t>6</w:t>
      </w:r>
      <w:r w:rsidRPr="00E06C3A">
        <w:rPr>
          <w:bCs/>
        </w:rPr>
        <w:t xml:space="preserve"> 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и двустранните програми за трансгранично сътрудничество по външните граници на EС (ПТСВГ) за периода 2014–2020 г.,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rsidR="006D5D56" w:rsidRPr="00B9256B" w:rsidRDefault="006D5D56" w:rsidP="006D5D56">
      <w:pPr>
        <w:pStyle w:val="BodyTextIndent"/>
        <w:ind w:left="0" w:firstLine="686"/>
        <w:jc w:val="both"/>
        <w:rPr>
          <w:bCs/>
        </w:rPr>
      </w:pPr>
      <w:r w:rsidRPr="00B9256B">
        <w:rPr>
          <w:bCs/>
        </w:rPr>
        <w:t>Извършените разходи (нето) за периода с натрупване чрез сметките на НФ възлизат на 170</w:t>
      </w:r>
      <w:r w:rsidR="00E53315">
        <w:rPr>
          <w:bCs/>
        </w:rPr>
        <w:t>,</w:t>
      </w:r>
      <w:r w:rsidRPr="00B9256B">
        <w:rPr>
          <w:bCs/>
        </w:rPr>
        <w:t>7 млн. лева. По видове разходи изпълнението е както следва: 72</w:t>
      </w:r>
      <w:r w:rsidR="00E53315">
        <w:rPr>
          <w:bCs/>
        </w:rPr>
        <w:t>,</w:t>
      </w:r>
      <w:r w:rsidRPr="00B9256B">
        <w:rPr>
          <w:bCs/>
        </w:rPr>
        <w:t>81</w:t>
      </w:r>
      <w:r w:rsidR="00E53315">
        <w:rPr>
          <w:bCs/>
        </w:rPr>
        <w:t xml:space="preserve"> </w:t>
      </w:r>
      <w:r w:rsidRPr="00B9256B">
        <w:rPr>
          <w:bCs/>
        </w:rPr>
        <w:t>% от общата стойност са капиталови трансфери, 26</w:t>
      </w:r>
      <w:r w:rsidR="00E53315">
        <w:rPr>
          <w:bCs/>
        </w:rPr>
        <w:t>,</w:t>
      </w:r>
      <w:r w:rsidRPr="00B9256B">
        <w:rPr>
          <w:bCs/>
        </w:rPr>
        <w:t>10</w:t>
      </w:r>
      <w:r w:rsidR="00E53315">
        <w:rPr>
          <w:bCs/>
        </w:rPr>
        <w:t xml:space="preserve"> </w:t>
      </w:r>
      <w:r w:rsidRPr="00B9256B">
        <w:rPr>
          <w:bCs/>
        </w:rPr>
        <w:t>% са субсидии, 1</w:t>
      </w:r>
      <w:r w:rsidR="00E53315">
        <w:rPr>
          <w:bCs/>
        </w:rPr>
        <w:t>,</w:t>
      </w:r>
      <w:r w:rsidRPr="00B9256B">
        <w:rPr>
          <w:bCs/>
        </w:rPr>
        <w:t>09</w:t>
      </w:r>
      <w:r w:rsidR="00E53315">
        <w:rPr>
          <w:bCs/>
        </w:rPr>
        <w:t xml:space="preserve"> </w:t>
      </w:r>
      <w:r w:rsidRPr="00B9256B">
        <w:rPr>
          <w:bCs/>
        </w:rPr>
        <w:t>% предоставени текущи и капиталови трансфери за чужбина и 0</w:t>
      </w:r>
      <w:r w:rsidR="00E53315">
        <w:rPr>
          <w:bCs/>
        </w:rPr>
        <w:t>,</w:t>
      </w:r>
      <w:r w:rsidRPr="00B9256B">
        <w:rPr>
          <w:bCs/>
        </w:rPr>
        <w:t>002</w:t>
      </w:r>
      <w:r w:rsidR="00E53315">
        <w:rPr>
          <w:bCs/>
        </w:rPr>
        <w:t xml:space="preserve"> </w:t>
      </w:r>
      <w:r w:rsidRPr="00B9256B">
        <w:rPr>
          <w:bCs/>
        </w:rPr>
        <w:t>% - издръжка.</w:t>
      </w:r>
    </w:p>
    <w:p w:rsidR="006D5D56" w:rsidRPr="00EB21FE" w:rsidRDefault="006D5D56" w:rsidP="006D5D56">
      <w:pPr>
        <w:pStyle w:val="BodyTextIndent"/>
        <w:ind w:left="0" w:firstLine="686"/>
        <w:jc w:val="both"/>
        <w:rPr>
          <w:bCs/>
        </w:rPr>
      </w:pPr>
      <w:r w:rsidRPr="00EB21FE">
        <w:rPr>
          <w:bCs/>
        </w:rPr>
        <w:t>Трансферите (нето), временните безлихвени заеми (нето) и временна възмездна финансова помощ за разглеждания период са на стойност 507</w:t>
      </w:r>
      <w:r w:rsidR="00E53315">
        <w:rPr>
          <w:bCs/>
        </w:rPr>
        <w:t>,</w:t>
      </w:r>
      <w:r w:rsidRPr="00EB21FE">
        <w:rPr>
          <w:bCs/>
          <w:lang w:val="ru-RU"/>
        </w:rPr>
        <w:t>2</w:t>
      </w:r>
      <w:r w:rsidRPr="00EB21FE">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6D5D56" w:rsidRPr="00EB21FE" w:rsidRDefault="006D5D56" w:rsidP="006D5D56">
      <w:pPr>
        <w:pStyle w:val="BodyTextIndent"/>
        <w:ind w:left="0" w:firstLine="686"/>
        <w:jc w:val="both"/>
        <w:rPr>
          <w:bCs/>
        </w:rPr>
      </w:pPr>
      <w:r w:rsidRPr="00F24321">
        <w:rPr>
          <w:bCs/>
          <w:color w:val="0070C0"/>
        </w:rPr>
        <w:t xml:space="preserve"> </w:t>
      </w:r>
      <w:r w:rsidRPr="00EB21FE">
        <w:rPr>
          <w:bCs/>
        </w:rPr>
        <w:t>Във връзка с изпълнение на ОП - програмен период 2014 – 2020 г. и ПТСВГ 2014 – 2020 г. по сметките на НФ са получени трансфери от централния бюджет на стойност 86</w:t>
      </w:r>
      <w:r w:rsidR="00E53315">
        <w:rPr>
          <w:bCs/>
        </w:rPr>
        <w:t>,</w:t>
      </w:r>
      <w:r w:rsidRPr="00EB21FE">
        <w:rPr>
          <w:bCs/>
        </w:rPr>
        <w:t>8 млн. лева.</w:t>
      </w:r>
    </w:p>
    <w:p w:rsidR="006D5D56" w:rsidRPr="001E1403" w:rsidRDefault="006D5D56" w:rsidP="006D5D56">
      <w:pPr>
        <w:pStyle w:val="BodyTextIndent"/>
        <w:ind w:left="0" w:firstLine="686"/>
        <w:jc w:val="both"/>
        <w:rPr>
          <w:bCs/>
        </w:rPr>
      </w:pPr>
      <w:r w:rsidRPr="001E1403">
        <w:rPr>
          <w:bCs/>
        </w:rPr>
        <w:t xml:space="preserve">Наличностите по сметката за средства от ЕС на НФ към 31.03.2021 г. възлизат на </w:t>
      </w:r>
      <w:r w:rsidR="00E53315">
        <w:rPr>
          <w:bCs/>
        </w:rPr>
        <w:t>2 981,9</w:t>
      </w:r>
      <w:r w:rsidRPr="001E1403">
        <w:rPr>
          <w:bCs/>
        </w:rPr>
        <w:t xml:space="preserve"> млн. лв. (в отчета на НФ са включени и наличностите на Фонда мениджър на финансови инструменти в България (Фонд на фондовете), които са на стойност 15</w:t>
      </w:r>
      <w:r w:rsidR="00457539">
        <w:rPr>
          <w:bCs/>
        </w:rPr>
        <w:t>8</w:t>
      </w:r>
      <w:r w:rsidR="00593C34">
        <w:rPr>
          <w:bCs/>
        </w:rPr>
        <w:t>,</w:t>
      </w:r>
      <w:r w:rsidRPr="001E1403">
        <w:rPr>
          <w:bCs/>
        </w:rPr>
        <w:t>6 млн. лв.), като в БНБ наличните средства са в размер на 2</w:t>
      </w:r>
      <w:r w:rsidR="00593C34">
        <w:rPr>
          <w:bCs/>
        </w:rPr>
        <w:t> </w:t>
      </w:r>
      <w:r w:rsidRPr="001E1403">
        <w:rPr>
          <w:bCs/>
        </w:rPr>
        <w:t>981</w:t>
      </w:r>
      <w:r w:rsidR="00593C34">
        <w:rPr>
          <w:bCs/>
        </w:rPr>
        <w:t>,</w:t>
      </w:r>
      <w:r w:rsidRPr="001E1403">
        <w:rPr>
          <w:bCs/>
        </w:rPr>
        <w:t>8 млн. лв., а в търговските банки (УниКредит Булбанк АД и Банка ДСК ЕАД) са в размер на 0</w:t>
      </w:r>
      <w:r w:rsidR="00593C34">
        <w:rPr>
          <w:bCs/>
        </w:rPr>
        <w:t>,</w:t>
      </w:r>
      <w:r w:rsidRPr="001E1403">
        <w:rPr>
          <w:bCs/>
        </w:rPr>
        <w:t>1 млн. лева.</w:t>
      </w:r>
    </w:p>
    <w:p w:rsidR="006D5D56" w:rsidRPr="001E1403" w:rsidRDefault="006D5D56" w:rsidP="00593C34">
      <w:pPr>
        <w:pStyle w:val="BodyTextIndent"/>
        <w:spacing w:before="120"/>
        <w:ind w:left="0" w:firstLine="686"/>
        <w:jc w:val="both"/>
        <w:rPr>
          <w:b/>
          <w:bCs/>
        </w:rPr>
      </w:pPr>
      <w:r w:rsidRPr="001E1403">
        <w:rPr>
          <w:b/>
          <w:bCs/>
        </w:rPr>
        <w:t>Структурни и Кохезионен фондове (СКФ) 2007 – 2013 г.</w:t>
      </w:r>
    </w:p>
    <w:p w:rsidR="006D5D56" w:rsidRPr="00356396" w:rsidRDefault="006D5D56" w:rsidP="006D5D56">
      <w:pPr>
        <w:pStyle w:val="BodyTextIndent"/>
        <w:ind w:left="0" w:firstLine="686"/>
        <w:jc w:val="both"/>
        <w:rPr>
          <w:bCs/>
        </w:rPr>
      </w:pPr>
      <w:r w:rsidRPr="00356396">
        <w:rPr>
          <w:bCs/>
        </w:rPr>
        <w:t>През отчетния период са постъпили (нето) възстановени суми от бенефициенти по сметките на Национален фонд на стойност на 3</w:t>
      </w:r>
      <w:r w:rsidR="00593C34">
        <w:rPr>
          <w:bCs/>
        </w:rPr>
        <w:t>,</w:t>
      </w:r>
      <w:r w:rsidRPr="00356396">
        <w:rPr>
          <w:bCs/>
        </w:rPr>
        <w:t>2 млн. л</w:t>
      </w:r>
      <w:r w:rsidR="00593C34">
        <w:rPr>
          <w:bCs/>
        </w:rPr>
        <w:t>е</w:t>
      </w:r>
      <w:r w:rsidRPr="00356396">
        <w:rPr>
          <w:bCs/>
        </w:rPr>
        <w:t>в</w:t>
      </w:r>
      <w:r w:rsidR="00593C34">
        <w:rPr>
          <w:bCs/>
        </w:rPr>
        <w:t>а</w:t>
      </w:r>
      <w:r w:rsidRPr="00356396">
        <w:rPr>
          <w:bCs/>
        </w:rPr>
        <w:t>.</w:t>
      </w:r>
    </w:p>
    <w:p w:rsidR="006D5D56" w:rsidRPr="00F24321" w:rsidRDefault="006D5D56" w:rsidP="006D5D56">
      <w:pPr>
        <w:pStyle w:val="BodyTextIndent"/>
        <w:ind w:left="0" w:firstLine="686"/>
        <w:jc w:val="both"/>
        <w:rPr>
          <w:bCs/>
          <w:color w:val="0070C0"/>
        </w:rPr>
      </w:pPr>
      <w:r w:rsidRPr="00356396">
        <w:rPr>
          <w:bCs/>
        </w:rPr>
        <w:t>През отчетния период е възстановено авансово финансиране, предоставено по реда на ДДС6/2011 г. на бюджетни организации на стойност на 1</w:t>
      </w:r>
      <w:r w:rsidR="00593C34">
        <w:rPr>
          <w:bCs/>
        </w:rPr>
        <w:t>,</w:t>
      </w:r>
      <w:r w:rsidRPr="00356396">
        <w:rPr>
          <w:bCs/>
        </w:rPr>
        <w:t>2 млн. л</w:t>
      </w:r>
      <w:r w:rsidR="00593C34">
        <w:rPr>
          <w:bCs/>
        </w:rPr>
        <w:t>е</w:t>
      </w:r>
      <w:r w:rsidRPr="00356396">
        <w:rPr>
          <w:bCs/>
        </w:rPr>
        <w:t>в</w:t>
      </w:r>
      <w:r w:rsidR="00593C34">
        <w:rPr>
          <w:bCs/>
        </w:rPr>
        <w:t>а</w:t>
      </w:r>
      <w:r w:rsidRPr="00356396">
        <w:rPr>
          <w:bCs/>
        </w:rPr>
        <w:t xml:space="preserve">. </w:t>
      </w:r>
    </w:p>
    <w:p w:rsidR="006D5D56" w:rsidRPr="00BC7438" w:rsidRDefault="006D5D56" w:rsidP="006D5D56">
      <w:pPr>
        <w:pStyle w:val="BodyTextIndent"/>
        <w:spacing w:before="120"/>
        <w:ind w:left="0" w:firstLine="686"/>
        <w:jc w:val="both"/>
        <w:rPr>
          <w:b/>
          <w:bCs/>
        </w:rPr>
      </w:pPr>
      <w:r w:rsidRPr="00F24321">
        <w:rPr>
          <w:bCs/>
          <w:color w:val="0070C0"/>
        </w:rPr>
        <w:tab/>
        <w:t xml:space="preserve"> </w:t>
      </w:r>
      <w:r w:rsidRPr="00BC7438">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6D5D56" w:rsidRPr="00BC7438" w:rsidRDefault="006D5D56" w:rsidP="006D5D56">
      <w:pPr>
        <w:pStyle w:val="BodyTextIndent"/>
        <w:ind w:left="0" w:firstLine="686"/>
        <w:jc w:val="both"/>
        <w:rPr>
          <w:bCs/>
        </w:rPr>
      </w:pPr>
      <w:r w:rsidRPr="00BC7438">
        <w:rPr>
          <w:bCs/>
        </w:rPr>
        <w:tab/>
        <w:t>Общо получените средства (нето) от ЕК за периода са в размер на 518</w:t>
      </w:r>
      <w:r w:rsidR="00593C34">
        <w:rPr>
          <w:bCs/>
        </w:rPr>
        <w:t>,</w:t>
      </w:r>
      <w:r w:rsidRPr="00BC7438">
        <w:rPr>
          <w:bCs/>
        </w:rPr>
        <w:t>1 млн. лв. и са разпределени както следва:</w:t>
      </w:r>
    </w:p>
    <w:p w:rsidR="006D5D56" w:rsidRPr="002C5FF5" w:rsidRDefault="006D5D56" w:rsidP="00A91662">
      <w:pPr>
        <w:pStyle w:val="BodyTextIndent"/>
        <w:numPr>
          <w:ilvl w:val="0"/>
          <w:numId w:val="12"/>
        </w:numPr>
        <w:spacing w:after="0"/>
        <w:jc w:val="both"/>
        <w:rPr>
          <w:bCs/>
        </w:rPr>
      </w:pPr>
      <w:r w:rsidRPr="00BC7438">
        <w:rPr>
          <w:bCs/>
        </w:rPr>
        <w:t>ОП „Иновации и конкурентоспособност” – 68</w:t>
      </w:r>
      <w:r w:rsidR="00593C34">
        <w:rPr>
          <w:bCs/>
        </w:rPr>
        <w:t>,</w:t>
      </w:r>
      <w:r w:rsidRPr="00BC7438">
        <w:rPr>
          <w:bCs/>
        </w:rPr>
        <w:t>9 млн. лв</w:t>
      </w:r>
      <w:r w:rsidRPr="002C5FF5">
        <w:rPr>
          <w:bCs/>
        </w:rPr>
        <w:t xml:space="preserve">.;  </w:t>
      </w:r>
    </w:p>
    <w:p w:rsidR="006D5D56" w:rsidRPr="002C5FF5" w:rsidRDefault="006D5D56" w:rsidP="00593C34">
      <w:pPr>
        <w:pStyle w:val="BodyTextIndent"/>
        <w:numPr>
          <w:ilvl w:val="0"/>
          <w:numId w:val="12"/>
        </w:numPr>
        <w:spacing w:after="0"/>
        <w:jc w:val="both"/>
        <w:rPr>
          <w:bCs/>
        </w:rPr>
      </w:pPr>
      <w:r w:rsidRPr="002C5FF5">
        <w:rPr>
          <w:bCs/>
        </w:rPr>
        <w:t>ОП „Добро управление” – 15</w:t>
      </w:r>
      <w:r w:rsidR="00593C34">
        <w:rPr>
          <w:bCs/>
        </w:rPr>
        <w:t>,</w:t>
      </w:r>
      <w:r w:rsidRPr="002C5FF5">
        <w:rPr>
          <w:bCs/>
        </w:rPr>
        <w:t>9 млн. лв.;</w:t>
      </w:r>
    </w:p>
    <w:p w:rsidR="006D5D56" w:rsidRPr="00593C34" w:rsidRDefault="006D5D56" w:rsidP="00593C34">
      <w:pPr>
        <w:pStyle w:val="BodyTextIndent"/>
        <w:numPr>
          <w:ilvl w:val="0"/>
          <w:numId w:val="12"/>
        </w:numPr>
        <w:spacing w:after="0"/>
        <w:jc w:val="both"/>
        <w:rPr>
          <w:bCs/>
        </w:rPr>
      </w:pPr>
      <w:r w:rsidRPr="002C5FF5">
        <w:rPr>
          <w:bCs/>
        </w:rPr>
        <w:t>ОП „Транспорт и транспортна инфраструктура” – 123</w:t>
      </w:r>
      <w:r w:rsidR="00593C34">
        <w:rPr>
          <w:bCs/>
        </w:rPr>
        <w:t>,</w:t>
      </w:r>
      <w:r w:rsidRPr="002C5FF5">
        <w:rPr>
          <w:bCs/>
        </w:rPr>
        <w:t>6 млн. лв.;</w:t>
      </w:r>
    </w:p>
    <w:p w:rsidR="006D5D56" w:rsidRPr="002C5FF5" w:rsidRDefault="006D5D56" w:rsidP="00593C34">
      <w:pPr>
        <w:pStyle w:val="BodyTextIndent"/>
        <w:numPr>
          <w:ilvl w:val="0"/>
          <w:numId w:val="12"/>
        </w:numPr>
        <w:spacing w:after="0"/>
        <w:jc w:val="both"/>
        <w:rPr>
          <w:bCs/>
        </w:rPr>
      </w:pPr>
      <w:r w:rsidRPr="002C5FF5">
        <w:rPr>
          <w:bCs/>
        </w:rPr>
        <w:t>ОП „Околна среда 2014 – 2020 г.“ – 69</w:t>
      </w:r>
      <w:r w:rsidR="00593C34">
        <w:rPr>
          <w:bCs/>
        </w:rPr>
        <w:t>,</w:t>
      </w:r>
      <w:r w:rsidRPr="002C5FF5">
        <w:rPr>
          <w:bCs/>
        </w:rPr>
        <w:t>8 млн. лв.;</w:t>
      </w:r>
    </w:p>
    <w:p w:rsidR="006D5D56" w:rsidRPr="00593C34" w:rsidRDefault="006D5D56" w:rsidP="00593C34">
      <w:pPr>
        <w:pStyle w:val="BodyTextIndent"/>
        <w:numPr>
          <w:ilvl w:val="0"/>
          <w:numId w:val="12"/>
        </w:numPr>
        <w:spacing w:after="0"/>
        <w:jc w:val="both"/>
        <w:rPr>
          <w:bCs/>
        </w:rPr>
      </w:pPr>
      <w:r w:rsidRPr="002C5FF5">
        <w:rPr>
          <w:bCs/>
        </w:rPr>
        <w:t>ОП „Развитие на човешките ресурси 2014 - 2020 г.” – 74</w:t>
      </w:r>
      <w:r w:rsidR="00593C34">
        <w:rPr>
          <w:bCs/>
        </w:rPr>
        <w:t>,</w:t>
      </w:r>
      <w:r w:rsidRPr="002C5FF5">
        <w:rPr>
          <w:bCs/>
        </w:rPr>
        <w:t>8 млн. лв.;</w:t>
      </w:r>
    </w:p>
    <w:p w:rsidR="006D5D56" w:rsidRPr="002C5FF5" w:rsidRDefault="006D5D56" w:rsidP="00593C34">
      <w:pPr>
        <w:pStyle w:val="BodyTextIndent"/>
        <w:numPr>
          <w:ilvl w:val="0"/>
          <w:numId w:val="12"/>
        </w:numPr>
        <w:spacing w:after="0"/>
        <w:jc w:val="both"/>
        <w:rPr>
          <w:bCs/>
        </w:rPr>
      </w:pPr>
      <w:r w:rsidRPr="002C5FF5">
        <w:rPr>
          <w:bCs/>
        </w:rPr>
        <w:t>Инициативата за младежка заетост – 3</w:t>
      </w:r>
      <w:r w:rsidR="00593C34">
        <w:rPr>
          <w:bCs/>
        </w:rPr>
        <w:t>,</w:t>
      </w:r>
      <w:r w:rsidRPr="002C5FF5">
        <w:rPr>
          <w:bCs/>
        </w:rPr>
        <w:t>0 млн. лв.;</w:t>
      </w:r>
    </w:p>
    <w:p w:rsidR="006D5D56" w:rsidRPr="00D44412" w:rsidRDefault="006D5D56" w:rsidP="00593C34">
      <w:pPr>
        <w:pStyle w:val="BodyTextIndent"/>
        <w:numPr>
          <w:ilvl w:val="0"/>
          <w:numId w:val="12"/>
        </w:numPr>
        <w:spacing w:after="0"/>
        <w:jc w:val="both"/>
        <w:rPr>
          <w:bCs/>
        </w:rPr>
      </w:pPr>
      <w:r w:rsidRPr="00D44412">
        <w:rPr>
          <w:bCs/>
        </w:rPr>
        <w:lastRenderedPageBreak/>
        <w:t>ОП „Региони в растеж“ – 1</w:t>
      </w:r>
      <w:r>
        <w:rPr>
          <w:bCs/>
        </w:rPr>
        <w:t>3</w:t>
      </w:r>
      <w:r w:rsidRPr="00D44412">
        <w:rPr>
          <w:bCs/>
        </w:rPr>
        <w:t>3</w:t>
      </w:r>
      <w:r w:rsidR="00593C34">
        <w:rPr>
          <w:bCs/>
        </w:rPr>
        <w:t>,</w:t>
      </w:r>
      <w:r>
        <w:rPr>
          <w:bCs/>
        </w:rPr>
        <w:t>1</w:t>
      </w:r>
      <w:r w:rsidRPr="00D44412">
        <w:rPr>
          <w:bCs/>
        </w:rPr>
        <w:t xml:space="preserve"> млн. лв.;</w:t>
      </w:r>
    </w:p>
    <w:p w:rsidR="006D5D56" w:rsidRPr="00D44412" w:rsidRDefault="006D5D56" w:rsidP="00593C34">
      <w:pPr>
        <w:pStyle w:val="BodyTextIndent"/>
        <w:numPr>
          <w:ilvl w:val="0"/>
          <w:numId w:val="12"/>
        </w:numPr>
        <w:spacing w:after="0"/>
        <w:jc w:val="both"/>
        <w:rPr>
          <w:bCs/>
        </w:rPr>
      </w:pPr>
      <w:r w:rsidRPr="00D44412">
        <w:rPr>
          <w:bCs/>
        </w:rPr>
        <w:t>ОП за храни и/или основно материално подпомагане от Фонда за европейско подпомагане на най-нуждаещите се лица в България за периода 2014 – 2020 г. – 0</w:t>
      </w:r>
      <w:r w:rsidR="00593C34">
        <w:rPr>
          <w:bCs/>
        </w:rPr>
        <w:t>,</w:t>
      </w:r>
      <w:r w:rsidRPr="00D44412">
        <w:rPr>
          <w:bCs/>
        </w:rPr>
        <w:t>9 млн. лв. и</w:t>
      </w:r>
    </w:p>
    <w:p w:rsidR="006D5D56" w:rsidRPr="00593C34" w:rsidRDefault="006D5D56" w:rsidP="00593C34">
      <w:pPr>
        <w:pStyle w:val="BodyTextIndent"/>
        <w:numPr>
          <w:ilvl w:val="0"/>
          <w:numId w:val="12"/>
        </w:numPr>
        <w:jc w:val="both"/>
        <w:rPr>
          <w:bCs/>
        </w:rPr>
      </w:pPr>
      <w:r w:rsidRPr="00D44412">
        <w:rPr>
          <w:bCs/>
        </w:rPr>
        <w:t>ОП „Наука и образование за интелигентен растеж” – 28</w:t>
      </w:r>
      <w:r w:rsidR="004E1162">
        <w:rPr>
          <w:bCs/>
        </w:rPr>
        <w:t>,</w:t>
      </w:r>
      <w:r w:rsidRPr="00D44412">
        <w:rPr>
          <w:bCs/>
        </w:rPr>
        <w:t>1 млн. л</w:t>
      </w:r>
      <w:r w:rsidR="00593C34">
        <w:rPr>
          <w:bCs/>
        </w:rPr>
        <w:t>е</w:t>
      </w:r>
      <w:r w:rsidRPr="00D44412">
        <w:rPr>
          <w:bCs/>
        </w:rPr>
        <w:t>в</w:t>
      </w:r>
      <w:r w:rsidR="00593C34">
        <w:rPr>
          <w:bCs/>
        </w:rPr>
        <w:t>а</w:t>
      </w:r>
      <w:r w:rsidRPr="00593C34">
        <w:rPr>
          <w:bCs/>
        </w:rPr>
        <w:t>.</w:t>
      </w:r>
    </w:p>
    <w:p w:rsidR="006D5D56" w:rsidRPr="0003546B" w:rsidRDefault="006D5D56" w:rsidP="00593C34">
      <w:pPr>
        <w:pStyle w:val="BodyTextIndent"/>
        <w:ind w:left="0" w:firstLine="630"/>
        <w:jc w:val="both"/>
        <w:rPr>
          <w:bCs/>
        </w:rPr>
      </w:pPr>
      <w:r w:rsidRPr="0003546B">
        <w:rPr>
          <w:bCs/>
        </w:rPr>
        <w:t xml:space="preserve">  Направените разходи (нето) по Оперативни програми и трансферите (нето) към бюджетни организации и операции с активи към края на </w:t>
      </w:r>
      <w:r w:rsidR="00593C34">
        <w:rPr>
          <w:bCs/>
        </w:rPr>
        <w:t>първото тримесечие</w:t>
      </w:r>
      <w:r w:rsidRPr="0003546B">
        <w:rPr>
          <w:bCs/>
        </w:rPr>
        <w:t xml:space="preserve"> са на стойност 537</w:t>
      </w:r>
      <w:r w:rsidR="00593C34">
        <w:rPr>
          <w:bCs/>
        </w:rPr>
        <w:t>,</w:t>
      </w:r>
      <w:r w:rsidRPr="0003546B">
        <w:rPr>
          <w:bCs/>
        </w:rPr>
        <w:t>3 млн. лв. (в</w:t>
      </w:r>
      <w:r w:rsidR="00593C34">
        <w:rPr>
          <w:bCs/>
        </w:rPr>
        <w:t>кл.</w:t>
      </w:r>
      <w:r w:rsidRPr="0003546B">
        <w:rPr>
          <w:bCs/>
        </w:rPr>
        <w:t xml:space="preserve"> извършените разходи от REACT-EU в размер на 42</w:t>
      </w:r>
      <w:r w:rsidR="00593C34">
        <w:rPr>
          <w:bCs/>
        </w:rPr>
        <w:t>,</w:t>
      </w:r>
      <w:r w:rsidRPr="0003546B">
        <w:rPr>
          <w:bCs/>
        </w:rPr>
        <w:t>9 млн. лева), като разпределението по Оперативни програми е следното:</w:t>
      </w:r>
    </w:p>
    <w:p w:rsidR="006D5D56" w:rsidRPr="00141646" w:rsidRDefault="006D5D56" w:rsidP="00593C34">
      <w:pPr>
        <w:pStyle w:val="BodyTextIndent"/>
        <w:numPr>
          <w:ilvl w:val="0"/>
          <w:numId w:val="12"/>
        </w:numPr>
        <w:spacing w:after="0"/>
        <w:jc w:val="both"/>
        <w:rPr>
          <w:bCs/>
        </w:rPr>
      </w:pPr>
      <w:r w:rsidRPr="0003546B">
        <w:rPr>
          <w:bCs/>
        </w:rPr>
        <w:t xml:space="preserve">ОП „Развитие на човешките ресурси 2014 </w:t>
      </w:r>
      <w:r w:rsidR="00593C34">
        <w:rPr>
          <w:bCs/>
        </w:rPr>
        <w:t>- 2020 г.” – 127,</w:t>
      </w:r>
      <w:r w:rsidRPr="00CE116B">
        <w:rPr>
          <w:bCs/>
        </w:rPr>
        <w:t>1</w:t>
      </w:r>
      <w:r w:rsidRPr="00141646">
        <w:rPr>
          <w:bCs/>
        </w:rPr>
        <w:t xml:space="preserve"> млн. лв.</w:t>
      </w:r>
      <w:r w:rsidRPr="00593C34">
        <w:rPr>
          <w:bCs/>
        </w:rPr>
        <w:t xml:space="preserve"> </w:t>
      </w:r>
      <w:r w:rsidRPr="00141646">
        <w:rPr>
          <w:bCs/>
        </w:rPr>
        <w:t>(</w:t>
      </w:r>
      <w:r>
        <w:rPr>
          <w:bCs/>
        </w:rPr>
        <w:t>вкл.</w:t>
      </w:r>
      <w:r w:rsidRPr="00141646">
        <w:rPr>
          <w:bCs/>
        </w:rPr>
        <w:t xml:space="preserve"> от  REACT-EU в размер на 41</w:t>
      </w:r>
      <w:r w:rsidR="00593C34">
        <w:rPr>
          <w:bCs/>
        </w:rPr>
        <w:t>,</w:t>
      </w:r>
      <w:r>
        <w:rPr>
          <w:bCs/>
        </w:rPr>
        <w:t>7</w:t>
      </w:r>
      <w:r w:rsidRPr="00141646">
        <w:rPr>
          <w:bCs/>
        </w:rPr>
        <w:t xml:space="preserve"> млн. лева);</w:t>
      </w:r>
    </w:p>
    <w:p w:rsidR="006D5D56" w:rsidRPr="00141646" w:rsidRDefault="006D5D56" w:rsidP="00593C34">
      <w:pPr>
        <w:pStyle w:val="BodyTextIndent"/>
        <w:numPr>
          <w:ilvl w:val="0"/>
          <w:numId w:val="12"/>
        </w:numPr>
        <w:spacing w:after="0"/>
        <w:jc w:val="both"/>
        <w:rPr>
          <w:bCs/>
        </w:rPr>
      </w:pPr>
      <w:r w:rsidRPr="00141646">
        <w:rPr>
          <w:bCs/>
        </w:rPr>
        <w:t>Инициативата за младежка заетост – 2</w:t>
      </w:r>
      <w:r w:rsidR="00593C34">
        <w:rPr>
          <w:bCs/>
        </w:rPr>
        <w:t>,</w:t>
      </w:r>
      <w:r w:rsidRPr="00141646">
        <w:rPr>
          <w:bCs/>
        </w:rPr>
        <w:t>1 млн. лв.;</w:t>
      </w:r>
    </w:p>
    <w:p w:rsidR="006D5D56" w:rsidRPr="00141646" w:rsidRDefault="006D5D56" w:rsidP="00593C34">
      <w:pPr>
        <w:pStyle w:val="BodyTextIndent"/>
        <w:numPr>
          <w:ilvl w:val="0"/>
          <w:numId w:val="12"/>
        </w:numPr>
        <w:spacing w:after="0"/>
        <w:jc w:val="both"/>
        <w:rPr>
          <w:bCs/>
        </w:rPr>
      </w:pPr>
      <w:r w:rsidRPr="00141646">
        <w:rPr>
          <w:bCs/>
        </w:rPr>
        <w:t>ОП за храни и/или основно материално подпомагане от Фонда за европейско подпомагане на най-нуждаещите се лица в България за периода 2014 – 2020 г. – 2</w:t>
      </w:r>
      <w:r w:rsidR="00683AC0">
        <w:rPr>
          <w:bCs/>
        </w:rPr>
        <w:t>,</w:t>
      </w:r>
      <w:r w:rsidRPr="00141646">
        <w:rPr>
          <w:bCs/>
        </w:rPr>
        <w:t>8 млн. лева (вкл. от  REACT-EU в размер на 1</w:t>
      </w:r>
      <w:r w:rsidR="00683AC0">
        <w:rPr>
          <w:bCs/>
        </w:rPr>
        <w:t>,</w:t>
      </w:r>
      <w:r w:rsidRPr="00141646">
        <w:rPr>
          <w:bCs/>
        </w:rPr>
        <w:t>2 млн. лева);</w:t>
      </w:r>
    </w:p>
    <w:p w:rsidR="006D5D56" w:rsidRPr="00593C34" w:rsidRDefault="006D5D56" w:rsidP="00593C34">
      <w:pPr>
        <w:pStyle w:val="BodyTextIndent"/>
        <w:numPr>
          <w:ilvl w:val="0"/>
          <w:numId w:val="12"/>
        </w:numPr>
        <w:spacing w:after="0"/>
        <w:jc w:val="both"/>
        <w:rPr>
          <w:bCs/>
        </w:rPr>
      </w:pPr>
      <w:r w:rsidRPr="00141646">
        <w:rPr>
          <w:bCs/>
        </w:rPr>
        <w:t>ОП „Иновации и конкурентоспособност” – 170</w:t>
      </w:r>
      <w:r w:rsidR="00683AC0">
        <w:rPr>
          <w:bCs/>
        </w:rPr>
        <w:t>,</w:t>
      </w:r>
      <w:r w:rsidRPr="00141646">
        <w:rPr>
          <w:bCs/>
        </w:rPr>
        <w:t>1 млн. лв.;</w:t>
      </w:r>
    </w:p>
    <w:p w:rsidR="006D5D56" w:rsidRPr="00593C34" w:rsidRDefault="006D5D56" w:rsidP="00593C34">
      <w:pPr>
        <w:pStyle w:val="BodyTextIndent"/>
        <w:numPr>
          <w:ilvl w:val="0"/>
          <w:numId w:val="12"/>
        </w:numPr>
        <w:spacing w:after="0"/>
        <w:jc w:val="both"/>
        <w:rPr>
          <w:bCs/>
        </w:rPr>
      </w:pPr>
      <w:r w:rsidRPr="00141646">
        <w:rPr>
          <w:bCs/>
        </w:rPr>
        <w:t>ОП „Добро управление” – 6</w:t>
      </w:r>
      <w:r w:rsidR="00683AC0">
        <w:rPr>
          <w:bCs/>
        </w:rPr>
        <w:t>,</w:t>
      </w:r>
      <w:r w:rsidRPr="00141646">
        <w:rPr>
          <w:bCs/>
        </w:rPr>
        <w:t>5 млн. лв.;</w:t>
      </w:r>
    </w:p>
    <w:p w:rsidR="006D5D56" w:rsidRPr="00593C34" w:rsidRDefault="006D5D56" w:rsidP="00593C34">
      <w:pPr>
        <w:pStyle w:val="BodyTextIndent"/>
        <w:numPr>
          <w:ilvl w:val="0"/>
          <w:numId w:val="12"/>
        </w:numPr>
        <w:spacing w:after="0"/>
        <w:jc w:val="both"/>
        <w:rPr>
          <w:bCs/>
        </w:rPr>
      </w:pPr>
      <w:r w:rsidRPr="00141646">
        <w:rPr>
          <w:bCs/>
        </w:rPr>
        <w:t>ОП „Региони в растеж“ – 56</w:t>
      </w:r>
      <w:r w:rsidR="00683AC0">
        <w:rPr>
          <w:bCs/>
        </w:rPr>
        <w:t>,</w:t>
      </w:r>
      <w:r w:rsidRPr="00141646">
        <w:rPr>
          <w:bCs/>
        </w:rPr>
        <w:t>5 млн. лв.;</w:t>
      </w:r>
    </w:p>
    <w:p w:rsidR="006D5D56" w:rsidRPr="00CA20FF" w:rsidRDefault="006D5D56" w:rsidP="00593C34">
      <w:pPr>
        <w:pStyle w:val="BodyTextIndent"/>
        <w:numPr>
          <w:ilvl w:val="0"/>
          <w:numId w:val="12"/>
        </w:numPr>
        <w:spacing w:after="0"/>
        <w:jc w:val="both"/>
        <w:rPr>
          <w:bCs/>
        </w:rPr>
      </w:pPr>
      <w:r w:rsidRPr="00CA20FF">
        <w:rPr>
          <w:bCs/>
        </w:rPr>
        <w:t>ОП „Транспорт и транспортна инфраструктура” – 112</w:t>
      </w:r>
      <w:r w:rsidR="00683AC0">
        <w:rPr>
          <w:bCs/>
        </w:rPr>
        <w:t>,</w:t>
      </w:r>
      <w:r w:rsidRPr="00CA20FF">
        <w:rPr>
          <w:bCs/>
        </w:rPr>
        <w:t>9 млн. лв.;</w:t>
      </w:r>
    </w:p>
    <w:p w:rsidR="006D5D56" w:rsidRPr="00CA20FF" w:rsidRDefault="006D5D56" w:rsidP="00593C34">
      <w:pPr>
        <w:pStyle w:val="BodyTextIndent"/>
        <w:numPr>
          <w:ilvl w:val="0"/>
          <w:numId w:val="12"/>
        </w:numPr>
        <w:spacing w:after="0"/>
        <w:jc w:val="both"/>
        <w:rPr>
          <w:bCs/>
        </w:rPr>
      </w:pPr>
      <w:r w:rsidRPr="00CA20FF">
        <w:rPr>
          <w:bCs/>
        </w:rPr>
        <w:t>ОП „Наука и образование за интелигентен растеж” – 28</w:t>
      </w:r>
      <w:r w:rsidR="00683AC0">
        <w:rPr>
          <w:bCs/>
        </w:rPr>
        <w:t>,</w:t>
      </w:r>
      <w:r w:rsidRPr="00CA20FF">
        <w:rPr>
          <w:bCs/>
        </w:rPr>
        <w:t>5 млн. лв. и</w:t>
      </w:r>
    </w:p>
    <w:p w:rsidR="006D5D56" w:rsidRPr="00CA20FF" w:rsidRDefault="006D5D56" w:rsidP="00683AC0">
      <w:pPr>
        <w:pStyle w:val="BodyTextIndent"/>
        <w:numPr>
          <w:ilvl w:val="0"/>
          <w:numId w:val="12"/>
        </w:numPr>
        <w:ind w:left="1094"/>
        <w:jc w:val="both"/>
        <w:rPr>
          <w:bCs/>
        </w:rPr>
      </w:pPr>
      <w:r w:rsidRPr="00CA20FF">
        <w:rPr>
          <w:bCs/>
        </w:rPr>
        <w:t>ОП „Околна среда 2014 – 2020 г.“ – 30</w:t>
      </w:r>
      <w:r w:rsidR="00683AC0">
        <w:rPr>
          <w:bCs/>
        </w:rPr>
        <w:t>,</w:t>
      </w:r>
      <w:r w:rsidRPr="00CA20FF">
        <w:rPr>
          <w:bCs/>
        </w:rPr>
        <w:t>8 млн. лв.</w:t>
      </w:r>
    </w:p>
    <w:p w:rsidR="006D5D56" w:rsidRPr="009526B9" w:rsidRDefault="006D5D56" w:rsidP="00683AC0">
      <w:pPr>
        <w:pStyle w:val="BodyTextIndent"/>
        <w:ind w:left="0" w:firstLine="708"/>
        <w:jc w:val="both"/>
        <w:rPr>
          <w:bCs/>
        </w:rPr>
      </w:pPr>
      <w:r w:rsidRPr="009526B9">
        <w:rPr>
          <w:bCs/>
        </w:rPr>
        <w:t>Предоставеното авансово финансиране по реда на ДДС 6/ 2011 г. към бюджетни организации за периода е на стойност 198</w:t>
      </w:r>
      <w:r w:rsidR="00683AC0">
        <w:rPr>
          <w:bCs/>
        </w:rPr>
        <w:t>,</w:t>
      </w:r>
      <w:r w:rsidRPr="009526B9">
        <w:rPr>
          <w:bCs/>
        </w:rPr>
        <w:t>6 млн. лева, а възстановените средства – 43</w:t>
      </w:r>
      <w:r w:rsidR="00683AC0">
        <w:rPr>
          <w:bCs/>
        </w:rPr>
        <w:t>,</w:t>
      </w:r>
      <w:r w:rsidRPr="009526B9">
        <w:rPr>
          <w:bCs/>
        </w:rPr>
        <w:t>1 млн. лева.</w:t>
      </w:r>
      <w:r w:rsidRPr="00323DCD">
        <w:rPr>
          <w:bCs/>
        </w:rPr>
        <w:t xml:space="preserve"> </w:t>
      </w:r>
      <w:r w:rsidRPr="003A63E3">
        <w:rPr>
          <w:bCs/>
        </w:rPr>
        <w:t xml:space="preserve">В сумата на предоставеното авансово финансиране по реда на ДДС6/2011 г. е включена и </w:t>
      </w:r>
      <w:r>
        <w:rPr>
          <w:bCs/>
        </w:rPr>
        <w:t>предоставена</w:t>
      </w:r>
      <w:r w:rsidRPr="003A63E3">
        <w:rPr>
          <w:bCs/>
        </w:rPr>
        <w:t xml:space="preserve"> възмездна финансова помощ</w:t>
      </w:r>
      <w:r>
        <w:rPr>
          <w:bCs/>
        </w:rPr>
        <w:t xml:space="preserve"> (нето)</w:t>
      </w:r>
      <w:r w:rsidRPr="003A63E3">
        <w:rPr>
          <w:bCs/>
        </w:rPr>
        <w:t xml:space="preserve"> в размер на </w:t>
      </w:r>
      <w:r>
        <w:rPr>
          <w:bCs/>
        </w:rPr>
        <w:t>18</w:t>
      </w:r>
      <w:r w:rsidR="00683AC0">
        <w:rPr>
          <w:bCs/>
        </w:rPr>
        <w:t>,</w:t>
      </w:r>
      <w:r>
        <w:rPr>
          <w:bCs/>
        </w:rPr>
        <w:t>0</w:t>
      </w:r>
      <w:r w:rsidRPr="003A63E3">
        <w:rPr>
          <w:bCs/>
        </w:rPr>
        <w:t xml:space="preserve"> млн. лева на ОП „Транспорт и транспортна инфраструктура”</w:t>
      </w:r>
      <w:r>
        <w:rPr>
          <w:bCs/>
        </w:rPr>
        <w:t xml:space="preserve"> и 0</w:t>
      </w:r>
      <w:r w:rsidR="00683AC0">
        <w:rPr>
          <w:bCs/>
        </w:rPr>
        <w:t>,</w:t>
      </w:r>
      <w:r>
        <w:rPr>
          <w:bCs/>
        </w:rPr>
        <w:t>3 млн. лева по ОП „Иновации и конкурентоспособност“</w:t>
      </w:r>
      <w:r w:rsidRPr="003A63E3">
        <w:rPr>
          <w:bCs/>
        </w:rPr>
        <w:t>.</w:t>
      </w:r>
    </w:p>
    <w:p w:rsidR="006D5D56" w:rsidRPr="00BC084D" w:rsidRDefault="006D5D56" w:rsidP="00683AC0">
      <w:pPr>
        <w:pStyle w:val="BodyTextIndent"/>
        <w:ind w:left="0" w:firstLine="686"/>
        <w:jc w:val="both"/>
        <w:rPr>
          <w:bCs/>
          <w:highlight w:val="yellow"/>
        </w:rPr>
      </w:pPr>
      <w:r w:rsidRPr="00BC084D">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w:t>
      </w:r>
      <w:r w:rsidR="00F12B69">
        <w:rPr>
          <w:bCs/>
        </w:rPr>
        <w:t>през</w:t>
      </w:r>
      <w:r w:rsidRPr="00BC084D">
        <w:rPr>
          <w:bCs/>
        </w:rPr>
        <w:t xml:space="preserve"> отчетния период са в размер на 164</w:t>
      </w:r>
      <w:r w:rsidR="00683AC0">
        <w:rPr>
          <w:bCs/>
        </w:rPr>
        <w:t>,</w:t>
      </w:r>
      <w:r w:rsidRPr="00BC084D">
        <w:rPr>
          <w:bCs/>
        </w:rPr>
        <w:t>8 млн. лева.</w:t>
      </w:r>
    </w:p>
    <w:p w:rsidR="006D5D56" w:rsidRPr="003D7D09" w:rsidRDefault="006D5D56" w:rsidP="006D5D56">
      <w:pPr>
        <w:pStyle w:val="BodyTextIndent"/>
        <w:spacing w:before="120"/>
        <w:ind w:left="0" w:firstLine="686"/>
        <w:jc w:val="both"/>
        <w:rPr>
          <w:b/>
          <w:bCs/>
        </w:rPr>
      </w:pPr>
      <w:r w:rsidRPr="003D7D09">
        <w:rPr>
          <w:b/>
          <w:bCs/>
        </w:rPr>
        <w:t>Програма ФАР и Преходен финансов инструмент</w:t>
      </w:r>
    </w:p>
    <w:p w:rsidR="006D5D56" w:rsidRPr="003D7D09" w:rsidRDefault="006D5D56" w:rsidP="006D5D56">
      <w:pPr>
        <w:pStyle w:val="BodyTextIndent"/>
        <w:ind w:left="0" w:firstLine="686"/>
        <w:jc w:val="both"/>
        <w:rPr>
          <w:bCs/>
        </w:rPr>
      </w:pPr>
      <w:r w:rsidRPr="003D7D09">
        <w:rPr>
          <w:bCs/>
        </w:rPr>
        <w:t>През отчетния период са възстановени суми от бенефициенти по сметките на Национален фонд на стойност 0</w:t>
      </w:r>
      <w:r w:rsidR="00683AC0">
        <w:rPr>
          <w:bCs/>
        </w:rPr>
        <w:t>,</w:t>
      </w:r>
      <w:r w:rsidRPr="003D7D09">
        <w:rPr>
          <w:bCs/>
        </w:rPr>
        <w:t>001 млн. л</w:t>
      </w:r>
      <w:r w:rsidR="00683AC0">
        <w:rPr>
          <w:bCs/>
        </w:rPr>
        <w:t>е</w:t>
      </w:r>
      <w:r w:rsidRPr="003D7D09">
        <w:rPr>
          <w:bCs/>
        </w:rPr>
        <w:t>в</w:t>
      </w:r>
      <w:r w:rsidR="00683AC0">
        <w:rPr>
          <w:bCs/>
        </w:rPr>
        <w:t>а</w:t>
      </w:r>
      <w:r w:rsidRPr="003D7D09">
        <w:rPr>
          <w:bCs/>
        </w:rPr>
        <w:t>.</w:t>
      </w:r>
    </w:p>
    <w:p w:rsidR="006D5D56" w:rsidRPr="003D7D09" w:rsidRDefault="006D5D56" w:rsidP="006D5D56">
      <w:pPr>
        <w:pStyle w:val="BodyTextIndent"/>
        <w:spacing w:before="120"/>
        <w:ind w:left="0" w:firstLine="686"/>
        <w:jc w:val="both"/>
        <w:rPr>
          <w:b/>
          <w:bCs/>
        </w:rPr>
      </w:pPr>
      <w:r w:rsidRPr="003D7D09">
        <w:rPr>
          <w:b/>
          <w:bCs/>
        </w:rPr>
        <w:t xml:space="preserve">Програма САПАРД </w:t>
      </w:r>
    </w:p>
    <w:p w:rsidR="006D5D56" w:rsidRPr="003D7D09" w:rsidRDefault="006D5D56" w:rsidP="006D5D56">
      <w:pPr>
        <w:pStyle w:val="BodyTextIndent"/>
        <w:ind w:left="0" w:firstLine="686"/>
        <w:jc w:val="both"/>
        <w:rPr>
          <w:bCs/>
        </w:rPr>
      </w:pPr>
      <w:r w:rsidRPr="003D7D09">
        <w:rPr>
          <w:bCs/>
        </w:rPr>
        <w:t>През периода са извършени възстановявания от бенефициенти по дългове на стойност 0</w:t>
      </w:r>
      <w:r w:rsidR="00683AC0">
        <w:rPr>
          <w:bCs/>
        </w:rPr>
        <w:t>,</w:t>
      </w:r>
      <w:r w:rsidRPr="003D7D09">
        <w:rPr>
          <w:bCs/>
        </w:rPr>
        <w:t>009 млн. л</w:t>
      </w:r>
      <w:r w:rsidR="00683AC0">
        <w:rPr>
          <w:bCs/>
        </w:rPr>
        <w:t>е</w:t>
      </w:r>
      <w:r w:rsidRPr="003D7D09">
        <w:rPr>
          <w:bCs/>
        </w:rPr>
        <w:t>в</w:t>
      </w:r>
      <w:r w:rsidR="00683AC0">
        <w:rPr>
          <w:bCs/>
        </w:rPr>
        <w:t>а</w:t>
      </w:r>
      <w:r w:rsidRPr="003D7D09">
        <w:rPr>
          <w:bCs/>
        </w:rPr>
        <w:t>.</w:t>
      </w:r>
    </w:p>
    <w:p w:rsidR="006D5D56" w:rsidRPr="00140B4D" w:rsidRDefault="006D5D56" w:rsidP="006D5D56">
      <w:pPr>
        <w:pStyle w:val="BodyTextIndent"/>
        <w:spacing w:before="120"/>
        <w:ind w:left="0" w:firstLine="686"/>
        <w:jc w:val="both"/>
        <w:rPr>
          <w:b/>
          <w:bCs/>
        </w:rPr>
      </w:pPr>
      <w:r w:rsidRPr="00F24321">
        <w:rPr>
          <w:bCs/>
          <w:color w:val="0070C0"/>
        </w:rPr>
        <w:tab/>
      </w:r>
      <w:r w:rsidRPr="00140B4D">
        <w:rPr>
          <w:b/>
          <w:bCs/>
        </w:rPr>
        <w:t>Двустранни програми за трансгранично сътрудничество по външните граници на Европейския съюз 2007 – 2013 г. и 2014 – 2020 г.</w:t>
      </w:r>
    </w:p>
    <w:p w:rsidR="006D5D56" w:rsidRPr="00140B4D" w:rsidRDefault="006D5D56" w:rsidP="00683AC0">
      <w:pPr>
        <w:pStyle w:val="BodyTextIndent"/>
        <w:ind w:left="0" w:firstLine="686"/>
        <w:jc w:val="both"/>
        <w:rPr>
          <w:bCs/>
        </w:rPr>
      </w:pPr>
      <w:r w:rsidRPr="00140B4D">
        <w:rPr>
          <w:bCs/>
        </w:rPr>
        <w:t>Получените средства към 31.03.2021 г. са на стойност 4</w:t>
      </w:r>
      <w:r w:rsidR="00683AC0">
        <w:rPr>
          <w:bCs/>
        </w:rPr>
        <w:t>,</w:t>
      </w:r>
      <w:r w:rsidRPr="00140B4D">
        <w:rPr>
          <w:bCs/>
        </w:rPr>
        <w:t xml:space="preserve">4 млн. лв., представляващи възстановени разходи от ЕК и постъпили средства за съфинансиране от страните-партньори, както </w:t>
      </w:r>
      <w:r w:rsidR="00045116">
        <w:rPr>
          <w:bCs/>
        </w:rPr>
        <w:t xml:space="preserve">и </w:t>
      </w:r>
      <w:r w:rsidRPr="00140B4D">
        <w:rPr>
          <w:bCs/>
        </w:rPr>
        <w:t>разпределени към администратори в чужбина за сметка на средствата, получени от страната-партньор.</w:t>
      </w:r>
    </w:p>
    <w:p w:rsidR="006D5D56" w:rsidRPr="00140B4D" w:rsidRDefault="006D5D56" w:rsidP="00683AC0">
      <w:pPr>
        <w:pStyle w:val="BodyTextIndent"/>
        <w:ind w:left="0" w:firstLine="686"/>
        <w:jc w:val="both"/>
        <w:rPr>
          <w:b/>
          <w:bCs/>
        </w:rPr>
      </w:pPr>
      <w:r w:rsidRPr="00140B4D">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5</w:t>
      </w:r>
      <w:r w:rsidR="00683AC0">
        <w:rPr>
          <w:bCs/>
        </w:rPr>
        <w:t>,</w:t>
      </w:r>
      <w:r w:rsidRPr="00140B4D">
        <w:rPr>
          <w:bCs/>
        </w:rPr>
        <w:t xml:space="preserve">5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6D5D56" w:rsidRPr="00140B4D" w:rsidRDefault="006D5D56" w:rsidP="00683AC0">
      <w:pPr>
        <w:pStyle w:val="BodyTextIndent"/>
        <w:spacing w:before="120"/>
        <w:ind w:left="0" w:firstLine="686"/>
        <w:jc w:val="both"/>
        <w:rPr>
          <w:b/>
          <w:bCs/>
        </w:rPr>
      </w:pPr>
      <w:r w:rsidRPr="00140B4D">
        <w:rPr>
          <w:b/>
          <w:bCs/>
        </w:rPr>
        <w:t>Финансов механизъм на Европейското икономическо пространство и Норвежки финансов механизъм за периода 2009-2014 г. и 2014-2021 г.</w:t>
      </w:r>
    </w:p>
    <w:p w:rsidR="006D5D56" w:rsidRPr="007C1025" w:rsidRDefault="006D5D56" w:rsidP="00683AC0">
      <w:pPr>
        <w:pStyle w:val="BodyTextIndent"/>
        <w:ind w:left="0" w:firstLine="533"/>
        <w:jc w:val="both"/>
        <w:rPr>
          <w:bCs/>
        </w:rPr>
      </w:pPr>
      <w:r w:rsidRPr="00140B4D">
        <w:rPr>
          <w:bCs/>
        </w:rPr>
        <w:lastRenderedPageBreak/>
        <w:t xml:space="preserve">Сумата на разходите и трансферите (нето) към 31.03.2021 г. с натрупване </w:t>
      </w:r>
      <w:r w:rsidR="00683AC0">
        <w:rPr>
          <w:bCs/>
        </w:rPr>
        <w:t>е</w:t>
      </w:r>
      <w:r w:rsidRPr="00140B4D">
        <w:rPr>
          <w:bCs/>
        </w:rPr>
        <w:t xml:space="preserve"> на обща стойност 3</w:t>
      </w:r>
      <w:r w:rsidR="00683AC0">
        <w:rPr>
          <w:bCs/>
        </w:rPr>
        <w:t>,</w:t>
      </w:r>
      <w:r w:rsidRPr="00140B4D">
        <w:rPr>
          <w:bCs/>
        </w:rPr>
        <w:t xml:space="preserve">5 млн. </w:t>
      </w:r>
      <w:r w:rsidRPr="007C1025">
        <w:rPr>
          <w:bCs/>
        </w:rPr>
        <w:t>лева.</w:t>
      </w:r>
    </w:p>
    <w:p w:rsidR="00251963" w:rsidRPr="007C1025" w:rsidRDefault="00251963" w:rsidP="006B4AFB">
      <w:pPr>
        <w:pStyle w:val="Heading1"/>
        <w:numPr>
          <w:ilvl w:val="0"/>
          <w:numId w:val="10"/>
        </w:numPr>
        <w:spacing w:before="360"/>
        <w:ind w:left="533" w:right="-108" w:hanging="391"/>
        <w:jc w:val="both"/>
        <w:rPr>
          <w:sz w:val="24"/>
        </w:rPr>
      </w:pPr>
      <w:r w:rsidRPr="007C1025">
        <w:rPr>
          <w:sz w:val="24"/>
        </w:rPr>
        <w:t>Бюджети на социално и здравно-осигурителните фондове и бюджети по чл. 13, ал. 2 и ал. 3 на Закона за публичните финанси</w:t>
      </w:r>
    </w:p>
    <w:p w:rsidR="007C1025" w:rsidRPr="006F59C7" w:rsidRDefault="007C1025" w:rsidP="007C1025">
      <w:pPr>
        <w:pStyle w:val="Heading1"/>
        <w:numPr>
          <w:ilvl w:val="1"/>
          <w:numId w:val="10"/>
        </w:numPr>
        <w:spacing w:before="120"/>
        <w:ind w:left="788" w:right="-108" w:hanging="431"/>
        <w:jc w:val="both"/>
        <w:rPr>
          <w:sz w:val="24"/>
          <w:lang w:val="en-US"/>
        </w:rPr>
      </w:pPr>
      <w:r w:rsidRPr="006F59C7">
        <w:rPr>
          <w:sz w:val="24"/>
        </w:rPr>
        <w:t>Социално и здравно-осигурителни фондове</w:t>
      </w:r>
    </w:p>
    <w:p w:rsidR="007C1025" w:rsidRPr="006F59C7" w:rsidRDefault="007C1025" w:rsidP="007C1025">
      <w:pPr>
        <w:numPr>
          <w:ilvl w:val="1"/>
          <w:numId w:val="6"/>
        </w:numPr>
        <w:spacing w:before="120" w:line="276" w:lineRule="auto"/>
        <w:ind w:left="992" w:hanging="357"/>
        <w:jc w:val="both"/>
        <w:rPr>
          <w:b/>
          <w:bCs/>
        </w:rPr>
      </w:pPr>
      <w:r w:rsidRPr="006F59C7">
        <w:rPr>
          <w:b/>
        </w:rPr>
        <w:t>Държавно обществено осигуряване</w:t>
      </w:r>
    </w:p>
    <w:p w:rsidR="007C1025" w:rsidRPr="006F59C7" w:rsidRDefault="007C1025" w:rsidP="007C1025">
      <w:pPr>
        <w:ind w:firstLine="567"/>
        <w:jc w:val="both"/>
        <w:rPr>
          <w:color w:val="4F81BD" w:themeColor="accent1"/>
        </w:rPr>
      </w:pPr>
      <w:r w:rsidRPr="006F59C7">
        <w:t xml:space="preserve">Общата сума на </w:t>
      </w:r>
      <w:r w:rsidRPr="006F59C7">
        <w:rPr>
          <w:b/>
        </w:rPr>
        <w:t>приходите, помощите и даренията</w:t>
      </w:r>
      <w:r w:rsidRPr="006F59C7">
        <w:t xml:space="preserve"> по бюджета на Държавното обществено осигуряване (ДОО) към 31.03.202</w:t>
      </w:r>
      <w:r w:rsidRPr="00D40081">
        <w:t>1</w:t>
      </w:r>
      <w:r w:rsidRPr="006F59C7">
        <w:t xml:space="preserve"> г. възлиза на </w:t>
      </w:r>
      <w:r w:rsidRPr="00D40081">
        <w:t>2</w:t>
      </w:r>
      <w:r w:rsidRPr="006F59C7">
        <w:t> </w:t>
      </w:r>
      <w:r w:rsidRPr="00D40081">
        <w:t>084</w:t>
      </w:r>
      <w:r w:rsidRPr="006F59C7">
        <w:t>,</w:t>
      </w:r>
      <w:r w:rsidRPr="00D40081">
        <w:t>4</w:t>
      </w:r>
      <w:r w:rsidRPr="006F59C7">
        <w:t xml:space="preserve"> млн. лв. Най-голям е делът на приходите от осигурителни вноски (9</w:t>
      </w:r>
      <w:r w:rsidRPr="00D40081">
        <w:t>7</w:t>
      </w:r>
      <w:r w:rsidRPr="006F59C7">
        <w:t>,</w:t>
      </w:r>
      <w:r w:rsidRPr="00D40081">
        <w:t>0</w:t>
      </w:r>
      <w:r w:rsidRPr="006F59C7">
        <w:t xml:space="preserve"> % от общите приходи), които за отчетния период са в размер на </w:t>
      </w:r>
      <w:r w:rsidRPr="00D40081">
        <w:t>2</w:t>
      </w:r>
      <w:r w:rsidRPr="006F59C7">
        <w:t> </w:t>
      </w:r>
      <w:r w:rsidRPr="00D40081">
        <w:t>022</w:t>
      </w:r>
      <w:r w:rsidRPr="006F59C7">
        <w:t>,</w:t>
      </w:r>
      <w:r w:rsidRPr="00D40081">
        <w:t>8</w:t>
      </w:r>
      <w:r w:rsidRPr="006F59C7">
        <w:t xml:space="preserve"> млн. лв. </w:t>
      </w:r>
    </w:p>
    <w:p w:rsidR="007C1025" w:rsidRPr="006F59C7" w:rsidRDefault="007C1025" w:rsidP="006A454B">
      <w:pPr>
        <w:ind w:firstLine="567"/>
        <w:jc w:val="both"/>
        <w:rPr>
          <w:rFonts w:eastAsiaTheme="minorHAnsi"/>
          <w:color w:val="4F81BD" w:themeColor="accent1"/>
        </w:rPr>
      </w:pPr>
      <w:r w:rsidRPr="00C63048">
        <w:t>Съпоставени с първото тримесечие на 20</w:t>
      </w:r>
      <w:r w:rsidRPr="00D40081">
        <w:t>20</w:t>
      </w:r>
      <w:r w:rsidRPr="00C63048">
        <w:t xml:space="preserve"> г., приходите по бюджета на ДОО нарастват със 1</w:t>
      </w:r>
      <w:r w:rsidRPr="00D40081">
        <w:t>52</w:t>
      </w:r>
      <w:r w:rsidRPr="00C63048">
        <w:t>,</w:t>
      </w:r>
      <w:r w:rsidRPr="00D40081">
        <w:t>5</w:t>
      </w:r>
      <w:r w:rsidRPr="00C63048">
        <w:t xml:space="preserve"> млн. лв. (7,</w:t>
      </w:r>
      <w:r w:rsidRPr="00D40081">
        <w:t>9</w:t>
      </w:r>
      <w:r w:rsidRPr="00C63048">
        <w:t xml:space="preserve"> %). </w:t>
      </w:r>
      <w:r w:rsidRPr="00C63048">
        <w:rPr>
          <w:bCs/>
        </w:rPr>
        <w:t>Върху състоянието на приходите през 20</w:t>
      </w:r>
      <w:r w:rsidRPr="00D40081">
        <w:rPr>
          <w:bCs/>
        </w:rPr>
        <w:t>21</w:t>
      </w:r>
      <w:r w:rsidRPr="00C63048">
        <w:rPr>
          <w:bCs/>
        </w:rPr>
        <w:t xml:space="preserve"> г. влияние оказват следните </w:t>
      </w:r>
      <w:r>
        <w:rPr>
          <w:bCs/>
        </w:rPr>
        <w:t xml:space="preserve">основни </w:t>
      </w:r>
      <w:r w:rsidRPr="00C63048">
        <w:rPr>
          <w:bCs/>
        </w:rPr>
        <w:t>фактори: увеличаване на минималния осигурителен доход за самоосигуряващите се лица от 610 лв. на 650 лв.</w:t>
      </w:r>
      <w:r>
        <w:rPr>
          <w:bCs/>
        </w:rPr>
        <w:t>;</w:t>
      </w:r>
      <w:r w:rsidRPr="00D40081">
        <w:rPr>
          <w:bCs/>
        </w:rPr>
        <w:t xml:space="preserve"> </w:t>
      </w:r>
      <w:r w:rsidRPr="00C63048">
        <w:rPr>
          <w:bCs/>
        </w:rPr>
        <w:t>запаз</w:t>
      </w:r>
      <w:r>
        <w:rPr>
          <w:bCs/>
        </w:rPr>
        <w:t>ване</w:t>
      </w:r>
      <w:r w:rsidRPr="00C63048">
        <w:rPr>
          <w:bCs/>
        </w:rPr>
        <w:t xml:space="preserve"> равнищата на минималните осигурителни доходи по основните икономически дейности и квалификационни групи професии от 2020 г., с изключение на позициите, които са под новия размер на минималната работна заплата за 2021 г. (650 лв.), които бяха приравнени на нея;</w:t>
      </w:r>
      <w:r>
        <w:rPr>
          <w:bCs/>
        </w:rPr>
        <w:t xml:space="preserve"> </w:t>
      </w:r>
      <w:r w:rsidRPr="00C63048">
        <w:rPr>
          <w:bCs/>
        </w:rPr>
        <w:t>увеличение на възнагражденията на педагогическите специалисти и непедагогическия персонал;</w:t>
      </w:r>
      <w:r>
        <w:rPr>
          <w:bCs/>
        </w:rPr>
        <w:t xml:space="preserve"> </w:t>
      </w:r>
      <w:r w:rsidRPr="00C63048">
        <w:rPr>
          <w:bCs/>
        </w:rPr>
        <w:tab/>
        <w:t>увеличение с 30% (от 01.08.2020 г.) на разходите за персонал на органи и администрации, които са натоварени с дейности по овладяване на пандемията и последствията от COVID 19, в. т.ч. за служители на първа линия, които бяха включени в социално-икономическия пакет на правителството;</w:t>
      </w:r>
      <w:r>
        <w:rPr>
          <w:bCs/>
        </w:rPr>
        <w:t xml:space="preserve"> </w:t>
      </w:r>
      <w:r w:rsidRPr="00C63048">
        <w:rPr>
          <w:bCs/>
        </w:rPr>
        <w:t>увеличение с 15</w:t>
      </w:r>
      <w:r>
        <w:rPr>
          <w:bCs/>
        </w:rPr>
        <w:t xml:space="preserve"> </w:t>
      </w:r>
      <w:r w:rsidRPr="00C63048">
        <w:rPr>
          <w:bCs/>
        </w:rPr>
        <w:t>% на разходите за персонал на Министерството на вътрешните работи за 2021 г.</w:t>
      </w:r>
      <w:r>
        <w:rPr>
          <w:bCs/>
        </w:rPr>
        <w:t xml:space="preserve">; </w:t>
      </w:r>
      <w:r w:rsidRPr="00C224DC">
        <w:rPr>
          <w:bCs/>
        </w:rPr>
        <w:t>увеличение с 10% на средствата за заплати и възнаграждения на персонала, нает по трудови и служебни правоотношения, включително и на средствата за осигурителни вноски, за всички структури, които не попадат в обхвата на пакета от социално-икономически мерки на правителството;</w:t>
      </w:r>
      <w:r>
        <w:rPr>
          <w:bCs/>
        </w:rPr>
        <w:t xml:space="preserve"> </w:t>
      </w:r>
      <w:r w:rsidRPr="00C224DC">
        <w:rPr>
          <w:bCs/>
        </w:rPr>
        <w:tab/>
        <w:t>увеличение на средствата за заплати и възнаграждения на персонала за изборните длъжности и за заетите в системата на съдебната власт, за които законодателно е регламентиран механизъм за формиране на възнагражденията.</w:t>
      </w:r>
      <w:r>
        <w:rPr>
          <w:bCs/>
        </w:rPr>
        <w:t xml:space="preserve"> </w:t>
      </w:r>
    </w:p>
    <w:p w:rsidR="007C1025" w:rsidRPr="00C224DC" w:rsidRDefault="007C1025" w:rsidP="007C1025">
      <w:pPr>
        <w:ind w:firstLine="567"/>
        <w:jc w:val="both"/>
        <w:rPr>
          <w:bCs/>
        </w:rPr>
      </w:pPr>
      <w:r w:rsidRPr="00C224DC">
        <w:rPr>
          <w:bCs/>
        </w:rPr>
        <w:t>Отчетените неданъчни приходи към края на март 2021 г. по бюджета на ДОО възлизат на 61,5 млн. лв., в т.ч. 55,8 млн. лв. постъпили средства по чл. 4б, чл. 4в и чл. 69б от Кодекса за социално осигуряване (КСО)</w:t>
      </w:r>
      <w:r w:rsidRPr="00C224DC">
        <w:t>.</w:t>
      </w:r>
      <w:r w:rsidRPr="00C224DC">
        <w:rPr>
          <w:bCs/>
        </w:rPr>
        <w:t xml:space="preserve"> </w:t>
      </w:r>
    </w:p>
    <w:p w:rsidR="007C1025" w:rsidRDefault="007C1025" w:rsidP="007C1025">
      <w:pPr>
        <w:tabs>
          <w:tab w:val="num" w:pos="1499"/>
          <w:tab w:val="num" w:pos="2148"/>
        </w:tabs>
        <w:spacing w:after="120"/>
        <w:ind w:firstLine="567"/>
        <w:jc w:val="both"/>
        <w:rPr>
          <w:bCs/>
        </w:rPr>
      </w:pPr>
      <w:r w:rsidRPr="00C224DC">
        <w:rPr>
          <w:bCs/>
        </w:rPr>
        <w:t xml:space="preserve">Размерът на извършените </w:t>
      </w:r>
      <w:r w:rsidRPr="00C224DC">
        <w:rPr>
          <w:b/>
          <w:bCs/>
        </w:rPr>
        <w:t xml:space="preserve">разходи </w:t>
      </w:r>
      <w:r w:rsidRPr="00C224DC">
        <w:rPr>
          <w:bCs/>
        </w:rPr>
        <w:t>за първите три месеца на 2021 г. по бюджета на ДОО е 3 883,7 млн. лв. Спрямо същия период на миналата година, общо разходите по бюджета на ДОО са с 889,3 млн. лв. (29,7 %) повече. От структурна гледна точка най-голям относителен дял в общите разходи заемат разходите за пенсии, обезщетенията и помощите, изплащани на основание КСО, както</w:t>
      </w:r>
      <w:r>
        <w:rPr>
          <w:bCs/>
        </w:rPr>
        <w:t xml:space="preserve"> и </w:t>
      </w:r>
      <w:r w:rsidRPr="00C224DC">
        <w:rPr>
          <w:bCs/>
        </w:rPr>
        <w:t xml:space="preserve">разходите по </w:t>
      </w:r>
      <w:r w:rsidRPr="00017F03">
        <w:rPr>
          <w:bCs/>
        </w:rPr>
        <w:t xml:space="preserve">мярката „60/40“, „80/20“ и др. – общо 3 848,0 млн. лв. или 99,1 % от </w:t>
      </w:r>
      <w:r w:rsidRPr="001E6EF2">
        <w:rPr>
          <w:bCs/>
        </w:rPr>
        <w:t xml:space="preserve">общия размер на разходите за отчетния период. </w:t>
      </w:r>
    </w:p>
    <w:p w:rsidR="007C1025" w:rsidRDefault="007C1025" w:rsidP="007C1025">
      <w:pPr>
        <w:tabs>
          <w:tab w:val="num" w:pos="1499"/>
          <w:tab w:val="num" w:pos="2148"/>
        </w:tabs>
        <w:spacing w:after="120"/>
        <w:ind w:firstLine="567"/>
        <w:jc w:val="both"/>
        <w:rPr>
          <w:bCs/>
        </w:rPr>
      </w:pPr>
      <w:r w:rsidRPr="001E6EF2">
        <w:rPr>
          <w:bCs/>
        </w:rPr>
        <w:t xml:space="preserve">Отчетените разходи за </w:t>
      </w:r>
      <w:r w:rsidRPr="001E6EF2">
        <w:rPr>
          <w:b/>
          <w:bCs/>
        </w:rPr>
        <w:t>пенсии</w:t>
      </w:r>
      <w:r w:rsidRPr="001E6EF2">
        <w:rPr>
          <w:bCs/>
        </w:rPr>
        <w:t xml:space="preserve"> по бюджета на ДОО към 31.03.2021 г. възлизат на 3 207,8 млн. лв., което е с 673,4 млн. лв. повече спрямо първите три месеца на 2020 г. </w:t>
      </w:r>
      <w:r>
        <w:rPr>
          <w:bCs/>
        </w:rPr>
        <w:t xml:space="preserve">Основните причини за това са: </w:t>
      </w:r>
      <w:r w:rsidRPr="001E6EF2">
        <w:rPr>
          <w:bCs/>
        </w:rPr>
        <w:t>изплатените добавки по 50 лв. към пенсиите за месеците януари, февруари и март</w:t>
      </w:r>
      <w:r>
        <w:rPr>
          <w:bCs/>
        </w:rPr>
        <w:t xml:space="preserve">; ефектът от изплащане на увеличените пенсии от 1 юли 2020 г.; увеличението на минималната пенсия от 250 на 300 лв. и на максималната пенсия от 1200 на 1440 лв. от 1 януари 2021 г. </w:t>
      </w:r>
    </w:p>
    <w:p w:rsidR="007C1025" w:rsidRDefault="007C1025" w:rsidP="007C1025">
      <w:pPr>
        <w:tabs>
          <w:tab w:val="num" w:pos="1499"/>
          <w:tab w:val="num" w:pos="2148"/>
        </w:tabs>
        <w:spacing w:after="120"/>
        <w:ind w:firstLine="567"/>
        <w:jc w:val="both"/>
      </w:pPr>
      <w:r w:rsidRPr="00EE4348">
        <w:t xml:space="preserve">Отчетените разходи за </w:t>
      </w:r>
      <w:r w:rsidRPr="00EE4348">
        <w:rPr>
          <w:b/>
        </w:rPr>
        <w:t>краткосрочни обезщетения и помощи по КСО</w:t>
      </w:r>
      <w:r w:rsidRPr="00EE4348">
        <w:t xml:space="preserve"> са в размер на 475,2 млн. лева. Спрямо същия период на миналата година изплатените обезщетения по КСО са с 46,0 млн. лв. (10,7 %) повече.</w:t>
      </w:r>
    </w:p>
    <w:p w:rsidR="007C1025" w:rsidRPr="00EE4348" w:rsidRDefault="007C1025" w:rsidP="007C1025">
      <w:pPr>
        <w:tabs>
          <w:tab w:val="num" w:pos="1499"/>
          <w:tab w:val="num" w:pos="2148"/>
        </w:tabs>
        <w:spacing w:after="120"/>
        <w:ind w:firstLine="567"/>
        <w:jc w:val="both"/>
      </w:pPr>
      <w:r w:rsidRPr="004C6A08">
        <w:t>Изплатени по мярката „60/40“</w:t>
      </w:r>
      <w:r w:rsidRPr="00D40081">
        <w:t xml:space="preserve"> и </w:t>
      </w:r>
      <w:r>
        <w:t>нейните модификации</w:t>
      </w:r>
      <w:r w:rsidRPr="00D40081">
        <w:t xml:space="preserve"> </w:t>
      </w:r>
      <w:r>
        <w:t>с</w:t>
      </w:r>
      <w:r w:rsidRPr="00D40081">
        <w:t xml:space="preserve">а </w:t>
      </w:r>
      <w:r w:rsidRPr="004C6A08">
        <w:t xml:space="preserve"> общо 166,5 млн. лв., от които разходи по бюджета на НОИ – 165 млн. лв. и предоставени трансфери от бюджета на НОИ за запазване на заетостта на работници и служители 1,5 млн. лв.</w:t>
      </w:r>
    </w:p>
    <w:p w:rsidR="007C1025" w:rsidRPr="00EE4348" w:rsidRDefault="007C1025" w:rsidP="007C1025">
      <w:pPr>
        <w:numPr>
          <w:ilvl w:val="1"/>
          <w:numId w:val="6"/>
        </w:numPr>
        <w:tabs>
          <w:tab w:val="num" w:pos="709"/>
          <w:tab w:val="left" w:pos="851"/>
          <w:tab w:val="left" w:pos="1134"/>
        </w:tabs>
        <w:spacing w:before="120" w:line="276" w:lineRule="auto"/>
        <w:ind w:left="709" w:hanging="357"/>
        <w:jc w:val="both"/>
        <w:rPr>
          <w:b/>
          <w:bCs/>
        </w:rPr>
      </w:pPr>
      <w:r w:rsidRPr="00EE4348">
        <w:rPr>
          <w:b/>
          <w:bCs/>
        </w:rPr>
        <w:lastRenderedPageBreak/>
        <w:t>Национална здравноосигурителна каса</w:t>
      </w:r>
    </w:p>
    <w:p w:rsidR="007C1025" w:rsidRPr="006F59C7" w:rsidRDefault="007C1025" w:rsidP="007C1025">
      <w:pPr>
        <w:ind w:firstLine="567"/>
        <w:jc w:val="both"/>
        <w:rPr>
          <w:color w:val="4F81BD" w:themeColor="accent1"/>
        </w:rPr>
      </w:pPr>
      <w:r w:rsidRPr="005324F2">
        <w:t xml:space="preserve">Общият размер на събраните </w:t>
      </w:r>
      <w:r w:rsidRPr="005324F2">
        <w:rPr>
          <w:b/>
        </w:rPr>
        <w:t>приходи</w:t>
      </w:r>
      <w:r>
        <w:rPr>
          <w:b/>
        </w:rPr>
        <w:t>, помощи и дарения</w:t>
      </w:r>
      <w:r w:rsidRPr="005324F2">
        <w:t xml:space="preserve"> по бюджета на НЗОК за първите три месеца на 2021 г. възлиза на 793,2 млн. лв., което представлява 24,5 % от предвидените със Закона за бюджета на НЗОК (ЗБНЗОК) за 2021 г. – 3 2</w:t>
      </w:r>
      <w:r>
        <w:t>40</w:t>
      </w:r>
      <w:r w:rsidRPr="005324F2">
        <w:t>,</w:t>
      </w:r>
      <w:r>
        <w:t>8</w:t>
      </w:r>
      <w:r w:rsidRPr="005324F2">
        <w:t xml:space="preserve"> млн. лева. Постъпленията от здравноосигурителни вноски са в размер на 788,4 млн. лв., което е 24,5 % изпълнение на утвърдените със ЗБНЗОК за 2021 г. средства в размер на 3 220,3 млн. лева. Събраните неданъчни приходи за първото тримесечие на 2021 г. са 4,8 млн. лв. или 23,3 % от заложените в ЗБНЗОК за 2021 г., като основната част от тях са приходи от глоби, санкции и наказателни лихви. </w:t>
      </w:r>
    </w:p>
    <w:p w:rsidR="007C1025" w:rsidRPr="0000217B" w:rsidRDefault="007C1025" w:rsidP="007C1025">
      <w:pPr>
        <w:ind w:firstLine="567"/>
        <w:jc w:val="both"/>
      </w:pPr>
      <w:r w:rsidRPr="0000217B">
        <w:t>Полученият трансфер от МЗ за</w:t>
      </w:r>
      <w:r w:rsidRPr="0000217B">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00217B">
        <w:t xml:space="preserve"> </w:t>
      </w:r>
      <w:r w:rsidRPr="0000217B">
        <w:rPr>
          <w:szCs w:val="20"/>
        </w:rPr>
        <w:t>както и за осигуряване на средства за заплащане на изпълнителите на медицинска помощ за работа при неблагоприятни условия по време на обявена извънредна епидемична обстановка поради разпространение на COVID-19 и за поставяне на ваксини срещу COVID-19 за отчетния период</w:t>
      </w:r>
      <w:r w:rsidRPr="00D40081">
        <w:rPr>
          <w:szCs w:val="20"/>
        </w:rPr>
        <w:t xml:space="preserve"> </w:t>
      </w:r>
      <w:r w:rsidRPr="0000217B">
        <w:rPr>
          <w:szCs w:val="20"/>
          <w:lang w:val="en-US"/>
        </w:rPr>
        <w:t>e</w:t>
      </w:r>
      <w:r w:rsidRPr="0000217B">
        <w:rPr>
          <w:szCs w:val="20"/>
        </w:rPr>
        <w:t xml:space="preserve"> в размер на 103,4</w:t>
      </w:r>
      <w:r w:rsidRPr="0000217B">
        <w:t xml:space="preserve"> млн. лева. </w:t>
      </w:r>
    </w:p>
    <w:p w:rsidR="007C1025" w:rsidRPr="0000217B" w:rsidRDefault="007C1025" w:rsidP="007C1025">
      <w:pPr>
        <w:ind w:firstLine="567"/>
        <w:jc w:val="both"/>
      </w:pPr>
      <w:r w:rsidRPr="0000217B">
        <w:t>Трансферите за здравно осигуряване и за изплащане на допълнителни възнаграждения на медицинския персонал за срока на обявена епидемична обстановка от централния бюджет за периода са 463,3 млн. лв.</w:t>
      </w:r>
    </w:p>
    <w:p w:rsidR="007C1025" w:rsidRDefault="007C1025" w:rsidP="007C1025">
      <w:pPr>
        <w:ind w:firstLine="567"/>
        <w:jc w:val="both"/>
      </w:pPr>
      <w:r w:rsidRPr="00294651">
        <w:t xml:space="preserve">Отчетените </w:t>
      </w:r>
      <w:r w:rsidRPr="00294651">
        <w:rPr>
          <w:b/>
        </w:rPr>
        <w:t>разходи</w:t>
      </w:r>
      <w:r w:rsidRPr="00294651">
        <w:t xml:space="preserve"> към 31.03.2021 г. са в размер на 1 260,8 млн. лв. и представляват 23,6 % от предвидените в ЗБНЗОК за 2021 г. 5 341,3 млн. лева. С ПМС №59/18.02.2021 г. и ПМС № 113/ 29.03.2021 г. са одобрени допълнителни трансфери по бюджета на НЗОК за 2021 г. чрез бюджета на МЗ в размер до 135 млн.</w:t>
      </w:r>
      <w:r>
        <w:t xml:space="preserve"> </w:t>
      </w:r>
      <w:r w:rsidRPr="00294651">
        <w:t xml:space="preserve">лв. за осигуряване на средства за заплащане на изпълнителите на медицинска помощ за работи при неблагоприятни условия по време на обявена извънредна епидемична обстановка поради разпространение на COVID-19  и за заплащане на изпълнителите за поставяне на ваксини срещу COVID-19. </w:t>
      </w:r>
    </w:p>
    <w:p w:rsidR="007C1025" w:rsidRPr="006F59C7" w:rsidRDefault="007C1025" w:rsidP="007C1025">
      <w:pPr>
        <w:ind w:firstLine="567"/>
        <w:jc w:val="both"/>
        <w:rPr>
          <w:color w:val="4F81BD" w:themeColor="accent1"/>
        </w:rPr>
      </w:pPr>
      <w:r w:rsidRPr="00294651">
        <w:t xml:space="preserve">Най-голям относителен дял </w:t>
      </w:r>
      <w:r>
        <w:t xml:space="preserve">в общите разходи </w:t>
      </w:r>
      <w:r w:rsidRPr="00294651">
        <w:t>(95,9 %) заемат здравноосигурителните плащания, които възлизат на 1 209,0 млн. лева. В отделните направления на здравноосигурителни плащания изпълнението на бюджета за първото тримесечие на 2021 г. е следното:</w:t>
      </w:r>
    </w:p>
    <w:p w:rsidR="007C1025" w:rsidRPr="00D25819" w:rsidRDefault="007C1025" w:rsidP="007C1025">
      <w:pPr>
        <w:numPr>
          <w:ilvl w:val="0"/>
          <w:numId w:val="18"/>
        </w:numPr>
        <w:tabs>
          <w:tab w:val="num" w:pos="0"/>
          <w:tab w:val="left" w:pos="720"/>
          <w:tab w:val="left" w:pos="1134"/>
        </w:tabs>
        <w:spacing w:before="120" w:line="276" w:lineRule="auto"/>
        <w:ind w:hanging="6169"/>
        <w:jc w:val="both"/>
        <w:rPr>
          <w:bCs/>
        </w:rPr>
      </w:pPr>
      <w:r w:rsidRPr="00D25819">
        <w:rPr>
          <w:b/>
          <w:i/>
        </w:rPr>
        <w:t>първична извънболнична медицинска помощ</w:t>
      </w:r>
      <w:r w:rsidRPr="00D25819">
        <w:rPr>
          <w:i/>
        </w:rPr>
        <w:t xml:space="preserve"> –</w:t>
      </w:r>
      <w:r w:rsidRPr="00D25819">
        <w:t xml:space="preserve"> </w:t>
      </w:r>
      <w:r w:rsidRPr="00D40081">
        <w:t>69</w:t>
      </w:r>
      <w:r w:rsidRPr="00D25819">
        <w:t>,</w:t>
      </w:r>
      <w:r w:rsidRPr="00D40081">
        <w:t>9</w:t>
      </w:r>
      <w:r w:rsidRPr="00D25819">
        <w:t xml:space="preserve"> млн. лева;</w:t>
      </w:r>
      <w:r w:rsidRPr="00D25819">
        <w:rPr>
          <w:bCs/>
        </w:rPr>
        <w:t xml:space="preserve"> </w:t>
      </w:r>
    </w:p>
    <w:p w:rsidR="007C1025" w:rsidRPr="00D25819" w:rsidRDefault="007C1025" w:rsidP="007C1025">
      <w:pPr>
        <w:numPr>
          <w:ilvl w:val="0"/>
          <w:numId w:val="18"/>
        </w:numPr>
        <w:tabs>
          <w:tab w:val="num" w:pos="0"/>
          <w:tab w:val="left" w:pos="720"/>
          <w:tab w:val="left" w:pos="1134"/>
        </w:tabs>
        <w:spacing w:line="276" w:lineRule="auto"/>
        <w:ind w:hanging="6169"/>
        <w:jc w:val="both"/>
        <w:rPr>
          <w:i/>
        </w:rPr>
      </w:pPr>
      <w:r w:rsidRPr="00D25819">
        <w:rPr>
          <w:b/>
          <w:i/>
        </w:rPr>
        <w:t xml:space="preserve">специализирана извънболнична медицинска помощ </w:t>
      </w:r>
      <w:r w:rsidRPr="00D25819">
        <w:t xml:space="preserve"> – 5</w:t>
      </w:r>
      <w:r w:rsidRPr="00D40081">
        <w:t>9</w:t>
      </w:r>
      <w:r w:rsidRPr="00D25819">
        <w:t>,</w:t>
      </w:r>
      <w:r w:rsidRPr="00D40081">
        <w:t>8</w:t>
      </w:r>
      <w:r w:rsidRPr="00D25819">
        <w:t> млн. лева;</w:t>
      </w:r>
    </w:p>
    <w:p w:rsidR="007C1025" w:rsidRPr="00D25819" w:rsidRDefault="007C1025" w:rsidP="007C1025">
      <w:pPr>
        <w:numPr>
          <w:ilvl w:val="0"/>
          <w:numId w:val="18"/>
        </w:numPr>
        <w:tabs>
          <w:tab w:val="num" w:pos="0"/>
          <w:tab w:val="left" w:pos="720"/>
          <w:tab w:val="left" w:pos="1134"/>
        </w:tabs>
        <w:spacing w:line="276" w:lineRule="auto"/>
        <w:ind w:hanging="6169"/>
        <w:jc w:val="both"/>
        <w:rPr>
          <w:b/>
        </w:rPr>
      </w:pPr>
      <w:r w:rsidRPr="00D25819">
        <w:rPr>
          <w:b/>
          <w:i/>
        </w:rPr>
        <w:t xml:space="preserve">дентална помощ – </w:t>
      </w:r>
      <w:r w:rsidRPr="00D25819">
        <w:rPr>
          <w:lang w:val="en-US"/>
        </w:rPr>
        <w:t>54</w:t>
      </w:r>
      <w:r w:rsidRPr="00D25819">
        <w:t>,9 млн. лева;</w:t>
      </w:r>
    </w:p>
    <w:p w:rsidR="007C1025" w:rsidRPr="00D25819" w:rsidRDefault="007C1025" w:rsidP="007C1025">
      <w:pPr>
        <w:numPr>
          <w:ilvl w:val="0"/>
          <w:numId w:val="18"/>
        </w:numPr>
        <w:tabs>
          <w:tab w:val="num" w:pos="0"/>
          <w:tab w:val="left" w:pos="720"/>
          <w:tab w:val="left" w:pos="1134"/>
        </w:tabs>
        <w:spacing w:line="276" w:lineRule="auto"/>
        <w:ind w:hanging="6169"/>
        <w:jc w:val="both"/>
        <w:rPr>
          <w:b/>
          <w:i/>
        </w:rPr>
      </w:pPr>
      <w:r w:rsidRPr="00D25819">
        <w:rPr>
          <w:b/>
          <w:i/>
        </w:rPr>
        <w:t xml:space="preserve">медико-диагностична дейност – </w:t>
      </w:r>
      <w:r w:rsidRPr="00D40081">
        <w:t>29</w:t>
      </w:r>
      <w:r w:rsidRPr="00D25819">
        <w:t>,</w:t>
      </w:r>
      <w:r w:rsidRPr="00D40081">
        <w:t>0</w:t>
      </w:r>
      <w:r w:rsidRPr="00D25819">
        <w:t xml:space="preserve"> млн. лева;</w:t>
      </w:r>
      <w:r w:rsidRPr="00D25819">
        <w:rPr>
          <w:b/>
          <w:i/>
        </w:rPr>
        <w:t xml:space="preserve"> </w:t>
      </w:r>
    </w:p>
    <w:p w:rsidR="007C1025" w:rsidRPr="00D25819" w:rsidRDefault="007C1025" w:rsidP="007C1025">
      <w:pPr>
        <w:numPr>
          <w:ilvl w:val="0"/>
          <w:numId w:val="18"/>
        </w:numPr>
        <w:tabs>
          <w:tab w:val="num" w:pos="0"/>
          <w:tab w:val="left" w:pos="1134"/>
        </w:tabs>
        <w:spacing w:line="276" w:lineRule="auto"/>
        <w:ind w:left="1134" w:hanging="425"/>
        <w:jc w:val="both"/>
      </w:pPr>
      <w:r w:rsidRPr="00D25819">
        <w:rPr>
          <w:b/>
          <w:i/>
        </w:rPr>
        <w:t xml:space="preserve">лекарствени продукти, медицински изделия и диетични храни за домашно лечение на територията на страната </w:t>
      </w:r>
      <w:r w:rsidRPr="00D40081">
        <w:rPr>
          <w:b/>
          <w:i/>
        </w:rPr>
        <w:t xml:space="preserve"> - </w:t>
      </w:r>
      <w:r w:rsidRPr="00D25819">
        <w:t>254,1 млн. лв.</w:t>
      </w:r>
    </w:p>
    <w:p w:rsidR="007C1025" w:rsidRPr="00D25819" w:rsidRDefault="007C1025" w:rsidP="007C1025">
      <w:pPr>
        <w:numPr>
          <w:ilvl w:val="0"/>
          <w:numId w:val="18"/>
        </w:numPr>
        <w:tabs>
          <w:tab w:val="num" w:pos="0"/>
          <w:tab w:val="left" w:pos="1134"/>
          <w:tab w:val="num" w:pos="6096"/>
        </w:tabs>
        <w:spacing w:line="276" w:lineRule="auto"/>
        <w:ind w:left="1134" w:hanging="425"/>
        <w:jc w:val="both"/>
      </w:pPr>
      <w:r w:rsidRPr="00D40081">
        <w:rPr>
          <w:b/>
          <w:i/>
        </w:rPr>
        <w:t xml:space="preserve"> </w:t>
      </w:r>
      <w:r w:rsidRPr="00D25819">
        <w:rPr>
          <w:b/>
          <w:i/>
        </w:rPr>
        <w:t xml:space="preserve">лекарствени продукти за лечение на злокачествени заболявания в условията на болнична медицинска помощ </w:t>
      </w:r>
      <w:r w:rsidRPr="00D25819">
        <w:t xml:space="preserve"> – 156,5 млн. лева;</w:t>
      </w:r>
    </w:p>
    <w:p w:rsidR="007C1025" w:rsidRPr="00DF2361" w:rsidRDefault="007C1025" w:rsidP="007C1025">
      <w:pPr>
        <w:numPr>
          <w:ilvl w:val="0"/>
          <w:numId w:val="18"/>
        </w:numPr>
        <w:tabs>
          <w:tab w:val="num" w:pos="0"/>
          <w:tab w:val="left" w:pos="720"/>
          <w:tab w:val="num" w:pos="1134"/>
        </w:tabs>
        <w:spacing w:line="276" w:lineRule="auto"/>
        <w:ind w:left="1134" w:hanging="425"/>
        <w:jc w:val="both"/>
      </w:pPr>
      <w:r w:rsidRPr="00DF2361">
        <w:rPr>
          <w:b/>
          <w:i/>
        </w:rPr>
        <w:t>медицински изделия, прилагани в болничната  помощ –</w:t>
      </w:r>
      <w:r w:rsidRPr="00DF2361">
        <w:t xml:space="preserve"> 15,6 млн. лева;</w:t>
      </w:r>
    </w:p>
    <w:p w:rsidR="007C1025" w:rsidRPr="00DF2361" w:rsidRDefault="007C1025" w:rsidP="007C1025">
      <w:pPr>
        <w:numPr>
          <w:ilvl w:val="0"/>
          <w:numId w:val="18"/>
        </w:numPr>
        <w:tabs>
          <w:tab w:val="num" w:pos="0"/>
          <w:tab w:val="left" w:pos="720"/>
          <w:tab w:val="left" w:pos="1134"/>
        </w:tabs>
        <w:spacing w:line="276" w:lineRule="auto"/>
        <w:ind w:hanging="6169"/>
        <w:jc w:val="both"/>
      </w:pPr>
      <w:r w:rsidRPr="00DF2361">
        <w:rPr>
          <w:b/>
          <w:i/>
        </w:rPr>
        <w:t>болнична медицинска помощ –</w:t>
      </w:r>
      <w:r w:rsidRPr="00DF2361">
        <w:t xml:space="preserve"> 550,0 млн. лева.</w:t>
      </w:r>
      <w:r w:rsidRPr="00DF2361">
        <w:tab/>
        <w:t xml:space="preserve"> </w:t>
      </w:r>
    </w:p>
    <w:p w:rsidR="007C1025" w:rsidRPr="00DF2361" w:rsidRDefault="007C1025" w:rsidP="007C1025">
      <w:pPr>
        <w:numPr>
          <w:ilvl w:val="0"/>
          <w:numId w:val="18"/>
        </w:numPr>
        <w:tabs>
          <w:tab w:val="num" w:pos="0"/>
          <w:tab w:val="left" w:pos="720"/>
          <w:tab w:val="left" w:pos="1134"/>
        </w:tabs>
        <w:spacing w:line="276" w:lineRule="auto"/>
        <w:ind w:hanging="6169"/>
        <w:jc w:val="both"/>
      </w:pPr>
      <w:r w:rsidRPr="00DF2361">
        <w:rPr>
          <w:b/>
          <w:i/>
        </w:rPr>
        <w:t xml:space="preserve">други здравноосигурителни плащания – </w:t>
      </w:r>
      <w:r w:rsidRPr="00DF2361">
        <w:t>19,2 млн. лева.</w:t>
      </w:r>
    </w:p>
    <w:p w:rsidR="007C1025" w:rsidRPr="006F59C7" w:rsidRDefault="007C1025" w:rsidP="007C1025">
      <w:pPr>
        <w:spacing w:before="120"/>
        <w:ind w:firstLine="567"/>
        <w:jc w:val="both"/>
        <w:rPr>
          <w:color w:val="4F81BD" w:themeColor="accent1"/>
        </w:rPr>
      </w:pPr>
      <w:r w:rsidRPr="006A6F04">
        <w:t>Като здравноосигурителни плащания следва да се третират и преведените 31,8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1 240,8 млн. лв.</w:t>
      </w:r>
    </w:p>
    <w:p w:rsidR="007C1025" w:rsidRPr="006A6F04" w:rsidRDefault="007C1025" w:rsidP="007C1025">
      <w:pPr>
        <w:ind w:firstLine="567"/>
        <w:jc w:val="both"/>
      </w:pPr>
      <w:r w:rsidRPr="006A6F04">
        <w:lastRenderedPageBreak/>
        <w:t>За периода са отчетени плащания в размер на 29,2 млн. лв. от предоставения трансфер  от Министерството на здравеопазването за дейности за здравнонеосигурени лица, лекарствени продукти и за потребителска такса.</w:t>
      </w:r>
    </w:p>
    <w:p w:rsidR="00251963" w:rsidRPr="006D5D56" w:rsidRDefault="007C1025" w:rsidP="007C1025">
      <w:pPr>
        <w:pStyle w:val="Heading1"/>
        <w:ind w:right="-108" w:firstLine="533"/>
        <w:jc w:val="both"/>
        <w:rPr>
          <w:color w:val="4F81BD" w:themeColor="accent1"/>
        </w:rPr>
      </w:pPr>
      <w:r w:rsidRPr="00710B5D">
        <w:rPr>
          <w:b w:val="0"/>
          <w:sz w:val="24"/>
        </w:rPr>
        <w:t xml:space="preserve">По бюджета на НЗОК за 2021 година са утвърдени 76,7 млн. лв. за административни разходи на институцията, които включват разходите за персонал и за текуща издръжка. За първите три месеца на годината са отчетени 22,6 млн. лв., което представлява 29,4 % от </w:t>
      </w:r>
      <w:r w:rsidRPr="00475885">
        <w:rPr>
          <w:b w:val="0"/>
          <w:sz w:val="24"/>
        </w:rPr>
        <w:t>годишния разчет. Усвоените средства за административни разходи заемат 1,8 на сто в структурата на общите разходи за отчетния период.</w:t>
      </w:r>
    </w:p>
    <w:p w:rsidR="00B6120B" w:rsidRPr="00A85796" w:rsidRDefault="00B6120B" w:rsidP="00B6120B">
      <w:pPr>
        <w:pStyle w:val="Heading1"/>
        <w:numPr>
          <w:ilvl w:val="1"/>
          <w:numId w:val="45"/>
        </w:numPr>
        <w:spacing w:before="240"/>
        <w:ind w:right="-108"/>
        <w:jc w:val="both"/>
        <w:rPr>
          <w:sz w:val="24"/>
        </w:rPr>
      </w:pPr>
      <w:r w:rsidRPr="00A85796">
        <w:rPr>
          <w:sz w:val="24"/>
        </w:rPr>
        <w:t>Общински бюджети</w:t>
      </w:r>
    </w:p>
    <w:p w:rsidR="00B6120B" w:rsidRPr="00A85796" w:rsidRDefault="00B6120B" w:rsidP="008562F6">
      <w:pPr>
        <w:numPr>
          <w:ilvl w:val="0"/>
          <w:numId w:val="8"/>
        </w:numPr>
        <w:tabs>
          <w:tab w:val="num" w:pos="540"/>
        </w:tabs>
        <w:spacing w:before="120" w:line="276" w:lineRule="auto"/>
        <w:ind w:left="714" w:hanging="147"/>
        <w:jc w:val="both"/>
        <w:rPr>
          <w:b/>
        </w:rPr>
      </w:pPr>
      <w:r w:rsidRPr="00A85796">
        <w:rPr>
          <w:b/>
        </w:rPr>
        <w:t>Приходи</w:t>
      </w:r>
    </w:p>
    <w:p w:rsidR="00B6120B" w:rsidRPr="002D6C01" w:rsidRDefault="00B6120B" w:rsidP="00B6120B">
      <w:pPr>
        <w:tabs>
          <w:tab w:val="center" w:pos="4153"/>
          <w:tab w:val="right" w:pos="8306"/>
        </w:tabs>
        <w:jc w:val="both"/>
      </w:pPr>
      <w:r w:rsidRPr="00A85796">
        <w:t xml:space="preserve">Собствените приходи по бюджетите на общините към 31.03.2021 г. са в размер на </w:t>
      </w:r>
      <w:r w:rsidRPr="00D40081">
        <w:t>682</w:t>
      </w:r>
      <w:r w:rsidRPr="00A85796">
        <w:t>,</w:t>
      </w:r>
      <w:r w:rsidRPr="00D40081">
        <w:t>6</w:t>
      </w:r>
      <w:r w:rsidRPr="00A85796">
        <w:rPr>
          <w:bCs/>
        </w:rPr>
        <w:t> м</w:t>
      </w:r>
      <w:r w:rsidRPr="00A85796">
        <w:t>лн. лв., което представлява 2</w:t>
      </w:r>
      <w:r w:rsidRPr="00D40081">
        <w:t>6</w:t>
      </w:r>
      <w:r w:rsidRPr="00A85796">
        <w:t>,</w:t>
      </w:r>
      <w:r w:rsidRPr="00D40081">
        <w:t>2</w:t>
      </w:r>
      <w:r w:rsidRPr="00A85796">
        <w:t xml:space="preserve"> % от разчетените към ЗДБРБ за 2021 г. постъпления в размер на </w:t>
      </w:r>
      <w:r w:rsidRPr="00A85796">
        <w:rPr>
          <w:bCs/>
        </w:rPr>
        <w:t xml:space="preserve">2 </w:t>
      </w:r>
      <w:r w:rsidRPr="00D40081">
        <w:rPr>
          <w:bCs/>
        </w:rPr>
        <w:t>605</w:t>
      </w:r>
      <w:r w:rsidRPr="00A85796">
        <w:rPr>
          <w:bCs/>
        </w:rPr>
        <w:t>,</w:t>
      </w:r>
      <w:r w:rsidRPr="00D40081">
        <w:rPr>
          <w:bCs/>
        </w:rPr>
        <w:t>0</w:t>
      </w:r>
      <w:r w:rsidRPr="00A85796">
        <w:t xml:space="preserve"> млн. лева и със </w:t>
      </w:r>
      <w:r>
        <w:t>12</w:t>
      </w:r>
      <w:r w:rsidRPr="00D40081">
        <w:t>7</w:t>
      </w:r>
      <w:r>
        <w:t>,</w:t>
      </w:r>
      <w:r w:rsidRPr="00D40081">
        <w:t>9</w:t>
      </w:r>
      <w:r w:rsidRPr="00A85796">
        <w:t xml:space="preserve"> млн. лв. повече спрямо събраните за същия период през 2020 г., което </w:t>
      </w:r>
      <w:r w:rsidRPr="002D6C01">
        <w:t>до голяма степен се дължи на</w:t>
      </w:r>
      <w:r w:rsidRPr="002D6C01">
        <w:rPr>
          <w:rFonts w:eastAsia="Calibri"/>
          <w:bCs/>
        </w:rPr>
        <w:t xml:space="preserve"> наложените през предходната година мерки</w:t>
      </w:r>
      <w:r w:rsidRPr="002D6C01">
        <w:t xml:space="preserve"> по време на </w:t>
      </w:r>
      <w:r w:rsidRPr="002D6C01">
        <w:rPr>
          <w:rFonts w:eastAsia="Calibri"/>
          <w:bCs/>
        </w:rPr>
        <w:t>обявеното извънредно положение, свързани с удължаване на срока за ползване на 5</w:t>
      </w:r>
      <w:r w:rsidR="0076489E">
        <w:rPr>
          <w:rFonts w:eastAsia="Calibri"/>
          <w:bCs/>
        </w:rPr>
        <w:t xml:space="preserve"> </w:t>
      </w:r>
      <w:r>
        <w:rPr>
          <w:rFonts w:eastAsia="Calibri"/>
          <w:bCs/>
        </w:rPr>
        <w:t>%</w:t>
      </w:r>
      <w:r w:rsidRPr="002D6C01">
        <w:rPr>
          <w:rFonts w:eastAsia="Calibri"/>
          <w:bCs/>
        </w:rPr>
        <w:t xml:space="preserve"> отстъпка при предсрочно плащане на данъка за недвижимите имоти, данъка върху превозните средства и таксата за битови отпадъци, респ. изместване на традиционно най-силните месеци в събирането на тези приходи от март-април към юни 2020 г.</w:t>
      </w:r>
    </w:p>
    <w:p w:rsidR="00B6120B" w:rsidRPr="0097331E" w:rsidRDefault="00B6120B" w:rsidP="00B6120B">
      <w:pPr>
        <w:ind w:firstLine="567"/>
        <w:jc w:val="both"/>
      </w:pPr>
      <w:r w:rsidRPr="0097331E">
        <w:rPr>
          <w:i/>
        </w:rPr>
        <w:t>Данъчните приходи</w:t>
      </w:r>
      <w:r w:rsidRPr="0097331E">
        <w:t xml:space="preserve"> по общинските бюджети са в размер на 320,9 млн. лв. или 27,9 % от годишните разчети към ЗДБРБ за 2021 г. и с 27,3 % повече спрямо тези за същия период на предходната година. </w:t>
      </w:r>
      <w:r w:rsidRPr="0097331E">
        <w:rPr>
          <w:bCs/>
        </w:rPr>
        <w:t xml:space="preserve">От </w:t>
      </w:r>
      <w:r w:rsidRPr="0097331E">
        <w:rPr>
          <w:bCs/>
          <w:i/>
        </w:rPr>
        <w:t>имуществени данъци по Закона за местните данъци и такси</w:t>
      </w:r>
      <w:r w:rsidRPr="0097331E">
        <w:rPr>
          <w:bCs/>
        </w:rPr>
        <w:t xml:space="preserve"> в местните бюджети към 31 март 2021 г. са постъпили общо 316,3 млн. лв., което представлява 28,0 % от годишния разчет. С най-значителен дял в приходите от имуществени данъци са данъкът върху превозните средства – 38,9 % и данъкът върху недвижимите имоти – 32,6 %, следват данъкът върху придобиване на имущество по дарения и възмезден начин – 27,9</w:t>
      </w:r>
      <w:r w:rsidRPr="0097331E">
        <w:rPr>
          <w:bCs/>
          <w:lang w:val="en-US"/>
        </w:rPr>
        <w:t> </w:t>
      </w:r>
      <w:r w:rsidRPr="0097331E">
        <w:rPr>
          <w:bCs/>
        </w:rPr>
        <w:t>% и туристически данък – 0,6 %.</w:t>
      </w:r>
      <w:r w:rsidRPr="0097331E">
        <w:t xml:space="preserve"> През отчетния период по бюджетите на общините са постъпили 4,6 млн. лв. от </w:t>
      </w:r>
      <w:r w:rsidRPr="0097331E">
        <w:rPr>
          <w:i/>
        </w:rPr>
        <w:t>патентен данък и данък върху таксиметров превоз на пътници</w:t>
      </w:r>
      <w:r w:rsidRPr="0097331E">
        <w:t xml:space="preserve"> (22,0 % от годишния разчет). </w:t>
      </w:r>
    </w:p>
    <w:p w:rsidR="00B6120B" w:rsidRPr="006D5D56" w:rsidRDefault="00B6120B" w:rsidP="00B6120B">
      <w:pPr>
        <w:ind w:firstLine="567"/>
        <w:jc w:val="both"/>
        <w:rPr>
          <w:color w:val="4F81BD" w:themeColor="accent1"/>
        </w:rPr>
      </w:pPr>
      <w:r w:rsidRPr="0097331E">
        <w:t xml:space="preserve">Общият размер на </w:t>
      </w:r>
      <w:r w:rsidRPr="0097331E">
        <w:rPr>
          <w:i/>
        </w:rPr>
        <w:t>неданъчните приходи</w:t>
      </w:r>
      <w:r w:rsidRPr="0097331E">
        <w:t xml:space="preserve"> по местните бюджети към 31 март 2021 г. е 358,4 млн. лв. или 25,1 % от разчетите към ЗДБРБ за 2021 г. Най-голям относителен дял заемат приходите от общински такси, които възлизат на 239,3 млн. лв. (26,8 % от разчетените за годината), следват приходите и доходите от собственост – 61,6 млн. лв. (19,1 % от разчетените за 2021 г.), постъпленията от продажба на нефин</w:t>
      </w:r>
      <w:r w:rsidRPr="00994572">
        <w:t>ансови активи – 26,4 млн. лв. (21,6 % от разчета за годината), приходите от концесии - 22,9 млн. лв. (50,8 % от разчета за 2021</w:t>
      </w:r>
      <w:r>
        <w:t xml:space="preserve"> г.) </w:t>
      </w:r>
      <w:r w:rsidRPr="00994572">
        <w:t>и постъпленията от глоби, санкции и наказателни лихви – 18,4 млн. лв. (22,4 % от планираните).</w:t>
      </w:r>
    </w:p>
    <w:p w:rsidR="00B6120B" w:rsidRPr="006D5D56" w:rsidRDefault="00B6120B" w:rsidP="00B6120B">
      <w:pPr>
        <w:ind w:firstLine="567"/>
        <w:jc w:val="both"/>
        <w:rPr>
          <w:color w:val="4F81BD" w:themeColor="accent1"/>
        </w:rPr>
      </w:pPr>
      <w:r w:rsidRPr="00994572">
        <w:t xml:space="preserve">През отчетния период по общинските бюджети са постъпили 3,3 млн. лв. приходи от </w:t>
      </w:r>
      <w:r w:rsidRPr="00994572">
        <w:rPr>
          <w:i/>
        </w:rPr>
        <w:t>помощи и дарения</w:t>
      </w:r>
      <w:r w:rsidRPr="00994572">
        <w:t xml:space="preserve">, което е 12,6 % от разчетените за годината 26,1 млн. лева. </w:t>
      </w:r>
    </w:p>
    <w:p w:rsidR="00B6120B" w:rsidRPr="00994572" w:rsidRDefault="00B6120B" w:rsidP="00B6120B">
      <w:pPr>
        <w:numPr>
          <w:ilvl w:val="0"/>
          <w:numId w:val="8"/>
        </w:numPr>
        <w:tabs>
          <w:tab w:val="num" w:pos="540"/>
        </w:tabs>
        <w:spacing w:before="240" w:line="276" w:lineRule="auto"/>
        <w:ind w:left="714" w:hanging="147"/>
        <w:jc w:val="both"/>
        <w:rPr>
          <w:b/>
        </w:rPr>
      </w:pPr>
      <w:r w:rsidRPr="00994572">
        <w:rPr>
          <w:b/>
        </w:rPr>
        <w:t>Разходи</w:t>
      </w:r>
    </w:p>
    <w:p w:rsidR="00B6120B" w:rsidRPr="006D5D56" w:rsidRDefault="00B6120B" w:rsidP="00B6120B">
      <w:pPr>
        <w:ind w:firstLine="567"/>
        <w:jc w:val="both"/>
        <w:rPr>
          <w:color w:val="4F81BD" w:themeColor="accent1"/>
        </w:rPr>
      </w:pPr>
      <w:r w:rsidRPr="00994572">
        <w:t>Към 31.03.2021 г. общините са отчели общо разходи в размер на 1</w:t>
      </w:r>
      <w:r w:rsidRPr="00994572">
        <w:rPr>
          <w:lang w:val="en-US"/>
        </w:rPr>
        <w:t> </w:t>
      </w:r>
      <w:r w:rsidRPr="00994572">
        <w:t>720,2 млн. лв., които представляват 22,7</w:t>
      </w:r>
      <w:r w:rsidR="00813038" w:rsidRPr="00D40081">
        <w:t xml:space="preserve"> </w:t>
      </w:r>
      <w:r w:rsidRPr="00994572">
        <w:t>% спрямо разчетите по ЗДБРБ за 2021 година.</w:t>
      </w:r>
    </w:p>
    <w:p w:rsidR="00B6120B" w:rsidRPr="00E71CD6" w:rsidRDefault="00B6120B" w:rsidP="00B6120B">
      <w:pPr>
        <w:ind w:firstLine="567"/>
        <w:jc w:val="both"/>
      </w:pPr>
      <w:r w:rsidRPr="00994572">
        <w:rPr>
          <w:i/>
        </w:rPr>
        <w:t>Нелихвените разходи</w:t>
      </w:r>
      <w:r w:rsidRPr="00994572">
        <w:t xml:space="preserve"> </w:t>
      </w:r>
      <w:r w:rsidRPr="00E71CD6">
        <w:t>възлизат на 1 713,0 млн. лв. или 22,7 % от годишния разчет. Разходите за персонал (</w:t>
      </w:r>
      <w:r w:rsidRPr="00E71CD6">
        <w:rPr>
          <w:bCs/>
        </w:rPr>
        <w:t>заплати и възнаграждения, други възнаграждения и плащания за персонала и осигурителни вноски)</w:t>
      </w:r>
      <w:r w:rsidRPr="00E71CD6">
        <w:t xml:space="preserve"> са в размер на 1 013,7 млн. лв. или 22,6 % от планираните за 2021 г. Разходите за издръжка </w:t>
      </w:r>
      <w:r w:rsidRPr="00E71CD6">
        <w:rPr>
          <w:bCs/>
        </w:rPr>
        <w:t>(вкл. разходи за членски внос и участие в нетърговски организации и дейности, платени данъци, такси и административни санкции)</w:t>
      </w:r>
      <w:r w:rsidRPr="00E71CD6">
        <w:t xml:space="preserve"> са в размер на</w:t>
      </w:r>
      <w:r w:rsidRPr="00E71CD6">
        <w:rPr>
          <w:lang w:val="en-US"/>
        </w:rPr>
        <w:t> </w:t>
      </w:r>
      <w:r w:rsidRPr="00E71CD6">
        <w:t xml:space="preserve">466,2 млн. лв., 26,6 % от годишния разчет. Разходите за субсидии са в размер на </w:t>
      </w:r>
      <w:r>
        <w:t>66,7 млн. лева (</w:t>
      </w:r>
      <w:r w:rsidRPr="00D40081">
        <w:t>41</w:t>
      </w:r>
      <w:r>
        <w:t>,</w:t>
      </w:r>
      <w:r w:rsidRPr="00D40081">
        <w:t>9</w:t>
      </w:r>
      <w:r w:rsidRPr="00E71CD6">
        <w:t xml:space="preserve"> % от годишния разчет).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w:t>
      </w:r>
      <w:r w:rsidRPr="00E71CD6">
        <w:lastRenderedPageBreak/>
        <w:t xml:space="preserve">субсидии по реда на Закона за физкултурата и спорта за подпомагане дейността на спортните клубове в общините (отчитат се в местните дейности). </w:t>
      </w:r>
      <w:r w:rsidRPr="00E71CD6">
        <w:rPr>
          <w:bCs/>
        </w:rPr>
        <w:t>Социалните разходи (</w:t>
      </w:r>
      <w:r w:rsidRPr="00E71CD6">
        <w:t xml:space="preserve">текущи трансфери, обезщетения и помощи за домакинствата, </w:t>
      </w:r>
      <w:r w:rsidRPr="00E71CD6">
        <w:rPr>
          <w:bCs/>
        </w:rPr>
        <w:t>вкл. разходите за стипендии)</w:t>
      </w:r>
      <w:r w:rsidRPr="00E71CD6">
        <w:t xml:space="preserve"> са в размер на 40,1 млн. лв., което е 30,4 % от разчетите към ЗДБРБ за 2021 година.  </w:t>
      </w:r>
    </w:p>
    <w:p w:rsidR="00B6120B" w:rsidRPr="00E71CD6" w:rsidRDefault="00B6120B" w:rsidP="00B6120B">
      <w:pPr>
        <w:ind w:firstLine="567"/>
      </w:pPr>
      <w:r w:rsidRPr="00E71CD6">
        <w:t>Капиталовите разходи са в размер на 126,3 млн. лв. или 12,4 % от разчетите към ЗДБРБ за 2021 година.</w:t>
      </w:r>
    </w:p>
    <w:p w:rsidR="00B6120B" w:rsidRPr="006D5D56" w:rsidRDefault="00B6120B" w:rsidP="00B6120B">
      <w:pPr>
        <w:ind w:firstLine="567"/>
        <w:jc w:val="both"/>
        <w:rPr>
          <w:color w:val="4F81BD" w:themeColor="accent1"/>
        </w:rPr>
      </w:pPr>
      <w:r w:rsidRPr="00E71CD6">
        <w:rPr>
          <w:i/>
        </w:rPr>
        <w:t>Разходите за лихви</w:t>
      </w:r>
      <w:r w:rsidRPr="00E71CD6">
        <w:t xml:space="preserve"> възлизат на 7,1 млн. лв. и са 20,6 % от разчета за 2021 г. </w:t>
      </w:r>
      <w:r w:rsidRPr="00565469">
        <w:t>Лихвените плащания по заеми от чужбина са в размер на 3,2</w:t>
      </w:r>
      <w:r>
        <w:t xml:space="preserve"> млн. лв. П</w:t>
      </w:r>
      <w:r w:rsidRPr="00565469">
        <w:t>о облигационни заеми</w:t>
      </w:r>
      <w:r>
        <w:t xml:space="preserve"> платените лихви са</w:t>
      </w:r>
      <w:r w:rsidRPr="00565469">
        <w:t xml:space="preserve"> 0,4 млн. лв., </w:t>
      </w:r>
      <w:r>
        <w:t xml:space="preserve">а </w:t>
      </w:r>
      <w:r w:rsidRPr="00565469">
        <w:t>по други вътрешни заеми</w:t>
      </w:r>
      <w:r>
        <w:t xml:space="preserve"> към местни лица</w:t>
      </w:r>
      <w:r w:rsidRPr="00565469">
        <w:t xml:space="preserve"> (банкови, заеми към „ФЛАГ“ ЕАД и др.) са 2,9 млн. </w:t>
      </w:r>
      <w:r>
        <w:t xml:space="preserve">лв. Отчетените </w:t>
      </w:r>
      <w:r w:rsidRPr="00565469">
        <w:t>други лихвени плащания (по изпълнителни листове, за забавено изпълнение по сключени договори и др.) са в размер на 0,6 млн. лева.</w:t>
      </w:r>
    </w:p>
    <w:p w:rsidR="00B6120B" w:rsidRPr="00565469" w:rsidRDefault="00B6120B" w:rsidP="00B6120B">
      <w:pPr>
        <w:tabs>
          <w:tab w:val="center" w:pos="4153"/>
          <w:tab w:val="right" w:pos="8306"/>
        </w:tabs>
        <w:ind w:firstLine="567"/>
        <w:jc w:val="both"/>
      </w:pPr>
      <w:r w:rsidRPr="00565469">
        <w:t>Общият размер на отчетените разходи за дофинансиране на делегираните от държавата дейности с местни приходи е 38,9 млн. лева.</w:t>
      </w:r>
    </w:p>
    <w:p w:rsidR="00B6120B" w:rsidRPr="006D5D56" w:rsidRDefault="00B6120B" w:rsidP="00B6120B">
      <w:pPr>
        <w:tabs>
          <w:tab w:val="center" w:pos="4153"/>
          <w:tab w:val="right" w:pos="8306"/>
        </w:tabs>
        <w:jc w:val="both"/>
        <w:rPr>
          <w:rFonts w:eastAsia="Calibri"/>
          <w:color w:val="4F81BD" w:themeColor="accent1"/>
          <w:sz w:val="8"/>
        </w:rPr>
      </w:pPr>
    </w:p>
    <w:p w:rsidR="00B6120B" w:rsidRPr="00847947" w:rsidRDefault="00B6120B" w:rsidP="00B6120B">
      <w:pPr>
        <w:numPr>
          <w:ilvl w:val="0"/>
          <w:numId w:val="8"/>
        </w:numPr>
        <w:tabs>
          <w:tab w:val="num" w:pos="540"/>
        </w:tabs>
        <w:spacing w:before="120" w:line="276" w:lineRule="auto"/>
        <w:ind w:left="714" w:hanging="147"/>
        <w:jc w:val="both"/>
        <w:rPr>
          <w:b/>
        </w:rPr>
      </w:pPr>
      <w:r w:rsidRPr="00847947">
        <w:rPr>
          <w:b/>
        </w:rPr>
        <w:t>Финансиране</w:t>
      </w:r>
    </w:p>
    <w:p w:rsidR="00B6120B" w:rsidRPr="00847947" w:rsidRDefault="00B6120B" w:rsidP="00B6120B">
      <w:pPr>
        <w:ind w:firstLine="567"/>
        <w:jc w:val="both"/>
      </w:pPr>
      <w:r w:rsidRPr="00847947">
        <w:t xml:space="preserve">Към 31.03.2021 г. по общинските бюджети са </w:t>
      </w:r>
      <w:r w:rsidRPr="00847947">
        <w:rPr>
          <w:i/>
        </w:rPr>
        <w:t>получени</w:t>
      </w:r>
      <w:r w:rsidRPr="00847947">
        <w:t xml:space="preserve"> заемни средства от договори с чуждестранни кредитори в размер на 0,5 млн. лв. Изплатените </w:t>
      </w:r>
      <w:r w:rsidRPr="00847947">
        <w:rPr>
          <w:i/>
        </w:rPr>
        <w:t>погашения по заеми</w:t>
      </w:r>
      <w:r w:rsidRPr="00847947">
        <w:t xml:space="preserve"> от чужбина са в размер на 8,7 млн. лева. </w:t>
      </w:r>
    </w:p>
    <w:p w:rsidR="00B6120B" w:rsidRPr="006D5D56" w:rsidRDefault="00B6120B" w:rsidP="00B6120B">
      <w:pPr>
        <w:ind w:firstLine="567"/>
        <w:jc w:val="both"/>
        <w:rPr>
          <w:color w:val="4F81BD" w:themeColor="accent1"/>
        </w:rPr>
      </w:pPr>
      <w:r w:rsidRPr="00847947">
        <w:t>От банки в страната получените заемни средства са в размер на 9,3 млн. лв., а от други местни лица (ФЛАГ ЕАД, Фонд „Енергийна ефективност и възобновяеми източници“ и др.) общините са получили заеми в размер на 21,2 млн. лв. или общо получените заемни средства са 30,5 млн. лв. Изплатените погашения  по банкови заеми от страната са 17,7 млн. лв., а по заеми от други лица са 31,6 млн. лв. или общо платените главници са в размер на 49,3 млн. лв.</w:t>
      </w:r>
    </w:p>
    <w:p w:rsidR="00B6120B" w:rsidRPr="00847947" w:rsidRDefault="00B6120B" w:rsidP="00B6120B">
      <w:pPr>
        <w:ind w:firstLine="567"/>
        <w:jc w:val="both"/>
      </w:pPr>
      <w:r w:rsidRPr="00847947">
        <w:t>Погашенията по емитирани през предходни периоди общински ценни книжа са в размер на 3,0 млн. лв. и са отчетени от 5 общини. За отчетния период няма емитиран нов дълг.</w:t>
      </w:r>
    </w:p>
    <w:p w:rsidR="00B6120B" w:rsidRPr="00C92C50" w:rsidRDefault="00B6120B" w:rsidP="00B6120B">
      <w:pPr>
        <w:ind w:firstLine="567"/>
        <w:jc w:val="both"/>
      </w:pPr>
      <w:r w:rsidRPr="00C92C50">
        <w:t xml:space="preserve">Другото финансиране /нето/ по общинските бюджети към 31.03.2021 г. е 41,0 млн. лв., като съществена част от него представлява отчетените операции по Закона за управление на отпадъците. Нетният размер на задълженията и погашенията по финансов лизинг и търговски кредити като форми на дълг е в размер на (-0,3) млн. лева. </w:t>
      </w:r>
    </w:p>
    <w:p w:rsidR="00B6120B" w:rsidRPr="00C92C50" w:rsidRDefault="00B6120B" w:rsidP="00B6120B">
      <w:pPr>
        <w:ind w:firstLine="708"/>
        <w:jc w:val="both"/>
      </w:pPr>
      <w:r w:rsidRPr="00C92C50">
        <w:t xml:space="preserve">Нетният размер на събраните средства и извършени плащания от общините за сметка на други бюджети, сметки и фондове е в размер на </w:t>
      </w:r>
      <w:r w:rsidRPr="00D40081">
        <w:t>(-6</w:t>
      </w:r>
      <w:r w:rsidRPr="00C92C50">
        <w:t>,</w:t>
      </w:r>
      <w:r w:rsidRPr="00D40081">
        <w:t>3)</w:t>
      </w:r>
      <w:r w:rsidRPr="00C92C50">
        <w:t xml:space="preserve"> млн. лв.</w:t>
      </w:r>
    </w:p>
    <w:p w:rsidR="00B6120B" w:rsidRPr="00D40081" w:rsidRDefault="00B6120B" w:rsidP="00B6120B">
      <w:pPr>
        <w:ind w:firstLine="720"/>
        <w:jc w:val="both"/>
        <w:rPr>
          <w:lang w:eastAsia="bg-BG"/>
        </w:rPr>
      </w:pPr>
      <w:r w:rsidRPr="00C92C50">
        <w:rPr>
          <w:lang w:eastAsia="bg-BG"/>
        </w:rPr>
        <w:t>Към 31.03.2021 г. отчетеният от общините нетен размер на операциите по придобиване на дялове, акции и съучастия е в размер на (-0,</w:t>
      </w:r>
      <w:r w:rsidRPr="00D40081">
        <w:rPr>
          <w:lang w:eastAsia="bg-BG"/>
        </w:rPr>
        <w:t>9</w:t>
      </w:r>
      <w:r>
        <w:rPr>
          <w:lang w:eastAsia="bg-BG"/>
        </w:rPr>
        <w:t>) млн. лв.</w:t>
      </w:r>
    </w:p>
    <w:p w:rsidR="00B6120B" w:rsidRDefault="00B6120B" w:rsidP="00B6120B">
      <w:pPr>
        <w:ind w:firstLine="720"/>
        <w:jc w:val="both"/>
        <w:rPr>
          <w:color w:val="4F81BD" w:themeColor="accent1"/>
          <w:lang w:eastAsia="bg-BG"/>
        </w:rPr>
      </w:pPr>
      <w:r>
        <w:rPr>
          <w:lang w:eastAsia="bg-BG"/>
        </w:rPr>
        <w:t xml:space="preserve">Събраните по общинските бюджети средства от приватизация на дялове, акции и участия за периода са 0,2 млн. лв. </w:t>
      </w:r>
      <w:r w:rsidRPr="00C92C50">
        <w:rPr>
          <w:color w:val="4F81BD" w:themeColor="accent1"/>
          <w:lang w:eastAsia="bg-BG"/>
        </w:rPr>
        <w:t xml:space="preserve"> </w:t>
      </w:r>
    </w:p>
    <w:p w:rsidR="00B6120B" w:rsidRPr="00C92C50" w:rsidRDefault="00B6120B" w:rsidP="00B6120B">
      <w:pPr>
        <w:ind w:firstLine="720"/>
        <w:jc w:val="both"/>
        <w:rPr>
          <w:lang w:eastAsia="bg-BG"/>
        </w:rPr>
      </w:pPr>
      <w:r w:rsidRPr="00C92C50">
        <w:rPr>
          <w:lang w:eastAsia="bg-BG"/>
        </w:rPr>
        <w:t xml:space="preserve">Отчетеният нетен размер на възмездната финансова помощ и предоставените кредити е (-0,9) млн. лв. </w:t>
      </w:r>
    </w:p>
    <w:p w:rsidR="00B6120B" w:rsidRPr="00C92C50" w:rsidRDefault="00B6120B" w:rsidP="00B6120B">
      <w:pPr>
        <w:ind w:firstLine="720"/>
        <w:jc w:val="both"/>
        <w:rPr>
          <w:lang w:eastAsia="bg-BG"/>
        </w:rPr>
      </w:pPr>
      <w:r w:rsidRPr="00C92C50">
        <w:rPr>
          <w:lang w:eastAsia="bg-BG"/>
        </w:rPr>
        <w:t>Общините приключиха края на първо тримесечие на 2021 г. с бюджетни наличности (по банкови сметки и в каса) в размер на 1 912,9 млн. лв., като 822,1 млн. лв. (43,0 %) са отчетени като остатък в делегираните от държавата дейности.</w:t>
      </w:r>
    </w:p>
    <w:p w:rsidR="002C4D33" w:rsidRPr="006D5D56" w:rsidRDefault="002C4D33" w:rsidP="00FD362E">
      <w:pPr>
        <w:pStyle w:val="BodyText"/>
        <w:spacing w:after="120"/>
        <w:ind w:firstLine="567"/>
        <w:rPr>
          <w:color w:val="4F81BD" w:themeColor="accent1"/>
          <w:sz w:val="18"/>
          <w:szCs w:val="12"/>
        </w:rPr>
      </w:pPr>
    </w:p>
    <w:p w:rsidR="007C1025" w:rsidRPr="007C1025" w:rsidRDefault="007C1025" w:rsidP="007C1025">
      <w:pPr>
        <w:pStyle w:val="Heading1"/>
        <w:numPr>
          <w:ilvl w:val="1"/>
          <w:numId w:val="45"/>
        </w:numPr>
        <w:spacing w:after="120"/>
        <w:ind w:right="-108"/>
        <w:jc w:val="both"/>
        <w:rPr>
          <w:sz w:val="24"/>
        </w:rPr>
      </w:pPr>
      <w:r w:rsidRPr="007C1025">
        <w:rPr>
          <w:sz w:val="24"/>
        </w:rPr>
        <w:t>Бюджети на Българската национална телевизия (БНТ), Българското национално радио (БНР) и Българската телеграфна агенция (БТА)</w:t>
      </w:r>
    </w:p>
    <w:p w:rsidR="007C1025" w:rsidRDefault="007C1025" w:rsidP="007C1025">
      <w:pPr>
        <w:spacing w:before="240"/>
        <w:ind w:firstLine="567"/>
        <w:jc w:val="both"/>
        <w:rPr>
          <w:szCs w:val="20"/>
        </w:rPr>
      </w:pPr>
      <w:r w:rsidRPr="004334B2">
        <w:rPr>
          <w:b/>
        </w:rPr>
        <w:t>Приходите на БНТ</w:t>
      </w:r>
      <w:r w:rsidRPr="004334B2">
        <w:t xml:space="preserve"> към 31.03.2021 г. са в размер на 2,8 млн. лв. при планирани за годината 7,5 млн. лв. или за отчетния период са постъпили 36,7 % от планираните за годината. </w:t>
      </w:r>
      <w:r w:rsidRPr="004334B2">
        <w:rPr>
          <w:szCs w:val="20"/>
        </w:rPr>
        <w:t xml:space="preserve">Отчетените неданъчни приходи са постъпления от продажба на услуги, стоки и продукция </w:t>
      </w:r>
      <w:r w:rsidRPr="00D40081">
        <w:rPr>
          <w:szCs w:val="20"/>
        </w:rPr>
        <w:t>(</w:t>
      </w:r>
      <w:r w:rsidRPr="004334B2">
        <w:rPr>
          <w:szCs w:val="20"/>
        </w:rPr>
        <w:t>реклама, спонсорство, технически услуги, почивно дело, продажба на програми</w:t>
      </w:r>
      <w:r w:rsidRPr="00D40081">
        <w:rPr>
          <w:szCs w:val="20"/>
        </w:rPr>
        <w:t>)</w:t>
      </w:r>
      <w:r w:rsidRPr="004334B2">
        <w:rPr>
          <w:szCs w:val="20"/>
        </w:rPr>
        <w:t xml:space="preserve"> и</w:t>
      </w:r>
      <w:r w:rsidRPr="004334B2">
        <w:rPr>
          <w:b/>
          <w:szCs w:val="20"/>
        </w:rPr>
        <w:t xml:space="preserve"> </w:t>
      </w:r>
      <w:r w:rsidRPr="004334B2">
        <w:rPr>
          <w:szCs w:val="20"/>
        </w:rPr>
        <w:t>наеми на имущество.</w:t>
      </w:r>
    </w:p>
    <w:p w:rsidR="007C1025" w:rsidRPr="004334B2" w:rsidRDefault="007C1025" w:rsidP="00557071">
      <w:pPr>
        <w:ind w:firstLine="567"/>
        <w:jc w:val="both"/>
      </w:pPr>
      <w:r w:rsidRPr="004334B2">
        <w:t xml:space="preserve">Отчетените </w:t>
      </w:r>
      <w:r w:rsidRPr="004334B2">
        <w:rPr>
          <w:b/>
        </w:rPr>
        <w:t>разходи</w:t>
      </w:r>
      <w:r w:rsidRPr="004334B2">
        <w:t xml:space="preserve"> </w:t>
      </w:r>
      <w:r w:rsidRPr="004334B2">
        <w:rPr>
          <w:b/>
        </w:rPr>
        <w:t>на БНТ</w:t>
      </w:r>
      <w:r w:rsidRPr="004334B2">
        <w:t xml:space="preserve"> към 31.03.2021 г. са в размер на 19,6 млн. лв. или 21,6 % от предвидените разходи в годишния разчет. </w:t>
      </w:r>
      <w:r w:rsidRPr="004334B2">
        <w:rPr>
          <w:szCs w:val="20"/>
        </w:rPr>
        <w:t>За периода са отчетени 18,1 млн. лв. текущи разходи и 1,5 млн. лв. капиталови разходи. В разпределението на разходите по бюджета на обществената медия е включен преходния</w:t>
      </w:r>
      <w:r w:rsidR="00D40081">
        <w:rPr>
          <w:szCs w:val="20"/>
        </w:rPr>
        <w:t>т</w:t>
      </w:r>
      <w:r w:rsidRPr="004334B2">
        <w:rPr>
          <w:szCs w:val="20"/>
        </w:rPr>
        <w:t xml:space="preserve"> остатък за 2020 г. (съгл. чл. 70, ал. 6 от Закона за радиот</w:t>
      </w:r>
      <w:r>
        <w:rPr>
          <w:szCs w:val="20"/>
        </w:rPr>
        <w:t xml:space="preserve">о и телевизията) в размер на </w:t>
      </w:r>
      <w:r w:rsidRPr="00D40081">
        <w:rPr>
          <w:szCs w:val="20"/>
        </w:rPr>
        <w:t>1</w:t>
      </w:r>
      <w:r>
        <w:rPr>
          <w:szCs w:val="20"/>
        </w:rPr>
        <w:t>,</w:t>
      </w:r>
      <w:r w:rsidRPr="00D40081">
        <w:rPr>
          <w:szCs w:val="20"/>
        </w:rPr>
        <w:t>2</w:t>
      </w:r>
      <w:r w:rsidRPr="004334B2">
        <w:rPr>
          <w:szCs w:val="20"/>
        </w:rPr>
        <w:t xml:space="preserve"> млн. лв. За отчетния период  средствата са усвоени за </w:t>
      </w:r>
      <w:r w:rsidRPr="004334B2">
        <w:rPr>
          <w:szCs w:val="20"/>
        </w:rPr>
        <w:lastRenderedPageBreak/>
        <w:t xml:space="preserve">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7C1025" w:rsidRPr="004B54CE" w:rsidRDefault="007C1025" w:rsidP="007C1025">
      <w:pPr>
        <w:spacing w:line="276" w:lineRule="auto"/>
        <w:ind w:firstLine="567"/>
        <w:jc w:val="both"/>
        <w:rPr>
          <w:szCs w:val="20"/>
        </w:rPr>
      </w:pPr>
      <w:r w:rsidRPr="004334B2">
        <w:t xml:space="preserve">Общо утвърдените </w:t>
      </w:r>
      <w:r w:rsidRPr="004334B2">
        <w:rPr>
          <w:b/>
          <w:i/>
        </w:rPr>
        <w:t>бюджетни взаимоотношения на БНТ с централния бюджет</w:t>
      </w:r>
      <w:r w:rsidRPr="004334B2">
        <w:t xml:space="preserve"> за 2021 г. са в размер </w:t>
      </w:r>
      <w:r w:rsidRPr="004B54CE">
        <w:t xml:space="preserve">на </w:t>
      </w:r>
      <w:r w:rsidRPr="004B54CE">
        <w:rPr>
          <w:szCs w:val="20"/>
        </w:rPr>
        <w:t>82,3 млн. лв., съгласно чл. 48, т. 2 от ЗДБРБ за 2021 г.  За отчетния период е усвоена сума в размер на 20,2 млн. лв. или 24,6 % от размера на определените със ЗДБРБ за 2021 г. бюджетни взаимоотношения на БНТ с централния бюджет.</w:t>
      </w:r>
    </w:p>
    <w:p w:rsidR="007C1025" w:rsidRPr="004B54CE" w:rsidRDefault="007C1025" w:rsidP="007C1025">
      <w:pPr>
        <w:spacing w:before="240"/>
        <w:ind w:firstLine="567"/>
        <w:jc w:val="both"/>
      </w:pPr>
      <w:r w:rsidRPr="004B54CE">
        <w:rPr>
          <w:b/>
        </w:rPr>
        <w:t>Приходите по бюджета на БНР</w:t>
      </w:r>
      <w:r w:rsidRPr="004B54CE">
        <w:t xml:space="preserve"> към 31.03.2021 г. са в размер на 0,4 млн. лв., което представлява 21,1 % от планираните за годината 2,1 млн. лв.</w:t>
      </w:r>
      <w:r w:rsidRPr="004B54CE">
        <w:rPr>
          <w:szCs w:val="20"/>
        </w:rPr>
        <w:t xml:space="preserve">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издателска и лицензионна дейност и др.), наеми на имущество и др.</w:t>
      </w:r>
    </w:p>
    <w:p w:rsidR="007C1025" w:rsidRPr="006D5D56" w:rsidRDefault="007C1025" w:rsidP="007C1025">
      <w:pPr>
        <w:ind w:firstLine="567"/>
        <w:jc w:val="both"/>
        <w:rPr>
          <w:color w:val="4F81BD" w:themeColor="accent1"/>
          <w:szCs w:val="20"/>
        </w:rPr>
      </w:pPr>
      <w:r w:rsidRPr="004B54CE">
        <w:rPr>
          <w:szCs w:val="20"/>
        </w:rPr>
        <w:t xml:space="preserve">Изпълнението на </w:t>
      </w:r>
      <w:r w:rsidRPr="004B54CE">
        <w:rPr>
          <w:b/>
          <w:szCs w:val="20"/>
        </w:rPr>
        <w:t>разходите</w:t>
      </w:r>
      <w:r w:rsidRPr="004B54CE">
        <w:rPr>
          <w:szCs w:val="20"/>
        </w:rPr>
        <w:t xml:space="preserve"> </w:t>
      </w:r>
      <w:r w:rsidRPr="004B54CE">
        <w:rPr>
          <w:b/>
          <w:szCs w:val="20"/>
        </w:rPr>
        <w:t>по бюджета на</w:t>
      </w:r>
      <w:r w:rsidRPr="004B54CE">
        <w:rPr>
          <w:szCs w:val="20"/>
        </w:rPr>
        <w:t xml:space="preserve"> </w:t>
      </w:r>
      <w:r w:rsidRPr="004B54CE">
        <w:rPr>
          <w:b/>
          <w:szCs w:val="20"/>
        </w:rPr>
        <w:t xml:space="preserve">БНР </w:t>
      </w:r>
      <w:r w:rsidRPr="004B54CE">
        <w:rPr>
          <w:szCs w:val="20"/>
        </w:rPr>
        <w:t xml:space="preserve">възлиза на 11,7 млн. лв. или 20,7 % </w:t>
      </w:r>
      <w:r w:rsidRPr="004B54CE">
        <w:t xml:space="preserve">от годишния разчет по ЗДБРБ за 2021 г. </w:t>
      </w:r>
      <w:r w:rsidRPr="00DB6AEE">
        <w:rPr>
          <w:szCs w:val="20"/>
        </w:rPr>
        <w:t>За периода са отчетени 11,</w:t>
      </w:r>
      <w:r w:rsidRPr="00D40081">
        <w:rPr>
          <w:szCs w:val="20"/>
        </w:rPr>
        <w:t>5</w:t>
      </w:r>
      <w:r w:rsidRPr="00DB6AEE">
        <w:rPr>
          <w:szCs w:val="20"/>
        </w:rPr>
        <w:t xml:space="preserve"> млн. лв. текущи разходи и 0,</w:t>
      </w:r>
      <w:r w:rsidRPr="00D40081">
        <w:rPr>
          <w:szCs w:val="20"/>
        </w:rPr>
        <w:t>2</w:t>
      </w:r>
      <w:r w:rsidRPr="00DB6AEE">
        <w:rPr>
          <w:szCs w:val="20"/>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r w:rsidRPr="003448DA">
        <w:rPr>
          <w:szCs w:val="20"/>
        </w:rPr>
        <w:t>. В разпределението на разходите по бюджета на БНР е включен преходния</w:t>
      </w:r>
      <w:r w:rsidR="00D40081">
        <w:rPr>
          <w:szCs w:val="20"/>
        </w:rPr>
        <w:t>т</w:t>
      </w:r>
      <w:r w:rsidRPr="003448DA">
        <w:rPr>
          <w:szCs w:val="20"/>
        </w:rPr>
        <w:t xml:space="preserve"> остатък за 20</w:t>
      </w:r>
      <w:r w:rsidRPr="00D40081">
        <w:rPr>
          <w:szCs w:val="20"/>
        </w:rPr>
        <w:t>20</w:t>
      </w:r>
      <w:r w:rsidRPr="003448DA">
        <w:rPr>
          <w:szCs w:val="20"/>
        </w:rPr>
        <w:t xml:space="preserve"> г. (съгл. чл. 70, ал. 6 от Закона за радиото и телевизията) в размер на 0,</w:t>
      </w:r>
      <w:r w:rsidRPr="00D40081">
        <w:rPr>
          <w:szCs w:val="20"/>
        </w:rPr>
        <w:t>4</w:t>
      </w:r>
      <w:r w:rsidRPr="003448DA">
        <w:rPr>
          <w:szCs w:val="20"/>
        </w:rPr>
        <w:t xml:space="preserve"> млн. лева. </w:t>
      </w:r>
    </w:p>
    <w:p w:rsidR="007C1025" w:rsidRPr="006D5D56" w:rsidRDefault="007C1025" w:rsidP="007C1025">
      <w:pPr>
        <w:ind w:firstLine="567"/>
        <w:jc w:val="both"/>
        <w:rPr>
          <w:color w:val="4F81BD" w:themeColor="accent1"/>
          <w:szCs w:val="20"/>
        </w:rPr>
      </w:pPr>
      <w:r w:rsidRPr="00DB6AEE">
        <w:t>Общо утвърдените</w:t>
      </w:r>
      <w:r w:rsidRPr="00DB6AEE">
        <w:rPr>
          <w:b/>
        </w:rPr>
        <w:t xml:space="preserve"> </w:t>
      </w:r>
      <w:r w:rsidRPr="00DB6AEE">
        <w:rPr>
          <w:b/>
          <w:i/>
          <w:szCs w:val="20"/>
        </w:rPr>
        <w:t>бюджетни взаимоотношения на БНР с централния бюджет</w:t>
      </w:r>
      <w:r w:rsidRPr="00DB6AEE">
        <w:rPr>
          <w:szCs w:val="20"/>
        </w:rPr>
        <w:t xml:space="preserve"> за 2021 г. са в размер на </w:t>
      </w:r>
      <w:r w:rsidRPr="00D40081">
        <w:rPr>
          <w:szCs w:val="20"/>
        </w:rPr>
        <w:t>54</w:t>
      </w:r>
      <w:r w:rsidRPr="00DB6AEE">
        <w:rPr>
          <w:szCs w:val="20"/>
        </w:rPr>
        <w:t>,</w:t>
      </w:r>
      <w:r w:rsidRPr="00D40081">
        <w:rPr>
          <w:szCs w:val="20"/>
        </w:rPr>
        <w:t>1</w:t>
      </w:r>
      <w:r w:rsidRPr="00DB6AEE">
        <w:rPr>
          <w:szCs w:val="20"/>
        </w:rPr>
        <w:t xml:space="preserve"> млн. лв., съгласно чл. 48, т. 1 от ЗДБРБ за 2021 г.  За отчетни</w:t>
      </w:r>
      <w:r w:rsidRPr="00224A7E">
        <w:rPr>
          <w:szCs w:val="20"/>
        </w:rPr>
        <w:t xml:space="preserve">я период е усвоена сума в размер на </w:t>
      </w:r>
      <w:r w:rsidRPr="00D40081">
        <w:rPr>
          <w:szCs w:val="20"/>
        </w:rPr>
        <w:t>14</w:t>
      </w:r>
      <w:r w:rsidRPr="00224A7E">
        <w:rPr>
          <w:szCs w:val="20"/>
        </w:rPr>
        <w:t>,</w:t>
      </w:r>
      <w:r w:rsidRPr="00D40081">
        <w:rPr>
          <w:szCs w:val="20"/>
        </w:rPr>
        <w:t>0</w:t>
      </w:r>
      <w:r w:rsidRPr="00224A7E">
        <w:rPr>
          <w:szCs w:val="20"/>
        </w:rPr>
        <w:t xml:space="preserve"> млн. лв. или 2</w:t>
      </w:r>
      <w:r w:rsidRPr="00D40081">
        <w:rPr>
          <w:szCs w:val="20"/>
        </w:rPr>
        <w:t>5</w:t>
      </w:r>
      <w:r w:rsidRPr="00224A7E">
        <w:rPr>
          <w:szCs w:val="20"/>
        </w:rPr>
        <w:t>,9</w:t>
      </w:r>
      <w:r w:rsidR="00D40081">
        <w:rPr>
          <w:szCs w:val="20"/>
        </w:rPr>
        <w:t xml:space="preserve"> </w:t>
      </w:r>
      <w:r w:rsidRPr="00224A7E">
        <w:rPr>
          <w:szCs w:val="20"/>
        </w:rPr>
        <w:t>% от размера на определените със ЗДБРБ за 2021 г. бюджетни взаимоотношения на БНР с централния бюджет.</w:t>
      </w:r>
    </w:p>
    <w:p w:rsidR="007C1025" w:rsidRPr="00D40081" w:rsidRDefault="007C1025" w:rsidP="007C1025">
      <w:pPr>
        <w:spacing w:before="240"/>
        <w:ind w:firstLine="567"/>
        <w:jc w:val="both"/>
        <w:rPr>
          <w:b/>
          <w:color w:val="4F81BD" w:themeColor="accent1"/>
          <w:szCs w:val="20"/>
        </w:rPr>
      </w:pPr>
      <w:r w:rsidRPr="004F0361">
        <w:rPr>
          <w:b/>
          <w:szCs w:val="20"/>
        </w:rPr>
        <w:t xml:space="preserve">Приходите </w:t>
      </w:r>
      <w:r w:rsidRPr="00224A7E">
        <w:rPr>
          <w:b/>
          <w:szCs w:val="20"/>
        </w:rPr>
        <w:t xml:space="preserve">на БТА </w:t>
      </w:r>
      <w:r w:rsidRPr="00224A7E">
        <w:rPr>
          <w:szCs w:val="20"/>
        </w:rPr>
        <w:t>към 31.03.2021 г. са 0,</w:t>
      </w:r>
      <w:r w:rsidRPr="00D40081">
        <w:rPr>
          <w:szCs w:val="20"/>
        </w:rPr>
        <w:t>3</w:t>
      </w:r>
      <w:r w:rsidRPr="00224A7E">
        <w:rPr>
          <w:szCs w:val="20"/>
        </w:rPr>
        <w:t xml:space="preserve"> млн. лв. или </w:t>
      </w:r>
      <w:r w:rsidRPr="00D40081">
        <w:rPr>
          <w:szCs w:val="20"/>
        </w:rPr>
        <w:t>24</w:t>
      </w:r>
      <w:r w:rsidRPr="00224A7E">
        <w:rPr>
          <w:szCs w:val="20"/>
        </w:rPr>
        <w:t>,</w:t>
      </w:r>
      <w:r w:rsidRPr="00D40081">
        <w:rPr>
          <w:szCs w:val="20"/>
        </w:rPr>
        <w:t>2</w:t>
      </w:r>
      <w:r w:rsidRPr="00224A7E">
        <w:rPr>
          <w:szCs w:val="20"/>
        </w:rPr>
        <w:t xml:space="preserve"> % от предвидените за годината, като това са основно постъпления от продажба на информационни продукти и услуги.</w:t>
      </w:r>
      <w:r w:rsidRPr="00D40081">
        <w:rPr>
          <w:szCs w:val="20"/>
        </w:rPr>
        <w:t xml:space="preserve"> </w:t>
      </w:r>
    </w:p>
    <w:p w:rsidR="007C1025" w:rsidRPr="006D5D56" w:rsidRDefault="007C1025" w:rsidP="007C1025">
      <w:pPr>
        <w:ind w:firstLine="567"/>
        <w:jc w:val="both"/>
        <w:rPr>
          <w:color w:val="4F81BD" w:themeColor="accent1"/>
          <w:szCs w:val="20"/>
        </w:rPr>
      </w:pPr>
      <w:r w:rsidRPr="00224A7E">
        <w:rPr>
          <w:b/>
          <w:szCs w:val="20"/>
        </w:rPr>
        <w:t xml:space="preserve">Отчетените </w:t>
      </w:r>
      <w:r w:rsidRPr="000F408F">
        <w:rPr>
          <w:b/>
          <w:szCs w:val="20"/>
        </w:rPr>
        <w:t xml:space="preserve">разходи на </w:t>
      </w:r>
      <w:r w:rsidRPr="000F408F">
        <w:rPr>
          <w:szCs w:val="20"/>
        </w:rPr>
        <w:t>БТА за периода са 1,</w:t>
      </w:r>
      <w:r w:rsidRPr="00D40081">
        <w:rPr>
          <w:szCs w:val="20"/>
        </w:rPr>
        <w:t>7</w:t>
      </w:r>
      <w:r w:rsidRPr="000F408F">
        <w:rPr>
          <w:szCs w:val="20"/>
        </w:rPr>
        <w:t xml:space="preserve"> млн. лв., което е 2</w:t>
      </w:r>
      <w:r w:rsidRPr="00D40081">
        <w:rPr>
          <w:szCs w:val="20"/>
        </w:rPr>
        <w:t>2</w:t>
      </w:r>
      <w:r w:rsidRPr="000F408F">
        <w:rPr>
          <w:szCs w:val="20"/>
        </w:rPr>
        <w:t>,</w:t>
      </w:r>
      <w:r w:rsidRPr="00D40081">
        <w:rPr>
          <w:szCs w:val="20"/>
        </w:rPr>
        <w:t>0</w:t>
      </w:r>
      <w:r w:rsidRPr="000F408F">
        <w:rPr>
          <w:szCs w:val="20"/>
        </w:rPr>
        <w:t xml:space="preserve"> % от годишния разчет за 2021 г.</w:t>
      </w:r>
    </w:p>
    <w:p w:rsidR="007C1025" w:rsidRPr="00C7760A" w:rsidRDefault="007C1025" w:rsidP="007C1025">
      <w:pPr>
        <w:ind w:firstLine="567"/>
        <w:jc w:val="both"/>
        <w:rPr>
          <w:szCs w:val="20"/>
        </w:rPr>
      </w:pPr>
      <w:r w:rsidRPr="000F408F">
        <w:rPr>
          <w:szCs w:val="20"/>
        </w:rPr>
        <w:t>Общо утвърдените</w:t>
      </w:r>
      <w:r w:rsidRPr="000F408F">
        <w:rPr>
          <w:b/>
          <w:i/>
        </w:rPr>
        <w:t xml:space="preserve"> бюджетни взаимоотношения на БТА с централния бюджет</w:t>
      </w:r>
      <w:r w:rsidRPr="000F408F">
        <w:rPr>
          <w:szCs w:val="20"/>
        </w:rPr>
        <w:t xml:space="preserve"> за 2021 г. са в размер на </w:t>
      </w:r>
      <w:r w:rsidRPr="00D40081">
        <w:rPr>
          <w:szCs w:val="20"/>
        </w:rPr>
        <w:t>6</w:t>
      </w:r>
      <w:r w:rsidRPr="000F408F">
        <w:rPr>
          <w:szCs w:val="20"/>
        </w:rPr>
        <w:t>,</w:t>
      </w:r>
      <w:r w:rsidRPr="00D40081">
        <w:rPr>
          <w:szCs w:val="20"/>
        </w:rPr>
        <w:t>6</w:t>
      </w:r>
      <w:r w:rsidRPr="000F408F">
        <w:rPr>
          <w:szCs w:val="20"/>
        </w:rPr>
        <w:t xml:space="preserve"> млн. лв</w:t>
      </w:r>
      <w:r w:rsidRPr="00C7760A">
        <w:rPr>
          <w:szCs w:val="20"/>
        </w:rPr>
        <w:t>. Отчетените трансфери са в размер</w:t>
      </w:r>
      <w:r w:rsidRPr="00C7760A">
        <w:rPr>
          <w:b/>
          <w:szCs w:val="20"/>
        </w:rPr>
        <w:t xml:space="preserve"> </w:t>
      </w:r>
      <w:r w:rsidRPr="00C7760A">
        <w:rPr>
          <w:szCs w:val="20"/>
        </w:rPr>
        <w:t>на 1,</w:t>
      </w:r>
      <w:r w:rsidRPr="00D40081">
        <w:rPr>
          <w:szCs w:val="20"/>
        </w:rPr>
        <w:t>6</w:t>
      </w:r>
      <w:r w:rsidRPr="00C7760A">
        <w:rPr>
          <w:szCs w:val="20"/>
        </w:rPr>
        <w:t xml:space="preserve"> млн. лв. или 2</w:t>
      </w:r>
      <w:r w:rsidRPr="00D40081">
        <w:rPr>
          <w:szCs w:val="20"/>
        </w:rPr>
        <w:t>3</w:t>
      </w:r>
      <w:r w:rsidRPr="00C7760A">
        <w:rPr>
          <w:szCs w:val="20"/>
        </w:rPr>
        <w:t>,</w:t>
      </w:r>
      <w:r w:rsidRPr="00D40081">
        <w:rPr>
          <w:szCs w:val="20"/>
        </w:rPr>
        <w:t>7</w:t>
      </w:r>
      <w:r w:rsidRPr="00C7760A">
        <w:rPr>
          <w:szCs w:val="20"/>
        </w:rPr>
        <w:t> % от средствата, определени за БТА със ЗДБРБ за 2021 година.</w:t>
      </w:r>
    </w:p>
    <w:p w:rsidR="007C1025" w:rsidRPr="006D5D56" w:rsidRDefault="007C1025" w:rsidP="007C1025">
      <w:pPr>
        <w:ind w:firstLine="567"/>
        <w:jc w:val="both"/>
        <w:rPr>
          <w:color w:val="4F81BD" w:themeColor="accent1"/>
          <w:szCs w:val="20"/>
        </w:rPr>
      </w:pPr>
    </w:p>
    <w:p w:rsidR="002E5EF1" w:rsidRDefault="002E5EF1" w:rsidP="007C1025">
      <w:pPr>
        <w:pStyle w:val="Title"/>
        <w:jc w:val="both"/>
      </w:pPr>
    </w:p>
    <w:p w:rsidR="00001ABF" w:rsidRDefault="00001ABF" w:rsidP="007C1025">
      <w:pPr>
        <w:pStyle w:val="Title"/>
        <w:jc w:val="both"/>
      </w:pPr>
    </w:p>
    <w:p w:rsidR="00001ABF" w:rsidRDefault="00001ABF" w:rsidP="007C1025">
      <w:pPr>
        <w:pStyle w:val="Title"/>
        <w:jc w:val="both"/>
      </w:pPr>
    </w:p>
    <w:p w:rsidR="00001ABF" w:rsidRDefault="00001ABF" w:rsidP="007C1025">
      <w:pPr>
        <w:pStyle w:val="Title"/>
        <w:jc w:val="both"/>
      </w:pPr>
    </w:p>
    <w:p w:rsidR="007C1025" w:rsidRPr="00163B1B" w:rsidRDefault="007C1025" w:rsidP="007C1025">
      <w:pPr>
        <w:pStyle w:val="Title"/>
        <w:jc w:val="both"/>
      </w:pPr>
      <w:r w:rsidRPr="00163B1B">
        <w:t>Министерство на финансите, май 2021 г.</w:t>
      </w:r>
    </w:p>
    <w:p w:rsidR="00594E6B" w:rsidRPr="006D5D56" w:rsidRDefault="00594E6B" w:rsidP="00053B0F">
      <w:pPr>
        <w:pStyle w:val="Title"/>
        <w:jc w:val="both"/>
        <w:rPr>
          <w:color w:val="4F81BD" w:themeColor="accent1"/>
        </w:rPr>
      </w:pPr>
    </w:p>
    <w:p w:rsidR="00001ABF" w:rsidRDefault="00001ABF" w:rsidP="002E5EF1">
      <w:pPr>
        <w:tabs>
          <w:tab w:val="left" w:pos="2520"/>
        </w:tabs>
        <w:spacing w:line="480" w:lineRule="auto"/>
        <w:ind w:left="-1134" w:right="-386" w:firstLine="1134"/>
        <w:rPr>
          <w:sz w:val="20"/>
          <w:szCs w:val="20"/>
          <w:lang w:eastAsia="bg-BG"/>
        </w:rPr>
      </w:pPr>
      <w:bookmarkStart w:id="34" w:name="_GoBack"/>
      <w:bookmarkEnd w:id="34"/>
    </w:p>
    <w:sectPr w:rsidR="00001ABF" w:rsidSect="00441E7C">
      <w:footerReference w:type="even" r:id="rId9"/>
      <w:footerReference w:type="default" r:id="rId10"/>
      <w:endnotePr>
        <w:numFmt w:val="decimal"/>
      </w:endnotePr>
      <w:type w:val="continuous"/>
      <w:pgSz w:w="11906" w:h="16838"/>
      <w:pgMar w:top="709" w:right="1106"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9E" w:rsidRDefault="00FD5E9E">
      <w:r>
        <w:separator/>
      </w:r>
    </w:p>
  </w:endnote>
  <w:endnote w:type="continuationSeparator" w:id="0">
    <w:p w:rsidR="00FD5E9E" w:rsidRDefault="00FD5E9E">
      <w:r>
        <w:continuationSeparator/>
      </w:r>
    </w:p>
  </w:endnote>
  <w:endnote w:type="continuationNotice" w:id="1">
    <w:p w:rsidR="00FD5E9E" w:rsidRDefault="00FD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a B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E9E" w:rsidRDefault="00FD5E9E"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E9E" w:rsidRDefault="00FD5E9E"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E9E" w:rsidRDefault="00FD5E9E"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806">
      <w:rPr>
        <w:rStyle w:val="PageNumber"/>
        <w:noProof/>
      </w:rPr>
      <w:t>32</w:t>
    </w:r>
    <w:r>
      <w:rPr>
        <w:rStyle w:val="PageNumber"/>
      </w:rPr>
      <w:fldChar w:fldCharType="end"/>
    </w:r>
  </w:p>
  <w:p w:rsidR="00FD5E9E" w:rsidRDefault="00FD5E9E"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9E" w:rsidRDefault="00FD5E9E">
      <w:r>
        <w:separator/>
      </w:r>
    </w:p>
  </w:footnote>
  <w:footnote w:type="continuationSeparator" w:id="0">
    <w:p w:rsidR="00FD5E9E" w:rsidRDefault="00FD5E9E">
      <w:r>
        <w:continuationSeparator/>
      </w:r>
    </w:p>
  </w:footnote>
  <w:footnote w:type="continuationNotice" w:id="1">
    <w:p w:rsidR="00FD5E9E" w:rsidRDefault="00FD5E9E"/>
  </w:footnote>
  <w:footnote w:id="2">
    <w:p w:rsidR="00FD5E9E" w:rsidRPr="007D18FE" w:rsidRDefault="00FD5E9E" w:rsidP="00E74802">
      <w:pPr>
        <w:pStyle w:val="FootnoteText"/>
        <w:jc w:val="both"/>
        <w:rPr>
          <w:sz w:val="18"/>
          <w:szCs w:val="18"/>
          <w:lang w:val="bg-BG"/>
        </w:rPr>
      </w:pPr>
      <w:r w:rsidRPr="007D18FE">
        <w:rPr>
          <w:rStyle w:val="FootnoteReference"/>
          <w:sz w:val="18"/>
          <w:szCs w:val="18"/>
        </w:rPr>
        <w:footnoteRef/>
      </w:r>
      <w:r w:rsidRPr="007D18FE">
        <w:rPr>
          <w:sz w:val="18"/>
          <w:szCs w:val="18"/>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rsidR="00FD5E9E" w:rsidRPr="007D18FE" w:rsidRDefault="00FD5E9E">
      <w:pPr>
        <w:pStyle w:val="FootnoteText"/>
        <w:rPr>
          <w:sz w:val="18"/>
          <w:szCs w:val="18"/>
          <w:lang w:val="bg-BG"/>
        </w:rPr>
      </w:pPr>
      <w:r w:rsidRPr="007D18FE">
        <w:rPr>
          <w:rStyle w:val="FootnoteReference"/>
          <w:sz w:val="18"/>
          <w:szCs w:val="18"/>
        </w:rPr>
        <w:footnoteRef/>
      </w:r>
      <w:r w:rsidRPr="00D40081">
        <w:rPr>
          <w:sz w:val="18"/>
          <w:szCs w:val="18"/>
          <w:lang w:val="bg-BG"/>
        </w:rPr>
        <w:t xml:space="preserve"> </w:t>
      </w:r>
      <w:r w:rsidRPr="006A361D">
        <w:rPr>
          <w:sz w:val="18"/>
          <w:szCs w:val="18"/>
          <w:lang w:val="bg-BG"/>
        </w:rPr>
        <w:t>Данните на общините за месец март не включват община Чупрене</w:t>
      </w:r>
      <w:r w:rsidRPr="00D40081">
        <w:rPr>
          <w:sz w:val="18"/>
          <w:szCs w:val="18"/>
          <w:lang w:val="bg-BG"/>
        </w:rPr>
        <w:t>.</w:t>
      </w:r>
    </w:p>
  </w:footnote>
  <w:footnote w:id="4">
    <w:p w:rsidR="00FD5E9E" w:rsidRPr="007D18FE" w:rsidRDefault="00FD5E9E" w:rsidP="00661BE3">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rsidR="00FD5E9E" w:rsidRPr="00E74802" w:rsidRDefault="00FD5E9E" w:rsidP="00B13128">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rsidR="00FD5E9E" w:rsidRPr="00DF79A3" w:rsidRDefault="00FD5E9E" w:rsidP="00B13128">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rsidR="00FD5E9E" w:rsidRPr="00BA6AD2" w:rsidRDefault="00FD5E9E" w:rsidP="00B13128">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8">
    <w:p w:rsidR="00FD5E9E" w:rsidRPr="00D40081" w:rsidRDefault="00FD5E9E" w:rsidP="00970EB8">
      <w:pPr>
        <w:pStyle w:val="FootnoteText"/>
        <w:jc w:val="both"/>
        <w:rPr>
          <w:sz w:val="18"/>
          <w:szCs w:val="18"/>
          <w:lang w:val="bg-BG"/>
        </w:rPr>
      </w:pPr>
      <w:r w:rsidRPr="00EB7087">
        <w:rPr>
          <w:rStyle w:val="FootnoteReference"/>
        </w:rPr>
        <w:footnoteRef/>
      </w:r>
      <w:r w:rsidRPr="00D40081">
        <w:rPr>
          <w:sz w:val="18"/>
          <w:szCs w:val="18"/>
          <w:lang w:val="bg-BG"/>
        </w:rPr>
        <w:t xml:space="preserve"> </w:t>
      </w:r>
      <w:r w:rsidRPr="001B3BA9">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r w:rsidRPr="00D40081">
        <w:rPr>
          <w:sz w:val="18"/>
          <w:szCs w:val="18"/>
          <w:lang w:val="bg-BG"/>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9066DE8"/>
    <w:multiLevelType w:val="multilevel"/>
    <w:tmpl w:val="5602DF68"/>
    <w:lvl w:ilvl="0">
      <w:start w:val="5"/>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09483012"/>
    <w:multiLevelType w:val="hybridMultilevel"/>
    <w:tmpl w:val="B928D200"/>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0BD239B8"/>
    <w:multiLevelType w:val="hybridMultilevel"/>
    <w:tmpl w:val="63C014E8"/>
    <w:lvl w:ilvl="0" w:tplc="2B5CD1E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81A89"/>
    <w:multiLevelType w:val="hybridMultilevel"/>
    <w:tmpl w:val="08D66548"/>
    <w:lvl w:ilvl="0" w:tplc="4446C67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8C6254"/>
    <w:multiLevelType w:val="hybridMultilevel"/>
    <w:tmpl w:val="7C903E16"/>
    <w:lvl w:ilvl="0" w:tplc="87846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17216"/>
    <w:multiLevelType w:val="hybridMultilevel"/>
    <w:tmpl w:val="14984C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1B467E29"/>
    <w:multiLevelType w:val="hybridMultilevel"/>
    <w:tmpl w:val="C324C212"/>
    <w:lvl w:ilvl="0" w:tplc="8616595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15:restartNumberingAfterBreak="0">
    <w:nsid w:val="1FC20184"/>
    <w:multiLevelType w:val="hybridMultilevel"/>
    <w:tmpl w:val="AA5644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50957"/>
    <w:multiLevelType w:val="hybridMultilevel"/>
    <w:tmpl w:val="B22AAA26"/>
    <w:lvl w:ilvl="0" w:tplc="8616595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B9E0FC3"/>
    <w:multiLevelType w:val="hybridMultilevel"/>
    <w:tmpl w:val="AA74A2D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2D752873"/>
    <w:multiLevelType w:val="multilevel"/>
    <w:tmpl w:val="0ECE36AC"/>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16637"/>
    <w:multiLevelType w:val="hybridMultilevel"/>
    <w:tmpl w:val="17F43F3E"/>
    <w:lvl w:ilvl="0" w:tplc="0C46149C">
      <w:start w:val="1"/>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65905"/>
    <w:multiLevelType w:val="hybridMultilevel"/>
    <w:tmpl w:val="0374FA1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4"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60E61237"/>
    <w:multiLevelType w:val="hybridMultilevel"/>
    <w:tmpl w:val="3FD07E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7"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2"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4"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5"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6"/>
  </w:num>
  <w:num w:numId="3">
    <w:abstractNumId w:val="39"/>
  </w:num>
  <w:num w:numId="4">
    <w:abstractNumId w:val="21"/>
  </w:num>
  <w:num w:numId="5">
    <w:abstractNumId w:val="42"/>
  </w:num>
  <w:num w:numId="6">
    <w:abstractNumId w:val="32"/>
  </w:num>
  <w:num w:numId="7">
    <w:abstractNumId w:val="37"/>
  </w:num>
  <w:num w:numId="8">
    <w:abstractNumId w:val="24"/>
  </w:num>
  <w:num w:numId="9">
    <w:abstractNumId w:val="30"/>
  </w:num>
  <w:num w:numId="10">
    <w:abstractNumId w:val="44"/>
  </w:num>
  <w:num w:numId="11">
    <w:abstractNumId w:val="38"/>
  </w:num>
  <w:num w:numId="12">
    <w:abstractNumId w:val="36"/>
  </w:num>
  <w:num w:numId="13">
    <w:abstractNumId w:val="7"/>
  </w:num>
  <w:num w:numId="14">
    <w:abstractNumId w:val="47"/>
  </w:num>
  <w:num w:numId="15">
    <w:abstractNumId w:val="45"/>
  </w:num>
  <w:num w:numId="16">
    <w:abstractNumId w:val="5"/>
  </w:num>
  <w:num w:numId="17">
    <w:abstractNumId w:val="40"/>
  </w:num>
  <w:num w:numId="18">
    <w:abstractNumId w:val="27"/>
  </w:num>
  <w:num w:numId="19">
    <w:abstractNumId w:val="14"/>
  </w:num>
  <w:num w:numId="20">
    <w:abstractNumId w:val="31"/>
  </w:num>
  <w:num w:numId="21">
    <w:abstractNumId w:val="16"/>
  </w:num>
  <w:num w:numId="22">
    <w:abstractNumId w:val="17"/>
  </w:num>
  <w:num w:numId="23">
    <w:abstractNumId w:val="46"/>
  </w:num>
  <w:num w:numId="24">
    <w:abstractNumId w:val="28"/>
  </w:num>
  <w:num w:numId="25">
    <w:abstractNumId w:val="33"/>
  </w:num>
  <w:num w:numId="26">
    <w:abstractNumId w:val="12"/>
  </w:num>
  <w:num w:numId="27">
    <w:abstractNumId w:val="22"/>
  </w:num>
  <w:num w:numId="28">
    <w:abstractNumId w:val="41"/>
  </w:num>
  <w:num w:numId="29">
    <w:abstractNumId w:val="0"/>
  </w:num>
  <w:num w:numId="30">
    <w:abstractNumId w:val="34"/>
  </w:num>
  <w:num w:numId="31">
    <w:abstractNumId w:val="43"/>
  </w:num>
  <w:num w:numId="32">
    <w:abstractNumId w:val="1"/>
  </w:num>
  <w:num w:numId="33">
    <w:abstractNumId w:val="20"/>
  </w:num>
  <w:num w:numId="34">
    <w:abstractNumId w:val="23"/>
  </w:num>
  <w:num w:numId="35">
    <w:abstractNumId w:val="6"/>
  </w:num>
  <w:num w:numId="36">
    <w:abstractNumId w:val="1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9"/>
  </w:num>
  <w:num w:numId="40">
    <w:abstractNumId w:val="35"/>
  </w:num>
  <w:num w:numId="41">
    <w:abstractNumId w:val="13"/>
  </w:num>
  <w:num w:numId="42">
    <w:abstractNumId w:val="18"/>
  </w:num>
  <w:num w:numId="43">
    <w:abstractNumId w:val="11"/>
  </w:num>
  <w:num w:numId="44">
    <w:abstractNumId w:val="19"/>
  </w:num>
  <w:num w:numId="45">
    <w:abstractNumId w:val="2"/>
  </w:num>
  <w:num w:numId="46">
    <w:abstractNumId w:val="25"/>
  </w:num>
  <w:num w:numId="47">
    <w:abstractNumId w:val="4"/>
  </w:num>
  <w:num w:numId="48">
    <w:abstractNumId w:val="3"/>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6BE"/>
    <w:rsid w:val="00001ABF"/>
    <w:rsid w:val="00002BD7"/>
    <w:rsid w:val="00002D9C"/>
    <w:rsid w:val="00003489"/>
    <w:rsid w:val="00003B52"/>
    <w:rsid w:val="00004264"/>
    <w:rsid w:val="000063FC"/>
    <w:rsid w:val="000065C6"/>
    <w:rsid w:val="0000691E"/>
    <w:rsid w:val="00006EBC"/>
    <w:rsid w:val="00007F94"/>
    <w:rsid w:val="000111D3"/>
    <w:rsid w:val="00011383"/>
    <w:rsid w:val="000119C6"/>
    <w:rsid w:val="00012533"/>
    <w:rsid w:val="00012AE6"/>
    <w:rsid w:val="00013B93"/>
    <w:rsid w:val="00013C59"/>
    <w:rsid w:val="000146EA"/>
    <w:rsid w:val="000158A2"/>
    <w:rsid w:val="00015C0F"/>
    <w:rsid w:val="00015D5B"/>
    <w:rsid w:val="00017412"/>
    <w:rsid w:val="000175C7"/>
    <w:rsid w:val="000178CA"/>
    <w:rsid w:val="00017EA1"/>
    <w:rsid w:val="0002050E"/>
    <w:rsid w:val="000215BD"/>
    <w:rsid w:val="00021A5F"/>
    <w:rsid w:val="000221B7"/>
    <w:rsid w:val="000229E1"/>
    <w:rsid w:val="00022CAC"/>
    <w:rsid w:val="00022D9E"/>
    <w:rsid w:val="0002351F"/>
    <w:rsid w:val="00023BF6"/>
    <w:rsid w:val="00023D31"/>
    <w:rsid w:val="0002444B"/>
    <w:rsid w:val="0002477E"/>
    <w:rsid w:val="000249B9"/>
    <w:rsid w:val="000256B4"/>
    <w:rsid w:val="00025953"/>
    <w:rsid w:val="00025F45"/>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3ACB"/>
    <w:rsid w:val="00034135"/>
    <w:rsid w:val="00034396"/>
    <w:rsid w:val="00034FE3"/>
    <w:rsid w:val="000359FA"/>
    <w:rsid w:val="0003621F"/>
    <w:rsid w:val="00036A1B"/>
    <w:rsid w:val="00037141"/>
    <w:rsid w:val="000377BC"/>
    <w:rsid w:val="000378DC"/>
    <w:rsid w:val="0004080C"/>
    <w:rsid w:val="0004098D"/>
    <w:rsid w:val="00040C20"/>
    <w:rsid w:val="000411D9"/>
    <w:rsid w:val="00041338"/>
    <w:rsid w:val="00042634"/>
    <w:rsid w:val="0004338F"/>
    <w:rsid w:val="000436DD"/>
    <w:rsid w:val="000439F5"/>
    <w:rsid w:val="00043AA0"/>
    <w:rsid w:val="00043AB2"/>
    <w:rsid w:val="00043E35"/>
    <w:rsid w:val="00043E3A"/>
    <w:rsid w:val="0004426E"/>
    <w:rsid w:val="00044273"/>
    <w:rsid w:val="00045116"/>
    <w:rsid w:val="0004753C"/>
    <w:rsid w:val="00050A1B"/>
    <w:rsid w:val="00051E5E"/>
    <w:rsid w:val="00052449"/>
    <w:rsid w:val="00052C5C"/>
    <w:rsid w:val="00053B0F"/>
    <w:rsid w:val="00053D51"/>
    <w:rsid w:val="000546BF"/>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5A46"/>
    <w:rsid w:val="00065DF8"/>
    <w:rsid w:val="000663D1"/>
    <w:rsid w:val="00066EED"/>
    <w:rsid w:val="00067283"/>
    <w:rsid w:val="0007047E"/>
    <w:rsid w:val="000709C1"/>
    <w:rsid w:val="00070A97"/>
    <w:rsid w:val="00071F12"/>
    <w:rsid w:val="00072D22"/>
    <w:rsid w:val="00073108"/>
    <w:rsid w:val="00073DF5"/>
    <w:rsid w:val="000751C1"/>
    <w:rsid w:val="00075256"/>
    <w:rsid w:val="0007526B"/>
    <w:rsid w:val="000768B3"/>
    <w:rsid w:val="00080AB2"/>
    <w:rsid w:val="00080EF5"/>
    <w:rsid w:val="0008155D"/>
    <w:rsid w:val="0008165A"/>
    <w:rsid w:val="000819F9"/>
    <w:rsid w:val="00081AFD"/>
    <w:rsid w:val="00082679"/>
    <w:rsid w:val="000827A4"/>
    <w:rsid w:val="000829EB"/>
    <w:rsid w:val="00082BD9"/>
    <w:rsid w:val="0008327E"/>
    <w:rsid w:val="000832E5"/>
    <w:rsid w:val="000833A2"/>
    <w:rsid w:val="0008357F"/>
    <w:rsid w:val="000853B1"/>
    <w:rsid w:val="00085704"/>
    <w:rsid w:val="00085734"/>
    <w:rsid w:val="00085B96"/>
    <w:rsid w:val="00085E01"/>
    <w:rsid w:val="00085E1A"/>
    <w:rsid w:val="00086FA7"/>
    <w:rsid w:val="00087295"/>
    <w:rsid w:val="0008745A"/>
    <w:rsid w:val="000878C4"/>
    <w:rsid w:val="0009002F"/>
    <w:rsid w:val="000900E3"/>
    <w:rsid w:val="000902B5"/>
    <w:rsid w:val="00090D1D"/>
    <w:rsid w:val="00091196"/>
    <w:rsid w:val="00091BCE"/>
    <w:rsid w:val="000931C8"/>
    <w:rsid w:val="000937AB"/>
    <w:rsid w:val="000937E0"/>
    <w:rsid w:val="00093F6F"/>
    <w:rsid w:val="000943E4"/>
    <w:rsid w:val="000949D3"/>
    <w:rsid w:val="00094A6C"/>
    <w:rsid w:val="00094A78"/>
    <w:rsid w:val="000959DC"/>
    <w:rsid w:val="00095EF0"/>
    <w:rsid w:val="0009743A"/>
    <w:rsid w:val="000A052A"/>
    <w:rsid w:val="000A09BA"/>
    <w:rsid w:val="000A301B"/>
    <w:rsid w:val="000A3426"/>
    <w:rsid w:val="000A3F57"/>
    <w:rsid w:val="000A5B32"/>
    <w:rsid w:val="000A6E4D"/>
    <w:rsid w:val="000A7841"/>
    <w:rsid w:val="000B0616"/>
    <w:rsid w:val="000B0815"/>
    <w:rsid w:val="000B09E5"/>
    <w:rsid w:val="000B0CE6"/>
    <w:rsid w:val="000B11FB"/>
    <w:rsid w:val="000B175F"/>
    <w:rsid w:val="000B1A24"/>
    <w:rsid w:val="000B1E59"/>
    <w:rsid w:val="000B25CC"/>
    <w:rsid w:val="000B2CBE"/>
    <w:rsid w:val="000B460F"/>
    <w:rsid w:val="000B474D"/>
    <w:rsid w:val="000B49EE"/>
    <w:rsid w:val="000B52FA"/>
    <w:rsid w:val="000B5F1E"/>
    <w:rsid w:val="000B62C7"/>
    <w:rsid w:val="000B6D3A"/>
    <w:rsid w:val="000B7234"/>
    <w:rsid w:val="000B7447"/>
    <w:rsid w:val="000B75C1"/>
    <w:rsid w:val="000B7C4F"/>
    <w:rsid w:val="000B7E66"/>
    <w:rsid w:val="000C06FE"/>
    <w:rsid w:val="000C0A44"/>
    <w:rsid w:val="000C0FA1"/>
    <w:rsid w:val="000C13A5"/>
    <w:rsid w:val="000C244E"/>
    <w:rsid w:val="000C2FAC"/>
    <w:rsid w:val="000C4CBB"/>
    <w:rsid w:val="000C56B9"/>
    <w:rsid w:val="000C5ACF"/>
    <w:rsid w:val="000C5C6D"/>
    <w:rsid w:val="000C6742"/>
    <w:rsid w:val="000C69AE"/>
    <w:rsid w:val="000C6CB5"/>
    <w:rsid w:val="000C6CF3"/>
    <w:rsid w:val="000C72DC"/>
    <w:rsid w:val="000C7303"/>
    <w:rsid w:val="000C736E"/>
    <w:rsid w:val="000C75A5"/>
    <w:rsid w:val="000C7BB6"/>
    <w:rsid w:val="000D0538"/>
    <w:rsid w:val="000D06A6"/>
    <w:rsid w:val="000D0AB1"/>
    <w:rsid w:val="000D23F8"/>
    <w:rsid w:val="000D2516"/>
    <w:rsid w:val="000D26D5"/>
    <w:rsid w:val="000D2B33"/>
    <w:rsid w:val="000D2BE7"/>
    <w:rsid w:val="000D3407"/>
    <w:rsid w:val="000D3942"/>
    <w:rsid w:val="000D3FA7"/>
    <w:rsid w:val="000D4203"/>
    <w:rsid w:val="000D49F5"/>
    <w:rsid w:val="000D4BEB"/>
    <w:rsid w:val="000D5449"/>
    <w:rsid w:val="000D5EE2"/>
    <w:rsid w:val="000D6D92"/>
    <w:rsid w:val="000D725A"/>
    <w:rsid w:val="000D740D"/>
    <w:rsid w:val="000D78E4"/>
    <w:rsid w:val="000E0B42"/>
    <w:rsid w:val="000E0EBA"/>
    <w:rsid w:val="000E1529"/>
    <w:rsid w:val="000E1EAF"/>
    <w:rsid w:val="000E1FB5"/>
    <w:rsid w:val="000E2207"/>
    <w:rsid w:val="000E234B"/>
    <w:rsid w:val="000E2894"/>
    <w:rsid w:val="000E2B21"/>
    <w:rsid w:val="000E39DF"/>
    <w:rsid w:val="000E3BA7"/>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8AF"/>
    <w:rsid w:val="000F6975"/>
    <w:rsid w:val="000F6B35"/>
    <w:rsid w:val="0010026D"/>
    <w:rsid w:val="0010055E"/>
    <w:rsid w:val="001006E1"/>
    <w:rsid w:val="00100CE5"/>
    <w:rsid w:val="00100D97"/>
    <w:rsid w:val="001011A4"/>
    <w:rsid w:val="001017B7"/>
    <w:rsid w:val="00101B1C"/>
    <w:rsid w:val="0010212B"/>
    <w:rsid w:val="00102523"/>
    <w:rsid w:val="0010261A"/>
    <w:rsid w:val="00102869"/>
    <w:rsid w:val="001028F7"/>
    <w:rsid w:val="00102BA6"/>
    <w:rsid w:val="0010358B"/>
    <w:rsid w:val="00103BC3"/>
    <w:rsid w:val="001046B0"/>
    <w:rsid w:val="00104BB5"/>
    <w:rsid w:val="0010539A"/>
    <w:rsid w:val="001053A6"/>
    <w:rsid w:val="00106081"/>
    <w:rsid w:val="0010649F"/>
    <w:rsid w:val="0010683E"/>
    <w:rsid w:val="00107258"/>
    <w:rsid w:val="0010743D"/>
    <w:rsid w:val="00107498"/>
    <w:rsid w:val="001077FA"/>
    <w:rsid w:val="00107C9F"/>
    <w:rsid w:val="00107F93"/>
    <w:rsid w:val="00110E74"/>
    <w:rsid w:val="0011244D"/>
    <w:rsid w:val="00112882"/>
    <w:rsid w:val="00112CAC"/>
    <w:rsid w:val="00112E96"/>
    <w:rsid w:val="00113FD8"/>
    <w:rsid w:val="00114DE5"/>
    <w:rsid w:val="00116D77"/>
    <w:rsid w:val="001173BA"/>
    <w:rsid w:val="001179C1"/>
    <w:rsid w:val="00117C68"/>
    <w:rsid w:val="00117CA6"/>
    <w:rsid w:val="001202E6"/>
    <w:rsid w:val="00120CC7"/>
    <w:rsid w:val="00121946"/>
    <w:rsid w:val="00122F3A"/>
    <w:rsid w:val="00122FCA"/>
    <w:rsid w:val="00123862"/>
    <w:rsid w:val="00123B59"/>
    <w:rsid w:val="00123E2A"/>
    <w:rsid w:val="00124777"/>
    <w:rsid w:val="00124FB9"/>
    <w:rsid w:val="00125B7A"/>
    <w:rsid w:val="001260AA"/>
    <w:rsid w:val="001264C3"/>
    <w:rsid w:val="00126805"/>
    <w:rsid w:val="001269AE"/>
    <w:rsid w:val="00127D25"/>
    <w:rsid w:val="001301B6"/>
    <w:rsid w:val="001305A6"/>
    <w:rsid w:val="00131B05"/>
    <w:rsid w:val="00132AD1"/>
    <w:rsid w:val="00133033"/>
    <w:rsid w:val="0013308F"/>
    <w:rsid w:val="00133478"/>
    <w:rsid w:val="00133644"/>
    <w:rsid w:val="001342F2"/>
    <w:rsid w:val="0013522E"/>
    <w:rsid w:val="0013588C"/>
    <w:rsid w:val="00135A23"/>
    <w:rsid w:val="00135E92"/>
    <w:rsid w:val="00136C08"/>
    <w:rsid w:val="00136DA4"/>
    <w:rsid w:val="001371FA"/>
    <w:rsid w:val="00140F18"/>
    <w:rsid w:val="00140F61"/>
    <w:rsid w:val="0014108F"/>
    <w:rsid w:val="00141B03"/>
    <w:rsid w:val="00142979"/>
    <w:rsid w:val="00142ABD"/>
    <w:rsid w:val="00142EDB"/>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645"/>
    <w:rsid w:val="001643F8"/>
    <w:rsid w:val="00164FAD"/>
    <w:rsid w:val="00165DB5"/>
    <w:rsid w:val="00165FF0"/>
    <w:rsid w:val="00166023"/>
    <w:rsid w:val="001668BD"/>
    <w:rsid w:val="00170EFE"/>
    <w:rsid w:val="00171F8E"/>
    <w:rsid w:val="0017216E"/>
    <w:rsid w:val="0017293F"/>
    <w:rsid w:val="00172AEE"/>
    <w:rsid w:val="00173987"/>
    <w:rsid w:val="0017483F"/>
    <w:rsid w:val="00174C24"/>
    <w:rsid w:val="00175539"/>
    <w:rsid w:val="00175890"/>
    <w:rsid w:val="00176340"/>
    <w:rsid w:val="00176AE7"/>
    <w:rsid w:val="00176CB6"/>
    <w:rsid w:val="00176E98"/>
    <w:rsid w:val="00177307"/>
    <w:rsid w:val="00180811"/>
    <w:rsid w:val="001808E6"/>
    <w:rsid w:val="00180AE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87C31"/>
    <w:rsid w:val="00190983"/>
    <w:rsid w:val="0019151C"/>
    <w:rsid w:val="00191AA6"/>
    <w:rsid w:val="00191AB6"/>
    <w:rsid w:val="00191F79"/>
    <w:rsid w:val="0019213B"/>
    <w:rsid w:val="0019232E"/>
    <w:rsid w:val="0019239F"/>
    <w:rsid w:val="001924F6"/>
    <w:rsid w:val="00192CDB"/>
    <w:rsid w:val="00193D9B"/>
    <w:rsid w:val="00193F20"/>
    <w:rsid w:val="0019413C"/>
    <w:rsid w:val="001941E4"/>
    <w:rsid w:val="00195CF2"/>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387"/>
    <w:rsid w:val="001A4493"/>
    <w:rsid w:val="001A4589"/>
    <w:rsid w:val="001A5350"/>
    <w:rsid w:val="001A5398"/>
    <w:rsid w:val="001A59AF"/>
    <w:rsid w:val="001A6777"/>
    <w:rsid w:val="001A718F"/>
    <w:rsid w:val="001A75B9"/>
    <w:rsid w:val="001B18C3"/>
    <w:rsid w:val="001B1C70"/>
    <w:rsid w:val="001B20E4"/>
    <w:rsid w:val="001B2D1F"/>
    <w:rsid w:val="001B2FCD"/>
    <w:rsid w:val="001B3285"/>
    <w:rsid w:val="001B370A"/>
    <w:rsid w:val="001B3BA9"/>
    <w:rsid w:val="001B3E1C"/>
    <w:rsid w:val="001B4165"/>
    <w:rsid w:val="001B44DB"/>
    <w:rsid w:val="001B5EA6"/>
    <w:rsid w:val="001C0F05"/>
    <w:rsid w:val="001C110F"/>
    <w:rsid w:val="001C15B0"/>
    <w:rsid w:val="001C239A"/>
    <w:rsid w:val="001C2EE5"/>
    <w:rsid w:val="001C486C"/>
    <w:rsid w:val="001C4B35"/>
    <w:rsid w:val="001C4CCF"/>
    <w:rsid w:val="001C501A"/>
    <w:rsid w:val="001C5CC2"/>
    <w:rsid w:val="001C61DB"/>
    <w:rsid w:val="001C6573"/>
    <w:rsid w:val="001C6BA6"/>
    <w:rsid w:val="001C726D"/>
    <w:rsid w:val="001C78CA"/>
    <w:rsid w:val="001D01FB"/>
    <w:rsid w:val="001D0221"/>
    <w:rsid w:val="001D13AD"/>
    <w:rsid w:val="001D15E5"/>
    <w:rsid w:val="001D2381"/>
    <w:rsid w:val="001D2CE9"/>
    <w:rsid w:val="001D34AF"/>
    <w:rsid w:val="001D3E63"/>
    <w:rsid w:val="001D40DA"/>
    <w:rsid w:val="001D419F"/>
    <w:rsid w:val="001D5D9A"/>
    <w:rsid w:val="001D6081"/>
    <w:rsid w:val="001D6F2E"/>
    <w:rsid w:val="001D71BC"/>
    <w:rsid w:val="001D755A"/>
    <w:rsid w:val="001E0367"/>
    <w:rsid w:val="001E11E2"/>
    <w:rsid w:val="001E27FB"/>
    <w:rsid w:val="001E2B1A"/>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2337"/>
    <w:rsid w:val="001F2FB5"/>
    <w:rsid w:val="001F367C"/>
    <w:rsid w:val="001F4EB9"/>
    <w:rsid w:val="001F4FDB"/>
    <w:rsid w:val="001F540A"/>
    <w:rsid w:val="001F5D2F"/>
    <w:rsid w:val="001F5E20"/>
    <w:rsid w:val="001F5FA3"/>
    <w:rsid w:val="001F60AC"/>
    <w:rsid w:val="001F6E1E"/>
    <w:rsid w:val="001F6F0C"/>
    <w:rsid w:val="001F74B9"/>
    <w:rsid w:val="001F7F82"/>
    <w:rsid w:val="002002AA"/>
    <w:rsid w:val="002003C3"/>
    <w:rsid w:val="002019D1"/>
    <w:rsid w:val="00201E8F"/>
    <w:rsid w:val="002023B3"/>
    <w:rsid w:val="00202CDB"/>
    <w:rsid w:val="00203052"/>
    <w:rsid w:val="00204381"/>
    <w:rsid w:val="00204779"/>
    <w:rsid w:val="00204799"/>
    <w:rsid w:val="00204EBE"/>
    <w:rsid w:val="002051EA"/>
    <w:rsid w:val="00205B05"/>
    <w:rsid w:val="002060C2"/>
    <w:rsid w:val="00207674"/>
    <w:rsid w:val="002076D5"/>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5254"/>
    <w:rsid w:val="00215ADA"/>
    <w:rsid w:val="00216326"/>
    <w:rsid w:val="00216648"/>
    <w:rsid w:val="00216651"/>
    <w:rsid w:val="0021671E"/>
    <w:rsid w:val="00216AAD"/>
    <w:rsid w:val="00216C9A"/>
    <w:rsid w:val="00216D51"/>
    <w:rsid w:val="00217096"/>
    <w:rsid w:val="00217C7A"/>
    <w:rsid w:val="00217E93"/>
    <w:rsid w:val="00220265"/>
    <w:rsid w:val="0022027B"/>
    <w:rsid w:val="00220699"/>
    <w:rsid w:val="00220CF8"/>
    <w:rsid w:val="00220D8D"/>
    <w:rsid w:val="0022151A"/>
    <w:rsid w:val="002215FD"/>
    <w:rsid w:val="002216C7"/>
    <w:rsid w:val="00221E48"/>
    <w:rsid w:val="00222228"/>
    <w:rsid w:val="00222370"/>
    <w:rsid w:val="00223892"/>
    <w:rsid w:val="00223940"/>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372"/>
    <w:rsid w:val="00234798"/>
    <w:rsid w:val="00240C3D"/>
    <w:rsid w:val="00240D9B"/>
    <w:rsid w:val="002413A5"/>
    <w:rsid w:val="002421FC"/>
    <w:rsid w:val="00242676"/>
    <w:rsid w:val="002433B0"/>
    <w:rsid w:val="00243641"/>
    <w:rsid w:val="0024415B"/>
    <w:rsid w:val="00244642"/>
    <w:rsid w:val="00244D15"/>
    <w:rsid w:val="00244E1B"/>
    <w:rsid w:val="00245474"/>
    <w:rsid w:val="002462FC"/>
    <w:rsid w:val="00246417"/>
    <w:rsid w:val="0024752F"/>
    <w:rsid w:val="00247C3E"/>
    <w:rsid w:val="002500E6"/>
    <w:rsid w:val="00250302"/>
    <w:rsid w:val="002503BA"/>
    <w:rsid w:val="00251005"/>
    <w:rsid w:val="0025173F"/>
    <w:rsid w:val="00251963"/>
    <w:rsid w:val="00251F57"/>
    <w:rsid w:val="0025220D"/>
    <w:rsid w:val="002529E3"/>
    <w:rsid w:val="00252E78"/>
    <w:rsid w:val="0025359A"/>
    <w:rsid w:val="002539F9"/>
    <w:rsid w:val="00253D47"/>
    <w:rsid w:val="002545AB"/>
    <w:rsid w:val="00254667"/>
    <w:rsid w:val="0025469B"/>
    <w:rsid w:val="00254DAC"/>
    <w:rsid w:val="00254F00"/>
    <w:rsid w:val="00255101"/>
    <w:rsid w:val="002553EF"/>
    <w:rsid w:val="0025556C"/>
    <w:rsid w:val="002555A1"/>
    <w:rsid w:val="002557F9"/>
    <w:rsid w:val="002559EF"/>
    <w:rsid w:val="0025637F"/>
    <w:rsid w:val="002567D3"/>
    <w:rsid w:val="00256C8E"/>
    <w:rsid w:val="002572C6"/>
    <w:rsid w:val="00257669"/>
    <w:rsid w:val="00257837"/>
    <w:rsid w:val="00257A26"/>
    <w:rsid w:val="002605A7"/>
    <w:rsid w:val="00260847"/>
    <w:rsid w:val="00261653"/>
    <w:rsid w:val="0026189C"/>
    <w:rsid w:val="00262391"/>
    <w:rsid w:val="0026368D"/>
    <w:rsid w:val="00263A27"/>
    <w:rsid w:val="0026424C"/>
    <w:rsid w:val="002642FC"/>
    <w:rsid w:val="0026495C"/>
    <w:rsid w:val="0026544D"/>
    <w:rsid w:val="00266AF5"/>
    <w:rsid w:val="00266D04"/>
    <w:rsid w:val="002674FC"/>
    <w:rsid w:val="00267867"/>
    <w:rsid w:val="002701ED"/>
    <w:rsid w:val="0027076E"/>
    <w:rsid w:val="002715E5"/>
    <w:rsid w:val="00271642"/>
    <w:rsid w:val="00271AF4"/>
    <w:rsid w:val="00272747"/>
    <w:rsid w:val="00272812"/>
    <w:rsid w:val="00273557"/>
    <w:rsid w:val="00273AF1"/>
    <w:rsid w:val="00273EB1"/>
    <w:rsid w:val="002742C4"/>
    <w:rsid w:val="0027478C"/>
    <w:rsid w:val="002747FE"/>
    <w:rsid w:val="002749F4"/>
    <w:rsid w:val="00274CEA"/>
    <w:rsid w:val="00276E87"/>
    <w:rsid w:val="00280101"/>
    <w:rsid w:val="00280569"/>
    <w:rsid w:val="0028159B"/>
    <w:rsid w:val="00283343"/>
    <w:rsid w:val="00283475"/>
    <w:rsid w:val="002841B8"/>
    <w:rsid w:val="002843A3"/>
    <w:rsid w:val="00284488"/>
    <w:rsid w:val="00284996"/>
    <w:rsid w:val="00284D15"/>
    <w:rsid w:val="00285044"/>
    <w:rsid w:val="002852B7"/>
    <w:rsid w:val="0028534D"/>
    <w:rsid w:val="00285594"/>
    <w:rsid w:val="00285654"/>
    <w:rsid w:val="00285B0D"/>
    <w:rsid w:val="00285BC7"/>
    <w:rsid w:val="0028636E"/>
    <w:rsid w:val="00286740"/>
    <w:rsid w:val="00286AC4"/>
    <w:rsid w:val="00287F6C"/>
    <w:rsid w:val="00290163"/>
    <w:rsid w:val="002907AE"/>
    <w:rsid w:val="00290876"/>
    <w:rsid w:val="00290C55"/>
    <w:rsid w:val="00290EE6"/>
    <w:rsid w:val="00292884"/>
    <w:rsid w:val="00292971"/>
    <w:rsid w:val="00292EC1"/>
    <w:rsid w:val="00293051"/>
    <w:rsid w:val="0029338A"/>
    <w:rsid w:val="00293D1E"/>
    <w:rsid w:val="00294726"/>
    <w:rsid w:val="0029481A"/>
    <w:rsid w:val="00294B02"/>
    <w:rsid w:val="00294D83"/>
    <w:rsid w:val="00295917"/>
    <w:rsid w:val="0029593D"/>
    <w:rsid w:val="00295C97"/>
    <w:rsid w:val="002961BB"/>
    <w:rsid w:val="002968B1"/>
    <w:rsid w:val="002968FE"/>
    <w:rsid w:val="00296F46"/>
    <w:rsid w:val="0029717D"/>
    <w:rsid w:val="00297C07"/>
    <w:rsid w:val="002A1277"/>
    <w:rsid w:val="002A1772"/>
    <w:rsid w:val="002A29F2"/>
    <w:rsid w:val="002A3C2E"/>
    <w:rsid w:val="002A4706"/>
    <w:rsid w:val="002A4845"/>
    <w:rsid w:val="002A50A9"/>
    <w:rsid w:val="002A5F57"/>
    <w:rsid w:val="002A6CBF"/>
    <w:rsid w:val="002A6D63"/>
    <w:rsid w:val="002A748F"/>
    <w:rsid w:val="002B02E8"/>
    <w:rsid w:val="002B0384"/>
    <w:rsid w:val="002B1377"/>
    <w:rsid w:val="002B14CD"/>
    <w:rsid w:val="002B2304"/>
    <w:rsid w:val="002B25B2"/>
    <w:rsid w:val="002B25DE"/>
    <w:rsid w:val="002B2668"/>
    <w:rsid w:val="002B2B8E"/>
    <w:rsid w:val="002B2EF8"/>
    <w:rsid w:val="002B3244"/>
    <w:rsid w:val="002B3E0D"/>
    <w:rsid w:val="002B3E89"/>
    <w:rsid w:val="002B484C"/>
    <w:rsid w:val="002B4D3E"/>
    <w:rsid w:val="002B5D34"/>
    <w:rsid w:val="002B6133"/>
    <w:rsid w:val="002B695A"/>
    <w:rsid w:val="002B6BB4"/>
    <w:rsid w:val="002B73E2"/>
    <w:rsid w:val="002B7904"/>
    <w:rsid w:val="002B79DA"/>
    <w:rsid w:val="002B7F97"/>
    <w:rsid w:val="002C0110"/>
    <w:rsid w:val="002C079D"/>
    <w:rsid w:val="002C096A"/>
    <w:rsid w:val="002C12D6"/>
    <w:rsid w:val="002C18B7"/>
    <w:rsid w:val="002C1B26"/>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511"/>
    <w:rsid w:val="002F0637"/>
    <w:rsid w:val="002F094A"/>
    <w:rsid w:val="002F0E98"/>
    <w:rsid w:val="002F209C"/>
    <w:rsid w:val="002F2AA4"/>
    <w:rsid w:val="002F37A8"/>
    <w:rsid w:val="002F3E25"/>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E6A"/>
    <w:rsid w:val="00302CD2"/>
    <w:rsid w:val="0030300D"/>
    <w:rsid w:val="00303208"/>
    <w:rsid w:val="00303427"/>
    <w:rsid w:val="0030350B"/>
    <w:rsid w:val="00303543"/>
    <w:rsid w:val="00303716"/>
    <w:rsid w:val="00303B0B"/>
    <w:rsid w:val="00303BB4"/>
    <w:rsid w:val="00304129"/>
    <w:rsid w:val="00304DDA"/>
    <w:rsid w:val="00304EE1"/>
    <w:rsid w:val="00305CF4"/>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241"/>
    <w:rsid w:val="003153BB"/>
    <w:rsid w:val="003159D9"/>
    <w:rsid w:val="0031729F"/>
    <w:rsid w:val="003174F8"/>
    <w:rsid w:val="00317FD8"/>
    <w:rsid w:val="00320B2A"/>
    <w:rsid w:val="00320F20"/>
    <w:rsid w:val="00321558"/>
    <w:rsid w:val="00321743"/>
    <w:rsid w:val="00322176"/>
    <w:rsid w:val="00322BE4"/>
    <w:rsid w:val="00322FA8"/>
    <w:rsid w:val="00324DD1"/>
    <w:rsid w:val="00325472"/>
    <w:rsid w:val="00325769"/>
    <w:rsid w:val="00325AC3"/>
    <w:rsid w:val="00326155"/>
    <w:rsid w:val="00326B55"/>
    <w:rsid w:val="00327425"/>
    <w:rsid w:val="00330509"/>
    <w:rsid w:val="003308A9"/>
    <w:rsid w:val="00330C3B"/>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786"/>
    <w:rsid w:val="00340CE0"/>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47A59"/>
    <w:rsid w:val="00350336"/>
    <w:rsid w:val="00351513"/>
    <w:rsid w:val="00351BD9"/>
    <w:rsid w:val="00352C2B"/>
    <w:rsid w:val="00352F76"/>
    <w:rsid w:val="0035338B"/>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74D9"/>
    <w:rsid w:val="00367850"/>
    <w:rsid w:val="0037017F"/>
    <w:rsid w:val="00370377"/>
    <w:rsid w:val="00371384"/>
    <w:rsid w:val="00371EEF"/>
    <w:rsid w:val="00372965"/>
    <w:rsid w:val="00372C6F"/>
    <w:rsid w:val="00373E32"/>
    <w:rsid w:val="003748CB"/>
    <w:rsid w:val="00374CB3"/>
    <w:rsid w:val="00375136"/>
    <w:rsid w:val="00375C31"/>
    <w:rsid w:val="00376467"/>
    <w:rsid w:val="00376A38"/>
    <w:rsid w:val="00377E04"/>
    <w:rsid w:val="00377FA0"/>
    <w:rsid w:val="00380F3E"/>
    <w:rsid w:val="00380F49"/>
    <w:rsid w:val="003810AB"/>
    <w:rsid w:val="00381745"/>
    <w:rsid w:val="00381764"/>
    <w:rsid w:val="0038363F"/>
    <w:rsid w:val="00383E33"/>
    <w:rsid w:val="003849E0"/>
    <w:rsid w:val="00384DDA"/>
    <w:rsid w:val="003854E9"/>
    <w:rsid w:val="0038577D"/>
    <w:rsid w:val="00385C8A"/>
    <w:rsid w:val="00386827"/>
    <w:rsid w:val="0038746F"/>
    <w:rsid w:val="00390575"/>
    <w:rsid w:val="003906CD"/>
    <w:rsid w:val="00391125"/>
    <w:rsid w:val="00391F0E"/>
    <w:rsid w:val="003922B1"/>
    <w:rsid w:val="0039296F"/>
    <w:rsid w:val="003930B5"/>
    <w:rsid w:val="0039334A"/>
    <w:rsid w:val="00393468"/>
    <w:rsid w:val="00393585"/>
    <w:rsid w:val="003935B9"/>
    <w:rsid w:val="00395CCF"/>
    <w:rsid w:val="00396338"/>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4BC"/>
    <w:rsid w:val="003A5737"/>
    <w:rsid w:val="003A58AF"/>
    <w:rsid w:val="003B019B"/>
    <w:rsid w:val="003B01E4"/>
    <w:rsid w:val="003B088E"/>
    <w:rsid w:val="003B1F25"/>
    <w:rsid w:val="003B27DF"/>
    <w:rsid w:val="003B2E07"/>
    <w:rsid w:val="003B3951"/>
    <w:rsid w:val="003B3BDF"/>
    <w:rsid w:val="003B44AF"/>
    <w:rsid w:val="003B4787"/>
    <w:rsid w:val="003B4F0C"/>
    <w:rsid w:val="003B50BA"/>
    <w:rsid w:val="003B5452"/>
    <w:rsid w:val="003B5717"/>
    <w:rsid w:val="003B5B2E"/>
    <w:rsid w:val="003B5CAF"/>
    <w:rsid w:val="003B6166"/>
    <w:rsid w:val="003B6534"/>
    <w:rsid w:val="003B6D41"/>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E7"/>
    <w:rsid w:val="003C6080"/>
    <w:rsid w:val="003C6592"/>
    <w:rsid w:val="003C667C"/>
    <w:rsid w:val="003C7335"/>
    <w:rsid w:val="003C7651"/>
    <w:rsid w:val="003C7879"/>
    <w:rsid w:val="003C79DB"/>
    <w:rsid w:val="003D067C"/>
    <w:rsid w:val="003D0906"/>
    <w:rsid w:val="003D13D8"/>
    <w:rsid w:val="003D15B7"/>
    <w:rsid w:val="003D15ED"/>
    <w:rsid w:val="003D1608"/>
    <w:rsid w:val="003D2486"/>
    <w:rsid w:val="003D2A35"/>
    <w:rsid w:val="003D321B"/>
    <w:rsid w:val="003D35FA"/>
    <w:rsid w:val="003D39EF"/>
    <w:rsid w:val="003D41BA"/>
    <w:rsid w:val="003D41C7"/>
    <w:rsid w:val="003D420B"/>
    <w:rsid w:val="003D45E1"/>
    <w:rsid w:val="003D4CC1"/>
    <w:rsid w:val="003D529E"/>
    <w:rsid w:val="003D6474"/>
    <w:rsid w:val="003D664F"/>
    <w:rsid w:val="003D6670"/>
    <w:rsid w:val="003D6A09"/>
    <w:rsid w:val="003D6F67"/>
    <w:rsid w:val="003D707F"/>
    <w:rsid w:val="003D71D5"/>
    <w:rsid w:val="003D74EF"/>
    <w:rsid w:val="003D7671"/>
    <w:rsid w:val="003E0CAF"/>
    <w:rsid w:val="003E1122"/>
    <w:rsid w:val="003E12C9"/>
    <w:rsid w:val="003E1604"/>
    <w:rsid w:val="003E1766"/>
    <w:rsid w:val="003E18F5"/>
    <w:rsid w:val="003E1A61"/>
    <w:rsid w:val="003E279B"/>
    <w:rsid w:val="003E2AB7"/>
    <w:rsid w:val="003E2F36"/>
    <w:rsid w:val="003E2FB3"/>
    <w:rsid w:val="003E37A0"/>
    <w:rsid w:val="003E393E"/>
    <w:rsid w:val="003E3CF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1262"/>
    <w:rsid w:val="00401B6E"/>
    <w:rsid w:val="0040291B"/>
    <w:rsid w:val="00404123"/>
    <w:rsid w:val="00404B91"/>
    <w:rsid w:val="00404BB2"/>
    <w:rsid w:val="0040541F"/>
    <w:rsid w:val="00405424"/>
    <w:rsid w:val="00405C8A"/>
    <w:rsid w:val="00406889"/>
    <w:rsid w:val="00406DEE"/>
    <w:rsid w:val="004072DC"/>
    <w:rsid w:val="00407C6C"/>
    <w:rsid w:val="00410081"/>
    <w:rsid w:val="00410E96"/>
    <w:rsid w:val="00411C1D"/>
    <w:rsid w:val="0041242B"/>
    <w:rsid w:val="00412A04"/>
    <w:rsid w:val="00412C22"/>
    <w:rsid w:val="00412C54"/>
    <w:rsid w:val="00412DB7"/>
    <w:rsid w:val="0041307A"/>
    <w:rsid w:val="00413397"/>
    <w:rsid w:val="00413D02"/>
    <w:rsid w:val="00413DF7"/>
    <w:rsid w:val="004141EF"/>
    <w:rsid w:val="00414FC0"/>
    <w:rsid w:val="004150A8"/>
    <w:rsid w:val="004158E1"/>
    <w:rsid w:val="00415B20"/>
    <w:rsid w:val="00417E9B"/>
    <w:rsid w:val="00417ECD"/>
    <w:rsid w:val="00420473"/>
    <w:rsid w:val="00420694"/>
    <w:rsid w:val="00420703"/>
    <w:rsid w:val="0042081E"/>
    <w:rsid w:val="00420E0C"/>
    <w:rsid w:val="00421989"/>
    <w:rsid w:val="00421C02"/>
    <w:rsid w:val="00422163"/>
    <w:rsid w:val="00422B00"/>
    <w:rsid w:val="0042331A"/>
    <w:rsid w:val="00423479"/>
    <w:rsid w:val="00424B49"/>
    <w:rsid w:val="00424BC0"/>
    <w:rsid w:val="00424CD9"/>
    <w:rsid w:val="00424EE9"/>
    <w:rsid w:val="00425A9F"/>
    <w:rsid w:val="00425C82"/>
    <w:rsid w:val="004267BD"/>
    <w:rsid w:val="00426D00"/>
    <w:rsid w:val="00427071"/>
    <w:rsid w:val="0043000A"/>
    <w:rsid w:val="0043033C"/>
    <w:rsid w:val="00430A35"/>
    <w:rsid w:val="004318F3"/>
    <w:rsid w:val="0043232C"/>
    <w:rsid w:val="00432C14"/>
    <w:rsid w:val="00432D80"/>
    <w:rsid w:val="00432EC8"/>
    <w:rsid w:val="00433ACC"/>
    <w:rsid w:val="004341E9"/>
    <w:rsid w:val="00434323"/>
    <w:rsid w:val="00434720"/>
    <w:rsid w:val="00434C76"/>
    <w:rsid w:val="00434CA4"/>
    <w:rsid w:val="00436AF2"/>
    <w:rsid w:val="00436D44"/>
    <w:rsid w:val="004379FE"/>
    <w:rsid w:val="00440C07"/>
    <w:rsid w:val="00440C48"/>
    <w:rsid w:val="00440E3B"/>
    <w:rsid w:val="0044111B"/>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73E1"/>
    <w:rsid w:val="00447435"/>
    <w:rsid w:val="00447467"/>
    <w:rsid w:val="00447BE4"/>
    <w:rsid w:val="00447CC7"/>
    <w:rsid w:val="0045342A"/>
    <w:rsid w:val="004539F3"/>
    <w:rsid w:val="00453E52"/>
    <w:rsid w:val="00454F37"/>
    <w:rsid w:val="004551C5"/>
    <w:rsid w:val="0045536D"/>
    <w:rsid w:val="0045563A"/>
    <w:rsid w:val="00455C0B"/>
    <w:rsid w:val="0045615C"/>
    <w:rsid w:val="00457539"/>
    <w:rsid w:val="00460A2F"/>
    <w:rsid w:val="00460DFC"/>
    <w:rsid w:val="00462344"/>
    <w:rsid w:val="00462792"/>
    <w:rsid w:val="00462EC3"/>
    <w:rsid w:val="00463713"/>
    <w:rsid w:val="00464A54"/>
    <w:rsid w:val="00464F15"/>
    <w:rsid w:val="00465E1C"/>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4861"/>
    <w:rsid w:val="004756A4"/>
    <w:rsid w:val="004757DD"/>
    <w:rsid w:val="00475A00"/>
    <w:rsid w:val="00475DE8"/>
    <w:rsid w:val="0047620B"/>
    <w:rsid w:val="004765C1"/>
    <w:rsid w:val="00476839"/>
    <w:rsid w:val="00477156"/>
    <w:rsid w:val="00477886"/>
    <w:rsid w:val="00480314"/>
    <w:rsid w:val="00480836"/>
    <w:rsid w:val="0048093C"/>
    <w:rsid w:val="00480C6C"/>
    <w:rsid w:val="00481755"/>
    <w:rsid w:val="00483EBC"/>
    <w:rsid w:val="004842F9"/>
    <w:rsid w:val="004847E2"/>
    <w:rsid w:val="0048633C"/>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CB2"/>
    <w:rsid w:val="00497689"/>
    <w:rsid w:val="00497B8B"/>
    <w:rsid w:val="004A0111"/>
    <w:rsid w:val="004A0A58"/>
    <w:rsid w:val="004A0FBA"/>
    <w:rsid w:val="004A16AC"/>
    <w:rsid w:val="004A1B28"/>
    <w:rsid w:val="004A1C37"/>
    <w:rsid w:val="004A20D4"/>
    <w:rsid w:val="004A2BF9"/>
    <w:rsid w:val="004A2C3A"/>
    <w:rsid w:val="004A39B3"/>
    <w:rsid w:val="004A3A16"/>
    <w:rsid w:val="004A443B"/>
    <w:rsid w:val="004A5BC6"/>
    <w:rsid w:val="004A6087"/>
    <w:rsid w:val="004A67DF"/>
    <w:rsid w:val="004A73AA"/>
    <w:rsid w:val="004B014F"/>
    <w:rsid w:val="004B0A99"/>
    <w:rsid w:val="004B14D9"/>
    <w:rsid w:val="004B2450"/>
    <w:rsid w:val="004B32FC"/>
    <w:rsid w:val="004B39AC"/>
    <w:rsid w:val="004B3CEC"/>
    <w:rsid w:val="004B4071"/>
    <w:rsid w:val="004B41CA"/>
    <w:rsid w:val="004B41D3"/>
    <w:rsid w:val="004B4228"/>
    <w:rsid w:val="004B4A3D"/>
    <w:rsid w:val="004B5ADF"/>
    <w:rsid w:val="004B5DC2"/>
    <w:rsid w:val="004B66C4"/>
    <w:rsid w:val="004B67FA"/>
    <w:rsid w:val="004B702C"/>
    <w:rsid w:val="004B7411"/>
    <w:rsid w:val="004B74DA"/>
    <w:rsid w:val="004B7C2B"/>
    <w:rsid w:val="004C009E"/>
    <w:rsid w:val="004C0413"/>
    <w:rsid w:val="004C1CED"/>
    <w:rsid w:val="004C2707"/>
    <w:rsid w:val="004C43B3"/>
    <w:rsid w:val="004C458A"/>
    <w:rsid w:val="004C4C7A"/>
    <w:rsid w:val="004C4E08"/>
    <w:rsid w:val="004C4F65"/>
    <w:rsid w:val="004C5DDA"/>
    <w:rsid w:val="004C5F4E"/>
    <w:rsid w:val="004C60F8"/>
    <w:rsid w:val="004C665A"/>
    <w:rsid w:val="004C6876"/>
    <w:rsid w:val="004C6BE5"/>
    <w:rsid w:val="004C6EDF"/>
    <w:rsid w:val="004C6F08"/>
    <w:rsid w:val="004C75F6"/>
    <w:rsid w:val="004C7DEF"/>
    <w:rsid w:val="004D0314"/>
    <w:rsid w:val="004D0661"/>
    <w:rsid w:val="004D0892"/>
    <w:rsid w:val="004D1AD3"/>
    <w:rsid w:val="004D311F"/>
    <w:rsid w:val="004D4B5F"/>
    <w:rsid w:val="004D4EF0"/>
    <w:rsid w:val="004D54BD"/>
    <w:rsid w:val="004D6524"/>
    <w:rsid w:val="004D68BE"/>
    <w:rsid w:val="004D6BD9"/>
    <w:rsid w:val="004D6CE6"/>
    <w:rsid w:val="004D789A"/>
    <w:rsid w:val="004E0134"/>
    <w:rsid w:val="004E0695"/>
    <w:rsid w:val="004E081A"/>
    <w:rsid w:val="004E09DC"/>
    <w:rsid w:val="004E1162"/>
    <w:rsid w:val="004E13CC"/>
    <w:rsid w:val="004E1731"/>
    <w:rsid w:val="004E1D47"/>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E7DEA"/>
    <w:rsid w:val="004F0914"/>
    <w:rsid w:val="004F141F"/>
    <w:rsid w:val="004F2000"/>
    <w:rsid w:val="004F2318"/>
    <w:rsid w:val="004F24FB"/>
    <w:rsid w:val="004F2F68"/>
    <w:rsid w:val="004F3176"/>
    <w:rsid w:val="004F4735"/>
    <w:rsid w:val="004F5B6B"/>
    <w:rsid w:val="004F5B94"/>
    <w:rsid w:val="004F63B9"/>
    <w:rsid w:val="004F709F"/>
    <w:rsid w:val="004F767C"/>
    <w:rsid w:val="00500010"/>
    <w:rsid w:val="005001BC"/>
    <w:rsid w:val="00500DD6"/>
    <w:rsid w:val="00501648"/>
    <w:rsid w:val="00501C83"/>
    <w:rsid w:val="0050271A"/>
    <w:rsid w:val="00502E71"/>
    <w:rsid w:val="00503A88"/>
    <w:rsid w:val="005042A1"/>
    <w:rsid w:val="005042BC"/>
    <w:rsid w:val="00504C80"/>
    <w:rsid w:val="005061E5"/>
    <w:rsid w:val="005062B4"/>
    <w:rsid w:val="00506384"/>
    <w:rsid w:val="00506F08"/>
    <w:rsid w:val="005074FD"/>
    <w:rsid w:val="005104CF"/>
    <w:rsid w:val="00510E7E"/>
    <w:rsid w:val="00510F27"/>
    <w:rsid w:val="00511EE9"/>
    <w:rsid w:val="00513759"/>
    <w:rsid w:val="00514262"/>
    <w:rsid w:val="00514327"/>
    <w:rsid w:val="00514D54"/>
    <w:rsid w:val="005159CD"/>
    <w:rsid w:val="00515C6E"/>
    <w:rsid w:val="005160E2"/>
    <w:rsid w:val="005161AD"/>
    <w:rsid w:val="00516BBA"/>
    <w:rsid w:val="00516CBD"/>
    <w:rsid w:val="00516EB9"/>
    <w:rsid w:val="0051752A"/>
    <w:rsid w:val="00517F39"/>
    <w:rsid w:val="00517FBF"/>
    <w:rsid w:val="005211AC"/>
    <w:rsid w:val="00521371"/>
    <w:rsid w:val="00521617"/>
    <w:rsid w:val="00522945"/>
    <w:rsid w:val="00523380"/>
    <w:rsid w:val="005239B7"/>
    <w:rsid w:val="00523BD2"/>
    <w:rsid w:val="00523CBE"/>
    <w:rsid w:val="00523FAF"/>
    <w:rsid w:val="00524146"/>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52B"/>
    <w:rsid w:val="00531CF0"/>
    <w:rsid w:val="00531E6A"/>
    <w:rsid w:val="0053288C"/>
    <w:rsid w:val="00532B67"/>
    <w:rsid w:val="00532B8D"/>
    <w:rsid w:val="00532E70"/>
    <w:rsid w:val="00533A1F"/>
    <w:rsid w:val="005342A1"/>
    <w:rsid w:val="0053580A"/>
    <w:rsid w:val="0053590B"/>
    <w:rsid w:val="00535D0B"/>
    <w:rsid w:val="00536119"/>
    <w:rsid w:val="00536390"/>
    <w:rsid w:val="0053646A"/>
    <w:rsid w:val="0053674A"/>
    <w:rsid w:val="00536EB8"/>
    <w:rsid w:val="0053709A"/>
    <w:rsid w:val="00537407"/>
    <w:rsid w:val="00540B24"/>
    <w:rsid w:val="005415DB"/>
    <w:rsid w:val="005416BB"/>
    <w:rsid w:val="005418E2"/>
    <w:rsid w:val="00541A87"/>
    <w:rsid w:val="00541CC7"/>
    <w:rsid w:val="00541D3C"/>
    <w:rsid w:val="005420B3"/>
    <w:rsid w:val="00542445"/>
    <w:rsid w:val="00542F7E"/>
    <w:rsid w:val="00543B10"/>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17D2"/>
    <w:rsid w:val="00551840"/>
    <w:rsid w:val="00551D2E"/>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E40"/>
    <w:rsid w:val="00554F97"/>
    <w:rsid w:val="005554C2"/>
    <w:rsid w:val="00555ED2"/>
    <w:rsid w:val="00556C0A"/>
    <w:rsid w:val="00557071"/>
    <w:rsid w:val="0055775F"/>
    <w:rsid w:val="00557E0E"/>
    <w:rsid w:val="00557E48"/>
    <w:rsid w:val="00560BE0"/>
    <w:rsid w:val="00562A60"/>
    <w:rsid w:val="00562AE4"/>
    <w:rsid w:val="00564889"/>
    <w:rsid w:val="00564B27"/>
    <w:rsid w:val="00564C9B"/>
    <w:rsid w:val="00564DE4"/>
    <w:rsid w:val="00564FA7"/>
    <w:rsid w:val="00565386"/>
    <w:rsid w:val="00565A20"/>
    <w:rsid w:val="005661AF"/>
    <w:rsid w:val="0056691D"/>
    <w:rsid w:val="005679D6"/>
    <w:rsid w:val="00567D22"/>
    <w:rsid w:val="00567F9E"/>
    <w:rsid w:val="00567FC1"/>
    <w:rsid w:val="0057038E"/>
    <w:rsid w:val="00570A13"/>
    <w:rsid w:val="00570B11"/>
    <w:rsid w:val="005710C0"/>
    <w:rsid w:val="005718EC"/>
    <w:rsid w:val="00572252"/>
    <w:rsid w:val="00572297"/>
    <w:rsid w:val="00572482"/>
    <w:rsid w:val="00572C96"/>
    <w:rsid w:val="005730AB"/>
    <w:rsid w:val="005730C8"/>
    <w:rsid w:val="00573521"/>
    <w:rsid w:val="00573774"/>
    <w:rsid w:val="00573EAB"/>
    <w:rsid w:val="005748E5"/>
    <w:rsid w:val="005750C2"/>
    <w:rsid w:val="0057515A"/>
    <w:rsid w:val="00575BC1"/>
    <w:rsid w:val="00576B32"/>
    <w:rsid w:val="00576DE4"/>
    <w:rsid w:val="00577129"/>
    <w:rsid w:val="0058007A"/>
    <w:rsid w:val="00580CD8"/>
    <w:rsid w:val="00580F93"/>
    <w:rsid w:val="005828F1"/>
    <w:rsid w:val="00582E34"/>
    <w:rsid w:val="005830F2"/>
    <w:rsid w:val="005843CD"/>
    <w:rsid w:val="00585ABE"/>
    <w:rsid w:val="00585DEE"/>
    <w:rsid w:val="00585E2D"/>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2E4"/>
    <w:rsid w:val="0059381A"/>
    <w:rsid w:val="00593C34"/>
    <w:rsid w:val="00594879"/>
    <w:rsid w:val="00594E6B"/>
    <w:rsid w:val="00595AB2"/>
    <w:rsid w:val="00596854"/>
    <w:rsid w:val="005978A0"/>
    <w:rsid w:val="00597A30"/>
    <w:rsid w:val="00597A74"/>
    <w:rsid w:val="00597E5D"/>
    <w:rsid w:val="00597FA3"/>
    <w:rsid w:val="005A0129"/>
    <w:rsid w:val="005A0EFB"/>
    <w:rsid w:val="005A1885"/>
    <w:rsid w:val="005A21BC"/>
    <w:rsid w:val="005A2571"/>
    <w:rsid w:val="005A3963"/>
    <w:rsid w:val="005A3CA5"/>
    <w:rsid w:val="005A4CCA"/>
    <w:rsid w:val="005A5A32"/>
    <w:rsid w:val="005A5C9B"/>
    <w:rsid w:val="005A6AE8"/>
    <w:rsid w:val="005A7007"/>
    <w:rsid w:val="005A72D7"/>
    <w:rsid w:val="005A73B5"/>
    <w:rsid w:val="005A7911"/>
    <w:rsid w:val="005A7BE4"/>
    <w:rsid w:val="005B035A"/>
    <w:rsid w:val="005B0468"/>
    <w:rsid w:val="005B0BCF"/>
    <w:rsid w:val="005B197F"/>
    <w:rsid w:val="005B1C5D"/>
    <w:rsid w:val="005B2B3E"/>
    <w:rsid w:val="005B32E1"/>
    <w:rsid w:val="005B3401"/>
    <w:rsid w:val="005B3653"/>
    <w:rsid w:val="005B3700"/>
    <w:rsid w:val="005B372F"/>
    <w:rsid w:val="005B4024"/>
    <w:rsid w:val="005B4374"/>
    <w:rsid w:val="005B4559"/>
    <w:rsid w:val="005B4689"/>
    <w:rsid w:val="005B5237"/>
    <w:rsid w:val="005B54E9"/>
    <w:rsid w:val="005B5773"/>
    <w:rsid w:val="005B6604"/>
    <w:rsid w:val="005B7212"/>
    <w:rsid w:val="005B77C7"/>
    <w:rsid w:val="005B79D1"/>
    <w:rsid w:val="005B7B29"/>
    <w:rsid w:val="005B7BF4"/>
    <w:rsid w:val="005C0F0A"/>
    <w:rsid w:val="005C109C"/>
    <w:rsid w:val="005C1D39"/>
    <w:rsid w:val="005C1D42"/>
    <w:rsid w:val="005C2439"/>
    <w:rsid w:val="005C2746"/>
    <w:rsid w:val="005C2B9F"/>
    <w:rsid w:val="005C2F7B"/>
    <w:rsid w:val="005C3FEE"/>
    <w:rsid w:val="005C4796"/>
    <w:rsid w:val="005C4E3B"/>
    <w:rsid w:val="005C5AE4"/>
    <w:rsid w:val="005C5C59"/>
    <w:rsid w:val="005C5F0E"/>
    <w:rsid w:val="005C71AA"/>
    <w:rsid w:val="005C73FB"/>
    <w:rsid w:val="005C7C55"/>
    <w:rsid w:val="005C7FB2"/>
    <w:rsid w:val="005D0A1C"/>
    <w:rsid w:val="005D114B"/>
    <w:rsid w:val="005D2250"/>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419"/>
    <w:rsid w:val="005E670D"/>
    <w:rsid w:val="005E6B8D"/>
    <w:rsid w:val="005E6F26"/>
    <w:rsid w:val="005E7BE5"/>
    <w:rsid w:val="005E7E1E"/>
    <w:rsid w:val="005F0E48"/>
    <w:rsid w:val="005F1247"/>
    <w:rsid w:val="005F12B4"/>
    <w:rsid w:val="005F32FC"/>
    <w:rsid w:val="005F374A"/>
    <w:rsid w:val="005F3781"/>
    <w:rsid w:val="005F3C83"/>
    <w:rsid w:val="005F4066"/>
    <w:rsid w:val="005F4EE3"/>
    <w:rsid w:val="005F5068"/>
    <w:rsid w:val="005F585D"/>
    <w:rsid w:val="005F5AD1"/>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F31"/>
    <w:rsid w:val="006029EF"/>
    <w:rsid w:val="006031AD"/>
    <w:rsid w:val="00603524"/>
    <w:rsid w:val="00603C32"/>
    <w:rsid w:val="006040AB"/>
    <w:rsid w:val="00604699"/>
    <w:rsid w:val="006046D4"/>
    <w:rsid w:val="0060482E"/>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11F1"/>
    <w:rsid w:val="006314C2"/>
    <w:rsid w:val="00631843"/>
    <w:rsid w:val="0063209E"/>
    <w:rsid w:val="006320EC"/>
    <w:rsid w:val="0063233E"/>
    <w:rsid w:val="006326C5"/>
    <w:rsid w:val="00632A6F"/>
    <w:rsid w:val="00632AF3"/>
    <w:rsid w:val="00633754"/>
    <w:rsid w:val="0063405A"/>
    <w:rsid w:val="00635AD4"/>
    <w:rsid w:val="00636B48"/>
    <w:rsid w:val="00636CD7"/>
    <w:rsid w:val="00636CE4"/>
    <w:rsid w:val="0063794E"/>
    <w:rsid w:val="00637AF9"/>
    <w:rsid w:val="00640454"/>
    <w:rsid w:val="00641023"/>
    <w:rsid w:val="00641482"/>
    <w:rsid w:val="00641A26"/>
    <w:rsid w:val="0064274E"/>
    <w:rsid w:val="00642AF6"/>
    <w:rsid w:val="00642EEF"/>
    <w:rsid w:val="0064302D"/>
    <w:rsid w:val="006438FE"/>
    <w:rsid w:val="00644D2E"/>
    <w:rsid w:val="006459AD"/>
    <w:rsid w:val="006464AC"/>
    <w:rsid w:val="006469C2"/>
    <w:rsid w:val="00646A3A"/>
    <w:rsid w:val="00646F69"/>
    <w:rsid w:val="00647013"/>
    <w:rsid w:val="00647C7E"/>
    <w:rsid w:val="006502ED"/>
    <w:rsid w:val="00650C67"/>
    <w:rsid w:val="006512F0"/>
    <w:rsid w:val="0065135E"/>
    <w:rsid w:val="006517D3"/>
    <w:rsid w:val="00651ADF"/>
    <w:rsid w:val="00651FFE"/>
    <w:rsid w:val="00652861"/>
    <w:rsid w:val="00652B05"/>
    <w:rsid w:val="00652BF0"/>
    <w:rsid w:val="00652F60"/>
    <w:rsid w:val="00652FB4"/>
    <w:rsid w:val="00653B3C"/>
    <w:rsid w:val="00653F1C"/>
    <w:rsid w:val="0065423E"/>
    <w:rsid w:val="00654637"/>
    <w:rsid w:val="0065486D"/>
    <w:rsid w:val="00654CF7"/>
    <w:rsid w:val="00654D82"/>
    <w:rsid w:val="0065544D"/>
    <w:rsid w:val="006554E5"/>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4474"/>
    <w:rsid w:val="0066448E"/>
    <w:rsid w:val="00664D95"/>
    <w:rsid w:val="00664FC5"/>
    <w:rsid w:val="00665594"/>
    <w:rsid w:val="006658F0"/>
    <w:rsid w:val="00665F0E"/>
    <w:rsid w:val="006662BA"/>
    <w:rsid w:val="00666332"/>
    <w:rsid w:val="0066642F"/>
    <w:rsid w:val="006666FD"/>
    <w:rsid w:val="00666DDF"/>
    <w:rsid w:val="006673D9"/>
    <w:rsid w:val="006678C9"/>
    <w:rsid w:val="00667D51"/>
    <w:rsid w:val="00670491"/>
    <w:rsid w:val="00670F01"/>
    <w:rsid w:val="00670F08"/>
    <w:rsid w:val="00671112"/>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2164"/>
    <w:rsid w:val="006821A3"/>
    <w:rsid w:val="0068230C"/>
    <w:rsid w:val="00682BA5"/>
    <w:rsid w:val="00682FA5"/>
    <w:rsid w:val="0068316A"/>
    <w:rsid w:val="006834D8"/>
    <w:rsid w:val="00683AC0"/>
    <w:rsid w:val="00683CCE"/>
    <w:rsid w:val="00683DEA"/>
    <w:rsid w:val="00683F05"/>
    <w:rsid w:val="006843EE"/>
    <w:rsid w:val="00684B43"/>
    <w:rsid w:val="00684D70"/>
    <w:rsid w:val="006858F0"/>
    <w:rsid w:val="00685937"/>
    <w:rsid w:val="00685DBD"/>
    <w:rsid w:val="0068612F"/>
    <w:rsid w:val="00686EF0"/>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361D"/>
    <w:rsid w:val="006A3AF9"/>
    <w:rsid w:val="006A433E"/>
    <w:rsid w:val="006A454B"/>
    <w:rsid w:val="006A46C0"/>
    <w:rsid w:val="006A4F97"/>
    <w:rsid w:val="006A52EE"/>
    <w:rsid w:val="006A6E5D"/>
    <w:rsid w:val="006B1105"/>
    <w:rsid w:val="006B1158"/>
    <w:rsid w:val="006B15AD"/>
    <w:rsid w:val="006B3446"/>
    <w:rsid w:val="006B3921"/>
    <w:rsid w:val="006B4618"/>
    <w:rsid w:val="006B4AFB"/>
    <w:rsid w:val="006B4F01"/>
    <w:rsid w:val="006B58A1"/>
    <w:rsid w:val="006B74D3"/>
    <w:rsid w:val="006B7656"/>
    <w:rsid w:val="006B7810"/>
    <w:rsid w:val="006B7845"/>
    <w:rsid w:val="006B7867"/>
    <w:rsid w:val="006C0638"/>
    <w:rsid w:val="006C09E4"/>
    <w:rsid w:val="006C0ED8"/>
    <w:rsid w:val="006C102B"/>
    <w:rsid w:val="006C1144"/>
    <w:rsid w:val="006C1185"/>
    <w:rsid w:val="006C16F4"/>
    <w:rsid w:val="006C1B63"/>
    <w:rsid w:val="006C1F97"/>
    <w:rsid w:val="006C2872"/>
    <w:rsid w:val="006C3181"/>
    <w:rsid w:val="006C3DDE"/>
    <w:rsid w:val="006C57B2"/>
    <w:rsid w:val="006C6B6F"/>
    <w:rsid w:val="006C7528"/>
    <w:rsid w:val="006C77ED"/>
    <w:rsid w:val="006C783F"/>
    <w:rsid w:val="006C798A"/>
    <w:rsid w:val="006C7A48"/>
    <w:rsid w:val="006C7E40"/>
    <w:rsid w:val="006D05DB"/>
    <w:rsid w:val="006D179A"/>
    <w:rsid w:val="006D21E9"/>
    <w:rsid w:val="006D22F6"/>
    <w:rsid w:val="006D257F"/>
    <w:rsid w:val="006D311A"/>
    <w:rsid w:val="006D341F"/>
    <w:rsid w:val="006D37AF"/>
    <w:rsid w:val="006D3A1F"/>
    <w:rsid w:val="006D4403"/>
    <w:rsid w:val="006D4720"/>
    <w:rsid w:val="006D4DF2"/>
    <w:rsid w:val="006D4FA9"/>
    <w:rsid w:val="006D5019"/>
    <w:rsid w:val="006D501E"/>
    <w:rsid w:val="006D5274"/>
    <w:rsid w:val="006D5B26"/>
    <w:rsid w:val="006D5D56"/>
    <w:rsid w:val="006D6D49"/>
    <w:rsid w:val="006D6DB7"/>
    <w:rsid w:val="006D70E0"/>
    <w:rsid w:val="006E0181"/>
    <w:rsid w:val="006E0F71"/>
    <w:rsid w:val="006E13AE"/>
    <w:rsid w:val="006E16AA"/>
    <w:rsid w:val="006E3498"/>
    <w:rsid w:val="006E3D8A"/>
    <w:rsid w:val="006E4199"/>
    <w:rsid w:val="006E43F6"/>
    <w:rsid w:val="006E450A"/>
    <w:rsid w:val="006E46D5"/>
    <w:rsid w:val="006E4CA2"/>
    <w:rsid w:val="006E4D80"/>
    <w:rsid w:val="006E4E3E"/>
    <w:rsid w:val="006E532B"/>
    <w:rsid w:val="006E5464"/>
    <w:rsid w:val="006E5EE8"/>
    <w:rsid w:val="006E718A"/>
    <w:rsid w:val="006E71F1"/>
    <w:rsid w:val="006E78A2"/>
    <w:rsid w:val="006E7D1E"/>
    <w:rsid w:val="006F0766"/>
    <w:rsid w:val="006F0B1D"/>
    <w:rsid w:val="006F0F53"/>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FF7"/>
    <w:rsid w:val="00705558"/>
    <w:rsid w:val="00705B86"/>
    <w:rsid w:val="00705E27"/>
    <w:rsid w:val="00705F5D"/>
    <w:rsid w:val="007064D2"/>
    <w:rsid w:val="00706583"/>
    <w:rsid w:val="007103DD"/>
    <w:rsid w:val="007107DF"/>
    <w:rsid w:val="007108F1"/>
    <w:rsid w:val="00710FA6"/>
    <w:rsid w:val="00710FBC"/>
    <w:rsid w:val="007110D8"/>
    <w:rsid w:val="00711275"/>
    <w:rsid w:val="007125DE"/>
    <w:rsid w:val="00712750"/>
    <w:rsid w:val="00712967"/>
    <w:rsid w:val="0071312F"/>
    <w:rsid w:val="0071384D"/>
    <w:rsid w:val="00713A49"/>
    <w:rsid w:val="00713A52"/>
    <w:rsid w:val="00713B49"/>
    <w:rsid w:val="00713CCA"/>
    <w:rsid w:val="00713ED4"/>
    <w:rsid w:val="00713EF8"/>
    <w:rsid w:val="00714741"/>
    <w:rsid w:val="00714C37"/>
    <w:rsid w:val="00714C8E"/>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604F"/>
    <w:rsid w:val="00726BFF"/>
    <w:rsid w:val="0072742F"/>
    <w:rsid w:val="0073154D"/>
    <w:rsid w:val="0073162B"/>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10D"/>
    <w:rsid w:val="00736743"/>
    <w:rsid w:val="007373FD"/>
    <w:rsid w:val="00737A7A"/>
    <w:rsid w:val="00737FE5"/>
    <w:rsid w:val="007401D9"/>
    <w:rsid w:val="00740460"/>
    <w:rsid w:val="0074051D"/>
    <w:rsid w:val="00740F24"/>
    <w:rsid w:val="00741B45"/>
    <w:rsid w:val="00741E2F"/>
    <w:rsid w:val="00741EC9"/>
    <w:rsid w:val="0074246F"/>
    <w:rsid w:val="007429ED"/>
    <w:rsid w:val="00742A67"/>
    <w:rsid w:val="00743DC3"/>
    <w:rsid w:val="00743F94"/>
    <w:rsid w:val="00744E39"/>
    <w:rsid w:val="007450A7"/>
    <w:rsid w:val="00745692"/>
    <w:rsid w:val="007464FB"/>
    <w:rsid w:val="00747741"/>
    <w:rsid w:val="00747D86"/>
    <w:rsid w:val="007501D2"/>
    <w:rsid w:val="00750C6B"/>
    <w:rsid w:val="00750DF9"/>
    <w:rsid w:val="00752066"/>
    <w:rsid w:val="007529C8"/>
    <w:rsid w:val="00753B48"/>
    <w:rsid w:val="00753EB2"/>
    <w:rsid w:val="0075428E"/>
    <w:rsid w:val="007542B0"/>
    <w:rsid w:val="0075442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152"/>
    <w:rsid w:val="00763648"/>
    <w:rsid w:val="00763A62"/>
    <w:rsid w:val="007640A5"/>
    <w:rsid w:val="0076489E"/>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30CC"/>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EBC"/>
    <w:rsid w:val="007815EB"/>
    <w:rsid w:val="00781659"/>
    <w:rsid w:val="0078251F"/>
    <w:rsid w:val="00783029"/>
    <w:rsid w:val="007830F5"/>
    <w:rsid w:val="007832BD"/>
    <w:rsid w:val="0078359E"/>
    <w:rsid w:val="007837AB"/>
    <w:rsid w:val="007841D6"/>
    <w:rsid w:val="00784D35"/>
    <w:rsid w:val="00784E3D"/>
    <w:rsid w:val="007850B5"/>
    <w:rsid w:val="00786515"/>
    <w:rsid w:val="007866E5"/>
    <w:rsid w:val="00786C75"/>
    <w:rsid w:val="0078727E"/>
    <w:rsid w:val="00790251"/>
    <w:rsid w:val="00790C39"/>
    <w:rsid w:val="0079130C"/>
    <w:rsid w:val="007919BA"/>
    <w:rsid w:val="00792348"/>
    <w:rsid w:val="00792BF4"/>
    <w:rsid w:val="00792F8D"/>
    <w:rsid w:val="00793281"/>
    <w:rsid w:val="007950CE"/>
    <w:rsid w:val="007957B6"/>
    <w:rsid w:val="0079645D"/>
    <w:rsid w:val="00796BDD"/>
    <w:rsid w:val="00796C8D"/>
    <w:rsid w:val="00797250"/>
    <w:rsid w:val="007977B0"/>
    <w:rsid w:val="00797848"/>
    <w:rsid w:val="00797A1F"/>
    <w:rsid w:val="007A10A3"/>
    <w:rsid w:val="007A126F"/>
    <w:rsid w:val="007A12F9"/>
    <w:rsid w:val="007A1642"/>
    <w:rsid w:val="007A2B3E"/>
    <w:rsid w:val="007A3260"/>
    <w:rsid w:val="007A3376"/>
    <w:rsid w:val="007A34B2"/>
    <w:rsid w:val="007A4208"/>
    <w:rsid w:val="007A445E"/>
    <w:rsid w:val="007A4EC2"/>
    <w:rsid w:val="007A50B2"/>
    <w:rsid w:val="007A62E3"/>
    <w:rsid w:val="007A6B37"/>
    <w:rsid w:val="007A7191"/>
    <w:rsid w:val="007A7205"/>
    <w:rsid w:val="007A7314"/>
    <w:rsid w:val="007A78EA"/>
    <w:rsid w:val="007B008F"/>
    <w:rsid w:val="007B04F5"/>
    <w:rsid w:val="007B110E"/>
    <w:rsid w:val="007B3315"/>
    <w:rsid w:val="007B3549"/>
    <w:rsid w:val="007B3621"/>
    <w:rsid w:val="007B4A82"/>
    <w:rsid w:val="007B52A7"/>
    <w:rsid w:val="007B626B"/>
    <w:rsid w:val="007B64AA"/>
    <w:rsid w:val="007B7198"/>
    <w:rsid w:val="007B7302"/>
    <w:rsid w:val="007B7497"/>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DCF"/>
    <w:rsid w:val="007C6E65"/>
    <w:rsid w:val="007C7BB9"/>
    <w:rsid w:val="007C7C33"/>
    <w:rsid w:val="007C7F1F"/>
    <w:rsid w:val="007D0044"/>
    <w:rsid w:val="007D06F4"/>
    <w:rsid w:val="007D18FE"/>
    <w:rsid w:val="007D2455"/>
    <w:rsid w:val="007D32B4"/>
    <w:rsid w:val="007D3AF7"/>
    <w:rsid w:val="007D434E"/>
    <w:rsid w:val="007D4BA8"/>
    <w:rsid w:val="007D4C28"/>
    <w:rsid w:val="007D4DEE"/>
    <w:rsid w:val="007D569F"/>
    <w:rsid w:val="007D59BC"/>
    <w:rsid w:val="007D5B05"/>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78D"/>
    <w:rsid w:val="007F1A1F"/>
    <w:rsid w:val="007F1D41"/>
    <w:rsid w:val="007F1F03"/>
    <w:rsid w:val="007F2625"/>
    <w:rsid w:val="007F35DF"/>
    <w:rsid w:val="007F406A"/>
    <w:rsid w:val="007F45BC"/>
    <w:rsid w:val="007F5114"/>
    <w:rsid w:val="007F54DE"/>
    <w:rsid w:val="007F59DB"/>
    <w:rsid w:val="007F65F9"/>
    <w:rsid w:val="007F65FF"/>
    <w:rsid w:val="007F68B7"/>
    <w:rsid w:val="007F6C61"/>
    <w:rsid w:val="007F78D5"/>
    <w:rsid w:val="007F7902"/>
    <w:rsid w:val="0080016B"/>
    <w:rsid w:val="00801265"/>
    <w:rsid w:val="00801843"/>
    <w:rsid w:val="00801A73"/>
    <w:rsid w:val="008024AE"/>
    <w:rsid w:val="0080396D"/>
    <w:rsid w:val="00803CEE"/>
    <w:rsid w:val="00803F6D"/>
    <w:rsid w:val="00803F9C"/>
    <w:rsid w:val="00805103"/>
    <w:rsid w:val="00805E97"/>
    <w:rsid w:val="00805FD3"/>
    <w:rsid w:val="00806131"/>
    <w:rsid w:val="008069A6"/>
    <w:rsid w:val="00807560"/>
    <w:rsid w:val="00810546"/>
    <w:rsid w:val="00810653"/>
    <w:rsid w:val="00810935"/>
    <w:rsid w:val="00810D7B"/>
    <w:rsid w:val="00810DC0"/>
    <w:rsid w:val="00810E3C"/>
    <w:rsid w:val="00811441"/>
    <w:rsid w:val="00812597"/>
    <w:rsid w:val="008128C4"/>
    <w:rsid w:val="00813038"/>
    <w:rsid w:val="008138E4"/>
    <w:rsid w:val="00813BBB"/>
    <w:rsid w:val="00815198"/>
    <w:rsid w:val="00815CEC"/>
    <w:rsid w:val="008168A5"/>
    <w:rsid w:val="00816D7C"/>
    <w:rsid w:val="00817036"/>
    <w:rsid w:val="008170E9"/>
    <w:rsid w:val="00817C76"/>
    <w:rsid w:val="0082004A"/>
    <w:rsid w:val="008202BA"/>
    <w:rsid w:val="008202F3"/>
    <w:rsid w:val="0082037E"/>
    <w:rsid w:val="0082079C"/>
    <w:rsid w:val="00820962"/>
    <w:rsid w:val="00820BE6"/>
    <w:rsid w:val="008210D3"/>
    <w:rsid w:val="008213AF"/>
    <w:rsid w:val="00821444"/>
    <w:rsid w:val="008215B9"/>
    <w:rsid w:val="008216BC"/>
    <w:rsid w:val="00821747"/>
    <w:rsid w:val="00821B89"/>
    <w:rsid w:val="0082235A"/>
    <w:rsid w:val="00822B95"/>
    <w:rsid w:val="00822EDB"/>
    <w:rsid w:val="008234DD"/>
    <w:rsid w:val="00823976"/>
    <w:rsid w:val="00823C82"/>
    <w:rsid w:val="00823E43"/>
    <w:rsid w:val="00823F07"/>
    <w:rsid w:val="008241D8"/>
    <w:rsid w:val="008242AC"/>
    <w:rsid w:val="0082454A"/>
    <w:rsid w:val="00830423"/>
    <w:rsid w:val="008306CF"/>
    <w:rsid w:val="0083082F"/>
    <w:rsid w:val="00830D15"/>
    <w:rsid w:val="008314D1"/>
    <w:rsid w:val="0083168F"/>
    <w:rsid w:val="00831EED"/>
    <w:rsid w:val="00832056"/>
    <w:rsid w:val="008326E7"/>
    <w:rsid w:val="008328E3"/>
    <w:rsid w:val="00834161"/>
    <w:rsid w:val="00834BCD"/>
    <w:rsid w:val="00834FB3"/>
    <w:rsid w:val="00835288"/>
    <w:rsid w:val="008354B6"/>
    <w:rsid w:val="00835CC8"/>
    <w:rsid w:val="00835DBD"/>
    <w:rsid w:val="0083601A"/>
    <w:rsid w:val="008360FD"/>
    <w:rsid w:val="00836272"/>
    <w:rsid w:val="00836D0F"/>
    <w:rsid w:val="008374FC"/>
    <w:rsid w:val="00837BEB"/>
    <w:rsid w:val="00840198"/>
    <w:rsid w:val="00840441"/>
    <w:rsid w:val="008405E0"/>
    <w:rsid w:val="00840BC5"/>
    <w:rsid w:val="00840C3C"/>
    <w:rsid w:val="00840F7F"/>
    <w:rsid w:val="00841150"/>
    <w:rsid w:val="0084199D"/>
    <w:rsid w:val="00841D85"/>
    <w:rsid w:val="00842771"/>
    <w:rsid w:val="00842ECE"/>
    <w:rsid w:val="00843CBA"/>
    <w:rsid w:val="00843EAC"/>
    <w:rsid w:val="008442D2"/>
    <w:rsid w:val="00844697"/>
    <w:rsid w:val="00844985"/>
    <w:rsid w:val="00844A9F"/>
    <w:rsid w:val="00844E9A"/>
    <w:rsid w:val="00845606"/>
    <w:rsid w:val="0084568A"/>
    <w:rsid w:val="00845BDB"/>
    <w:rsid w:val="008461C8"/>
    <w:rsid w:val="008469B1"/>
    <w:rsid w:val="00846F2F"/>
    <w:rsid w:val="00847E54"/>
    <w:rsid w:val="00850E23"/>
    <w:rsid w:val="008519BC"/>
    <w:rsid w:val="00851BF8"/>
    <w:rsid w:val="00852638"/>
    <w:rsid w:val="00852D5C"/>
    <w:rsid w:val="00852F05"/>
    <w:rsid w:val="00853090"/>
    <w:rsid w:val="00853329"/>
    <w:rsid w:val="00853509"/>
    <w:rsid w:val="00853AF2"/>
    <w:rsid w:val="0085437C"/>
    <w:rsid w:val="00854CCB"/>
    <w:rsid w:val="0085580B"/>
    <w:rsid w:val="00855C1C"/>
    <w:rsid w:val="008562F6"/>
    <w:rsid w:val="00856595"/>
    <w:rsid w:val="00856D8A"/>
    <w:rsid w:val="008575D8"/>
    <w:rsid w:val="00860156"/>
    <w:rsid w:val="00860F01"/>
    <w:rsid w:val="00860F36"/>
    <w:rsid w:val="008612A8"/>
    <w:rsid w:val="008625C0"/>
    <w:rsid w:val="00862B00"/>
    <w:rsid w:val="00863FA2"/>
    <w:rsid w:val="00864133"/>
    <w:rsid w:val="00864BAC"/>
    <w:rsid w:val="00865223"/>
    <w:rsid w:val="00865264"/>
    <w:rsid w:val="0086592B"/>
    <w:rsid w:val="00866142"/>
    <w:rsid w:val="00866972"/>
    <w:rsid w:val="00867198"/>
    <w:rsid w:val="0086751D"/>
    <w:rsid w:val="00867903"/>
    <w:rsid w:val="00867EE1"/>
    <w:rsid w:val="00870084"/>
    <w:rsid w:val="00870638"/>
    <w:rsid w:val="00870888"/>
    <w:rsid w:val="00870FA2"/>
    <w:rsid w:val="00871528"/>
    <w:rsid w:val="008715A1"/>
    <w:rsid w:val="0087193A"/>
    <w:rsid w:val="00871B9F"/>
    <w:rsid w:val="008722DD"/>
    <w:rsid w:val="00872D49"/>
    <w:rsid w:val="008734C1"/>
    <w:rsid w:val="00874500"/>
    <w:rsid w:val="0087488B"/>
    <w:rsid w:val="00874B1E"/>
    <w:rsid w:val="00874BAA"/>
    <w:rsid w:val="00875CB8"/>
    <w:rsid w:val="00876987"/>
    <w:rsid w:val="008777AC"/>
    <w:rsid w:val="00877A4E"/>
    <w:rsid w:val="00880721"/>
    <w:rsid w:val="00880CE6"/>
    <w:rsid w:val="008811AC"/>
    <w:rsid w:val="00881978"/>
    <w:rsid w:val="00881DA0"/>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6D37"/>
    <w:rsid w:val="00897432"/>
    <w:rsid w:val="00897E53"/>
    <w:rsid w:val="008A0A31"/>
    <w:rsid w:val="008A0DA6"/>
    <w:rsid w:val="008A1FA2"/>
    <w:rsid w:val="008A3859"/>
    <w:rsid w:val="008A40CE"/>
    <w:rsid w:val="008A443A"/>
    <w:rsid w:val="008A4C9D"/>
    <w:rsid w:val="008A4FD2"/>
    <w:rsid w:val="008A50AB"/>
    <w:rsid w:val="008A5701"/>
    <w:rsid w:val="008A5DC0"/>
    <w:rsid w:val="008A680B"/>
    <w:rsid w:val="008A68CE"/>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298A"/>
    <w:rsid w:val="008C30EB"/>
    <w:rsid w:val="008C326F"/>
    <w:rsid w:val="008C34B2"/>
    <w:rsid w:val="008C3788"/>
    <w:rsid w:val="008C3C39"/>
    <w:rsid w:val="008C48B0"/>
    <w:rsid w:val="008C541E"/>
    <w:rsid w:val="008C635B"/>
    <w:rsid w:val="008C6976"/>
    <w:rsid w:val="008C6B7D"/>
    <w:rsid w:val="008C7074"/>
    <w:rsid w:val="008C73F7"/>
    <w:rsid w:val="008C750D"/>
    <w:rsid w:val="008C7604"/>
    <w:rsid w:val="008D006B"/>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73C3"/>
    <w:rsid w:val="008D73D2"/>
    <w:rsid w:val="008D78AA"/>
    <w:rsid w:val="008E09C3"/>
    <w:rsid w:val="008E0ACA"/>
    <w:rsid w:val="008E1192"/>
    <w:rsid w:val="008E13BD"/>
    <w:rsid w:val="008E182C"/>
    <w:rsid w:val="008E20FF"/>
    <w:rsid w:val="008E272A"/>
    <w:rsid w:val="008E3521"/>
    <w:rsid w:val="008E3A2F"/>
    <w:rsid w:val="008E3AED"/>
    <w:rsid w:val="008E3C48"/>
    <w:rsid w:val="008E3DEE"/>
    <w:rsid w:val="008E4C75"/>
    <w:rsid w:val="008E513C"/>
    <w:rsid w:val="008E56F4"/>
    <w:rsid w:val="008E7038"/>
    <w:rsid w:val="008E72DC"/>
    <w:rsid w:val="008E75BF"/>
    <w:rsid w:val="008F0837"/>
    <w:rsid w:val="008F0D04"/>
    <w:rsid w:val="008F0DD5"/>
    <w:rsid w:val="008F1581"/>
    <w:rsid w:val="008F15D8"/>
    <w:rsid w:val="008F1B20"/>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8F7938"/>
    <w:rsid w:val="009006AA"/>
    <w:rsid w:val="009012FB"/>
    <w:rsid w:val="009020AD"/>
    <w:rsid w:val="0090215C"/>
    <w:rsid w:val="0090310A"/>
    <w:rsid w:val="009039C4"/>
    <w:rsid w:val="00903E34"/>
    <w:rsid w:val="0090512C"/>
    <w:rsid w:val="009051FB"/>
    <w:rsid w:val="0090557C"/>
    <w:rsid w:val="0090562D"/>
    <w:rsid w:val="0090633F"/>
    <w:rsid w:val="0090641A"/>
    <w:rsid w:val="0090737E"/>
    <w:rsid w:val="00907E49"/>
    <w:rsid w:val="009108E1"/>
    <w:rsid w:val="00910E84"/>
    <w:rsid w:val="00911411"/>
    <w:rsid w:val="00911B8C"/>
    <w:rsid w:val="00911DA0"/>
    <w:rsid w:val="0091226D"/>
    <w:rsid w:val="0091353B"/>
    <w:rsid w:val="0091366D"/>
    <w:rsid w:val="00913C26"/>
    <w:rsid w:val="00914399"/>
    <w:rsid w:val="009145A3"/>
    <w:rsid w:val="0091562C"/>
    <w:rsid w:val="009160C9"/>
    <w:rsid w:val="0091667E"/>
    <w:rsid w:val="009167E2"/>
    <w:rsid w:val="0091680A"/>
    <w:rsid w:val="00916F6B"/>
    <w:rsid w:val="00917990"/>
    <w:rsid w:val="00917A63"/>
    <w:rsid w:val="00917BC5"/>
    <w:rsid w:val="00921262"/>
    <w:rsid w:val="00921588"/>
    <w:rsid w:val="009223FB"/>
    <w:rsid w:val="00922FE6"/>
    <w:rsid w:val="009231A5"/>
    <w:rsid w:val="00923559"/>
    <w:rsid w:val="009236A4"/>
    <w:rsid w:val="009240F6"/>
    <w:rsid w:val="0092429A"/>
    <w:rsid w:val="00924C97"/>
    <w:rsid w:val="00925C80"/>
    <w:rsid w:val="00925E60"/>
    <w:rsid w:val="00926944"/>
    <w:rsid w:val="009269F4"/>
    <w:rsid w:val="009272C0"/>
    <w:rsid w:val="00927717"/>
    <w:rsid w:val="00927E90"/>
    <w:rsid w:val="00927EF1"/>
    <w:rsid w:val="0093004F"/>
    <w:rsid w:val="0093040B"/>
    <w:rsid w:val="00930DB4"/>
    <w:rsid w:val="00930E6C"/>
    <w:rsid w:val="0093211F"/>
    <w:rsid w:val="00932186"/>
    <w:rsid w:val="009325A8"/>
    <w:rsid w:val="0093296D"/>
    <w:rsid w:val="00933BBE"/>
    <w:rsid w:val="00934030"/>
    <w:rsid w:val="009343A4"/>
    <w:rsid w:val="009344DC"/>
    <w:rsid w:val="00934F91"/>
    <w:rsid w:val="00935767"/>
    <w:rsid w:val="00935852"/>
    <w:rsid w:val="009366D4"/>
    <w:rsid w:val="009367C4"/>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627"/>
    <w:rsid w:val="00944890"/>
    <w:rsid w:val="009448F8"/>
    <w:rsid w:val="00944B8F"/>
    <w:rsid w:val="0094633A"/>
    <w:rsid w:val="009463C3"/>
    <w:rsid w:val="00946883"/>
    <w:rsid w:val="00947D06"/>
    <w:rsid w:val="009501B4"/>
    <w:rsid w:val="0095090A"/>
    <w:rsid w:val="00950CAC"/>
    <w:rsid w:val="00951176"/>
    <w:rsid w:val="00951C14"/>
    <w:rsid w:val="00951D98"/>
    <w:rsid w:val="00951E83"/>
    <w:rsid w:val="0095270C"/>
    <w:rsid w:val="00952D62"/>
    <w:rsid w:val="00953E5F"/>
    <w:rsid w:val="009544DF"/>
    <w:rsid w:val="00954BBF"/>
    <w:rsid w:val="00954CE2"/>
    <w:rsid w:val="009556AA"/>
    <w:rsid w:val="009557EA"/>
    <w:rsid w:val="00955A05"/>
    <w:rsid w:val="00955DC8"/>
    <w:rsid w:val="009567AC"/>
    <w:rsid w:val="00956CC1"/>
    <w:rsid w:val="00956E59"/>
    <w:rsid w:val="0096006A"/>
    <w:rsid w:val="009606FD"/>
    <w:rsid w:val="00960E05"/>
    <w:rsid w:val="00961073"/>
    <w:rsid w:val="009619E6"/>
    <w:rsid w:val="00961D25"/>
    <w:rsid w:val="00962004"/>
    <w:rsid w:val="00962749"/>
    <w:rsid w:val="00962F63"/>
    <w:rsid w:val="00962FD6"/>
    <w:rsid w:val="009635FF"/>
    <w:rsid w:val="00963799"/>
    <w:rsid w:val="00963E5A"/>
    <w:rsid w:val="0096612D"/>
    <w:rsid w:val="009661FC"/>
    <w:rsid w:val="0096631B"/>
    <w:rsid w:val="00966977"/>
    <w:rsid w:val="009672EC"/>
    <w:rsid w:val="00967BB9"/>
    <w:rsid w:val="00967E84"/>
    <w:rsid w:val="00970EB8"/>
    <w:rsid w:val="00970FB3"/>
    <w:rsid w:val="00971228"/>
    <w:rsid w:val="00971857"/>
    <w:rsid w:val="00971C40"/>
    <w:rsid w:val="0097264F"/>
    <w:rsid w:val="00973445"/>
    <w:rsid w:val="0097384D"/>
    <w:rsid w:val="009749AD"/>
    <w:rsid w:val="009750CE"/>
    <w:rsid w:val="00975816"/>
    <w:rsid w:val="00975E09"/>
    <w:rsid w:val="00976910"/>
    <w:rsid w:val="00976DCD"/>
    <w:rsid w:val="009772CA"/>
    <w:rsid w:val="009772D1"/>
    <w:rsid w:val="009810FB"/>
    <w:rsid w:val="00982E94"/>
    <w:rsid w:val="0098306A"/>
    <w:rsid w:val="00983265"/>
    <w:rsid w:val="00983505"/>
    <w:rsid w:val="0098490F"/>
    <w:rsid w:val="0098552E"/>
    <w:rsid w:val="00985622"/>
    <w:rsid w:val="00986786"/>
    <w:rsid w:val="00986FE2"/>
    <w:rsid w:val="009875A2"/>
    <w:rsid w:val="00987A25"/>
    <w:rsid w:val="00987A4B"/>
    <w:rsid w:val="00987AE4"/>
    <w:rsid w:val="00987CE4"/>
    <w:rsid w:val="00987D06"/>
    <w:rsid w:val="00987F6E"/>
    <w:rsid w:val="00990212"/>
    <w:rsid w:val="00990A2E"/>
    <w:rsid w:val="00990D38"/>
    <w:rsid w:val="00991234"/>
    <w:rsid w:val="00991AB2"/>
    <w:rsid w:val="0099209A"/>
    <w:rsid w:val="009926DE"/>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44E"/>
    <w:rsid w:val="009A067C"/>
    <w:rsid w:val="009A1227"/>
    <w:rsid w:val="009A1307"/>
    <w:rsid w:val="009A158A"/>
    <w:rsid w:val="009A2AD3"/>
    <w:rsid w:val="009A2D3C"/>
    <w:rsid w:val="009A38EA"/>
    <w:rsid w:val="009A3E8B"/>
    <w:rsid w:val="009A3FA1"/>
    <w:rsid w:val="009A4971"/>
    <w:rsid w:val="009A4AC9"/>
    <w:rsid w:val="009A50B6"/>
    <w:rsid w:val="009A52F8"/>
    <w:rsid w:val="009A5BBF"/>
    <w:rsid w:val="009A5BCC"/>
    <w:rsid w:val="009A5E4F"/>
    <w:rsid w:val="009A6453"/>
    <w:rsid w:val="009A7350"/>
    <w:rsid w:val="009A76FE"/>
    <w:rsid w:val="009A7BBC"/>
    <w:rsid w:val="009B0036"/>
    <w:rsid w:val="009B051D"/>
    <w:rsid w:val="009B0738"/>
    <w:rsid w:val="009B08E4"/>
    <w:rsid w:val="009B0977"/>
    <w:rsid w:val="009B09EA"/>
    <w:rsid w:val="009B15F6"/>
    <w:rsid w:val="009B1713"/>
    <w:rsid w:val="009B1721"/>
    <w:rsid w:val="009B1E96"/>
    <w:rsid w:val="009B2E77"/>
    <w:rsid w:val="009B3F96"/>
    <w:rsid w:val="009B45A3"/>
    <w:rsid w:val="009B46C0"/>
    <w:rsid w:val="009B4DFD"/>
    <w:rsid w:val="009B50FB"/>
    <w:rsid w:val="009B536C"/>
    <w:rsid w:val="009B62F2"/>
    <w:rsid w:val="009B6D9A"/>
    <w:rsid w:val="009B753E"/>
    <w:rsid w:val="009B78BC"/>
    <w:rsid w:val="009C0765"/>
    <w:rsid w:val="009C2054"/>
    <w:rsid w:val="009C24EB"/>
    <w:rsid w:val="009C2594"/>
    <w:rsid w:val="009C2A6B"/>
    <w:rsid w:val="009C2C3F"/>
    <w:rsid w:val="009C2E5A"/>
    <w:rsid w:val="009C30A3"/>
    <w:rsid w:val="009C318D"/>
    <w:rsid w:val="009C341D"/>
    <w:rsid w:val="009C3FD0"/>
    <w:rsid w:val="009C547C"/>
    <w:rsid w:val="009C5F2F"/>
    <w:rsid w:val="009C6341"/>
    <w:rsid w:val="009C653D"/>
    <w:rsid w:val="009C721E"/>
    <w:rsid w:val="009C7B7E"/>
    <w:rsid w:val="009C7E43"/>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3F8"/>
    <w:rsid w:val="009E4599"/>
    <w:rsid w:val="009E469A"/>
    <w:rsid w:val="009E5682"/>
    <w:rsid w:val="009E5806"/>
    <w:rsid w:val="009E6012"/>
    <w:rsid w:val="009E6B24"/>
    <w:rsid w:val="009E7C7C"/>
    <w:rsid w:val="009E7EDD"/>
    <w:rsid w:val="009F0AA2"/>
    <w:rsid w:val="009F1097"/>
    <w:rsid w:val="009F1983"/>
    <w:rsid w:val="009F23BD"/>
    <w:rsid w:val="009F28DA"/>
    <w:rsid w:val="009F2913"/>
    <w:rsid w:val="009F38CE"/>
    <w:rsid w:val="009F3C50"/>
    <w:rsid w:val="009F3FDB"/>
    <w:rsid w:val="009F425D"/>
    <w:rsid w:val="009F42B3"/>
    <w:rsid w:val="009F48AA"/>
    <w:rsid w:val="009F4E34"/>
    <w:rsid w:val="009F532D"/>
    <w:rsid w:val="009F583B"/>
    <w:rsid w:val="009F5ABB"/>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3F4D"/>
    <w:rsid w:val="00A04318"/>
    <w:rsid w:val="00A04927"/>
    <w:rsid w:val="00A0497C"/>
    <w:rsid w:val="00A04F4B"/>
    <w:rsid w:val="00A04FFB"/>
    <w:rsid w:val="00A0585A"/>
    <w:rsid w:val="00A0695D"/>
    <w:rsid w:val="00A06E12"/>
    <w:rsid w:val="00A10AC7"/>
    <w:rsid w:val="00A10DA5"/>
    <w:rsid w:val="00A11319"/>
    <w:rsid w:val="00A11A60"/>
    <w:rsid w:val="00A12A2D"/>
    <w:rsid w:val="00A13915"/>
    <w:rsid w:val="00A13C4E"/>
    <w:rsid w:val="00A13F87"/>
    <w:rsid w:val="00A14560"/>
    <w:rsid w:val="00A14628"/>
    <w:rsid w:val="00A14D7C"/>
    <w:rsid w:val="00A14E53"/>
    <w:rsid w:val="00A15418"/>
    <w:rsid w:val="00A16B7B"/>
    <w:rsid w:val="00A178E7"/>
    <w:rsid w:val="00A17F7B"/>
    <w:rsid w:val="00A20195"/>
    <w:rsid w:val="00A20303"/>
    <w:rsid w:val="00A2032E"/>
    <w:rsid w:val="00A20829"/>
    <w:rsid w:val="00A23F13"/>
    <w:rsid w:val="00A240BF"/>
    <w:rsid w:val="00A242E1"/>
    <w:rsid w:val="00A24643"/>
    <w:rsid w:val="00A249A0"/>
    <w:rsid w:val="00A249F7"/>
    <w:rsid w:val="00A24B24"/>
    <w:rsid w:val="00A24B51"/>
    <w:rsid w:val="00A24C80"/>
    <w:rsid w:val="00A24E4F"/>
    <w:rsid w:val="00A252C3"/>
    <w:rsid w:val="00A2728D"/>
    <w:rsid w:val="00A3027C"/>
    <w:rsid w:val="00A30A76"/>
    <w:rsid w:val="00A30EB9"/>
    <w:rsid w:val="00A31367"/>
    <w:rsid w:val="00A32CAE"/>
    <w:rsid w:val="00A3371D"/>
    <w:rsid w:val="00A33C2B"/>
    <w:rsid w:val="00A341C0"/>
    <w:rsid w:val="00A348D3"/>
    <w:rsid w:val="00A3523E"/>
    <w:rsid w:val="00A352BC"/>
    <w:rsid w:val="00A3673A"/>
    <w:rsid w:val="00A3707D"/>
    <w:rsid w:val="00A37822"/>
    <w:rsid w:val="00A37C8C"/>
    <w:rsid w:val="00A37DB5"/>
    <w:rsid w:val="00A37E59"/>
    <w:rsid w:val="00A4079A"/>
    <w:rsid w:val="00A40A62"/>
    <w:rsid w:val="00A40C5B"/>
    <w:rsid w:val="00A40D9E"/>
    <w:rsid w:val="00A40E17"/>
    <w:rsid w:val="00A412B4"/>
    <w:rsid w:val="00A415A9"/>
    <w:rsid w:val="00A41767"/>
    <w:rsid w:val="00A42538"/>
    <w:rsid w:val="00A42AAE"/>
    <w:rsid w:val="00A43680"/>
    <w:rsid w:val="00A44286"/>
    <w:rsid w:val="00A4460E"/>
    <w:rsid w:val="00A446ED"/>
    <w:rsid w:val="00A44794"/>
    <w:rsid w:val="00A44E0A"/>
    <w:rsid w:val="00A44F16"/>
    <w:rsid w:val="00A4514A"/>
    <w:rsid w:val="00A4544B"/>
    <w:rsid w:val="00A45793"/>
    <w:rsid w:val="00A4612A"/>
    <w:rsid w:val="00A461A9"/>
    <w:rsid w:val="00A463B8"/>
    <w:rsid w:val="00A46541"/>
    <w:rsid w:val="00A473A0"/>
    <w:rsid w:val="00A47613"/>
    <w:rsid w:val="00A50017"/>
    <w:rsid w:val="00A5097F"/>
    <w:rsid w:val="00A50A2F"/>
    <w:rsid w:val="00A51A64"/>
    <w:rsid w:val="00A51A85"/>
    <w:rsid w:val="00A53E27"/>
    <w:rsid w:val="00A54707"/>
    <w:rsid w:val="00A555A6"/>
    <w:rsid w:val="00A555DC"/>
    <w:rsid w:val="00A556DE"/>
    <w:rsid w:val="00A55B03"/>
    <w:rsid w:val="00A55DC7"/>
    <w:rsid w:val="00A56DCA"/>
    <w:rsid w:val="00A57514"/>
    <w:rsid w:val="00A57824"/>
    <w:rsid w:val="00A608D2"/>
    <w:rsid w:val="00A60A7C"/>
    <w:rsid w:val="00A60DB5"/>
    <w:rsid w:val="00A63118"/>
    <w:rsid w:val="00A63947"/>
    <w:rsid w:val="00A64063"/>
    <w:rsid w:val="00A64DD4"/>
    <w:rsid w:val="00A6526E"/>
    <w:rsid w:val="00A6574A"/>
    <w:rsid w:val="00A66962"/>
    <w:rsid w:val="00A67BA0"/>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6160"/>
    <w:rsid w:val="00A76521"/>
    <w:rsid w:val="00A77154"/>
    <w:rsid w:val="00A77462"/>
    <w:rsid w:val="00A775F1"/>
    <w:rsid w:val="00A7792B"/>
    <w:rsid w:val="00A8034E"/>
    <w:rsid w:val="00A80774"/>
    <w:rsid w:val="00A81005"/>
    <w:rsid w:val="00A81543"/>
    <w:rsid w:val="00A81A39"/>
    <w:rsid w:val="00A825FF"/>
    <w:rsid w:val="00A8294F"/>
    <w:rsid w:val="00A8297B"/>
    <w:rsid w:val="00A8413F"/>
    <w:rsid w:val="00A841C9"/>
    <w:rsid w:val="00A84E08"/>
    <w:rsid w:val="00A851FA"/>
    <w:rsid w:val="00A85602"/>
    <w:rsid w:val="00A85A19"/>
    <w:rsid w:val="00A8631F"/>
    <w:rsid w:val="00A87D49"/>
    <w:rsid w:val="00A90046"/>
    <w:rsid w:val="00A90542"/>
    <w:rsid w:val="00A90A3E"/>
    <w:rsid w:val="00A9101B"/>
    <w:rsid w:val="00A91662"/>
    <w:rsid w:val="00A91A56"/>
    <w:rsid w:val="00A91A5F"/>
    <w:rsid w:val="00A91FD2"/>
    <w:rsid w:val="00A93845"/>
    <w:rsid w:val="00A94ED5"/>
    <w:rsid w:val="00A953AC"/>
    <w:rsid w:val="00A95437"/>
    <w:rsid w:val="00A95523"/>
    <w:rsid w:val="00A96705"/>
    <w:rsid w:val="00A968C9"/>
    <w:rsid w:val="00A9696C"/>
    <w:rsid w:val="00A977AE"/>
    <w:rsid w:val="00A977B0"/>
    <w:rsid w:val="00AA07C3"/>
    <w:rsid w:val="00AA0987"/>
    <w:rsid w:val="00AA1E72"/>
    <w:rsid w:val="00AA274A"/>
    <w:rsid w:val="00AA3595"/>
    <w:rsid w:val="00AA3F6D"/>
    <w:rsid w:val="00AA3FD0"/>
    <w:rsid w:val="00AA4582"/>
    <w:rsid w:val="00AA5177"/>
    <w:rsid w:val="00AA54D3"/>
    <w:rsid w:val="00AA55C7"/>
    <w:rsid w:val="00AA6367"/>
    <w:rsid w:val="00AA67FF"/>
    <w:rsid w:val="00AA7215"/>
    <w:rsid w:val="00AA7CAF"/>
    <w:rsid w:val="00AB0046"/>
    <w:rsid w:val="00AB08CE"/>
    <w:rsid w:val="00AB0C38"/>
    <w:rsid w:val="00AB1750"/>
    <w:rsid w:val="00AB1878"/>
    <w:rsid w:val="00AB1C75"/>
    <w:rsid w:val="00AB24F1"/>
    <w:rsid w:val="00AB365E"/>
    <w:rsid w:val="00AB443B"/>
    <w:rsid w:val="00AB44CD"/>
    <w:rsid w:val="00AB4667"/>
    <w:rsid w:val="00AB4E1B"/>
    <w:rsid w:val="00AB4EA7"/>
    <w:rsid w:val="00AB57F6"/>
    <w:rsid w:val="00AB5AF3"/>
    <w:rsid w:val="00AB6B43"/>
    <w:rsid w:val="00AB6E51"/>
    <w:rsid w:val="00AB76E0"/>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06C1"/>
    <w:rsid w:val="00AD0B87"/>
    <w:rsid w:val="00AD12AC"/>
    <w:rsid w:val="00AD1536"/>
    <w:rsid w:val="00AD1C9E"/>
    <w:rsid w:val="00AD27B4"/>
    <w:rsid w:val="00AD32F7"/>
    <w:rsid w:val="00AD3A95"/>
    <w:rsid w:val="00AD3DB0"/>
    <w:rsid w:val="00AD44E5"/>
    <w:rsid w:val="00AD4519"/>
    <w:rsid w:val="00AD481E"/>
    <w:rsid w:val="00AD584B"/>
    <w:rsid w:val="00AD5DC0"/>
    <w:rsid w:val="00AD5FD7"/>
    <w:rsid w:val="00AD63D3"/>
    <w:rsid w:val="00AD65BA"/>
    <w:rsid w:val="00AD6851"/>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312A"/>
    <w:rsid w:val="00AF3241"/>
    <w:rsid w:val="00AF4235"/>
    <w:rsid w:val="00AF489E"/>
    <w:rsid w:val="00AF5E98"/>
    <w:rsid w:val="00AF5ED0"/>
    <w:rsid w:val="00AF68D2"/>
    <w:rsid w:val="00AF732C"/>
    <w:rsid w:val="00AF74C8"/>
    <w:rsid w:val="00AF7B4A"/>
    <w:rsid w:val="00AF7DE7"/>
    <w:rsid w:val="00B00085"/>
    <w:rsid w:val="00B00966"/>
    <w:rsid w:val="00B00DE8"/>
    <w:rsid w:val="00B011F2"/>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952"/>
    <w:rsid w:val="00B06E02"/>
    <w:rsid w:val="00B07348"/>
    <w:rsid w:val="00B07CFD"/>
    <w:rsid w:val="00B100AC"/>
    <w:rsid w:val="00B103A6"/>
    <w:rsid w:val="00B1053E"/>
    <w:rsid w:val="00B10A61"/>
    <w:rsid w:val="00B110AB"/>
    <w:rsid w:val="00B110C1"/>
    <w:rsid w:val="00B12935"/>
    <w:rsid w:val="00B129B7"/>
    <w:rsid w:val="00B12B2D"/>
    <w:rsid w:val="00B13128"/>
    <w:rsid w:val="00B13721"/>
    <w:rsid w:val="00B13C4B"/>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23D6"/>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A94"/>
    <w:rsid w:val="00B30B56"/>
    <w:rsid w:val="00B30CDD"/>
    <w:rsid w:val="00B30D6F"/>
    <w:rsid w:val="00B31322"/>
    <w:rsid w:val="00B31D49"/>
    <w:rsid w:val="00B32126"/>
    <w:rsid w:val="00B329C7"/>
    <w:rsid w:val="00B33729"/>
    <w:rsid w:val="00B34F16"/>
    <w:rsid w:val="00B35DC3"/>
    <w:rsid w:val="00B3677B"/>
    <w:rsid w:val="00B36A14"/>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B9"/>
    <w:rsid w:val="00B43A5C"/>
    <w:rsid w:val="00B44C1C"/>
    <w:rsid w:val="00B45BCB"/>
    <w:rsid w:val="00B45C7E"/>
    <w:rsid w:val="00B45D1C"/>
    <w:rsid w:val="00B46240"/>
    <w:rsid w:val="00B4647C"/>
    <w:rsid w:val="00B466BC"/>
    <w:rsid w:val="00B47730"/>
    <w:rsid w:val="00B50E5D"/>
    <w:rsid w:val="00B51846"/>
    <w:rsid w:val="00B5196B"/>
    <w:rsid w:val="00B5197A"/>
    <w:rsid w:val="00B52123"/>
    <w:rsid w:val="00B52192"/>
    <w:rsid w:val="00B529DF"/>
    <w:rsid w:val="00B52E1C"/>
    <w:rsid w:val="00B53232"/>
    <w:rsid w:val="00B534FA"/>
    <w:rsid w:val="00B538A7"/>
    <w:rsid w:val="00B53EDF"/>
    <w:rsid w:val="00B542CF"/>
    <w:rsid w:val="00B5559A"/>
    <w:rsid w:val="00B55E9E"/>
    <w:rsid w:val="00B566E2"/>
    <w:rsid w:val="00B56E2A"/>
    <w:rsid w:val="00B5703E"/>
    <w:rsid w:val="00B573FE"/>
    <w:rsid w:val="00B57DC1"/>
    <w:rsid w:val="00B602EC"/>
    <w:rsid w:val="00B6079A"/>
    <w:rsid w:val="00B608A3"/>
    <w:rsid w:val="00B60FE8"/>
    <w:rsid w:val="00B6108F"/>
    <w:rsid w:val="00B6120B"/>
    <w:rsid w:val="00B61869"/>
    <w:rsid w:val="00B61C85"/>
    <w:rsid w:val="00B625C3"/>
    <w:rsid w:val="00B62756"/>
    <w:rsid w:val="00B63FEA"/>
    <w:rsid w:val="00B64205"/>
    <w:rsid w:val="00B64340"/>
    <w:rsid w:val="00B64364"/>
    <w:rsid w:val="00B646BF"/>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6C8"/>
    <w:rsid w:val="00B721C7"/>
    <w:rsid w:val="00B72BCF"/>
    <w:rsid w:val="00B72E9D"/>
    <w:rsid w:val="00B73395"/>
    <w:rsid w:val="00B738DC"/>
    <w:rsid w:val="00B7424D"/>
    <w:rsid w:val="00B74475"/>
    <w:rsid w:val="00B74858"/>
    <w:rsid w:val="00B74A09"/>
    <w:rsid w:val="00B74A3A"/>
    <w:rsid w:val="00B74D9E"/>
    <w:rsid w:val="00B75DEF"/>
    <w:rsid w:val="00B76064"/>
    <w:rsid w:val="00B77876"/>
    <w:rsid w:val="00B80307"/>
    <w:rsid w:val="00B809F2"/>
    <w:rsid w:val="00B80E88"/>
    <w:rsid w:val="00B81142"/>
    <w:rsid w:val="00B816B8"/>
    <w:rsid w:val="00B82272"/>
    <w:rsid w:val="00B82360"/>
    <w:rsid w:val="00B82B78"/>
    <w:rsid w:val="00B832B4"/>
    <w:rsid w:val="00B834AF"/>
    <w:rsid w:val="00B83D67"/>
    <w:rsid w:val="00B843FE"/>
    <w:rsid w:val="00B84D8D"/>
    <w:rsid w:val="00B84E02"/>
    <w:rsid w:val="00B85F9A"/>
    <w:rsid w:val="00B8608B"/>
    <w:rsid w:val="00B86279"/>
    <w:rsid w:val="00B86568"/>
    <w:rsid w:val="00B86928"/>
    <w:rsid w:val="00B86B13"/>
    <w:rsid w:val="00B87435"/>
    <w:rsid w:val="00B87481"/>
    <w:rsid w:val="00B87995"/>
    <w:rsid w:val="00B906CA"/>
    <w:rsid w:val="00B907BB"/>
    <w:rsid w:val="00B90A20"/>
    <w:rsid w:val="00B90E95"/>
    <w:rsid w:val="00B9144F"/>
    <w:rsid w:val="00B924EC"/>
    <w:rsid w:val="00B93219"/>
    <w:rsid w:val="00B93271"/>
    <w:rsid w:val="00B9341C"/>
    <w:rsid w:val="00B9351A"/>
    <w:rsid w:val="00B93839"/>
    <w:rsid w:val="00B93FD2"/>
    <w:rsid w:val="00B942AC"/>
    <w:rsid w:val="00B95110"/>
    <w:rsid w:val="00B95876"/>
    <w:rsid w:val="00B96172"/>
    <w:rsid w:val="00B9621C"/>
    <w:rsid w:val="00B9632D"/>
    <w:rsid w:val="00B9667A"/>
    <w:rsid w:val="00B97227"/>
    <w:rsid w:val="00B976B5"/>
    <w:rsid w:val="00BA099B"/>
    <w:rsid w:val="00BA0C6C"/>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FA3"/>
    <w:rsid w:val="00BB76BF"/>
    <w:rsid w:val="00BC02C9"/>
    <w:rsid w:val="00BC1E67"/>
    <w:rsid w:val="00BC2554"/>
    <w:rsid w:val="00BC2583"/>
    <w:rsid w:val="00BC2620"/>
    <w:rsid w:val="00BC280E"/>
    <w:rsid w:val="00BC2D54"/>
    <w:rsid w:val="00BC3134"/>
    <w:rsid w:val="00BC376A"/>
    <w:rsid w:val="00BC392D"/>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E44"/>
    <w:rsid w:val="00BD6A65"/>
    <w:rsid w:val="00BD6C15"/>
    <w:rsid w:val="00BD756E"/>
    <w:rsid w:val="00BD76D4"/>
    <w:rsid w:val="00BD7A60"/>
    <w:rsid w:val="00BE16B2"/>
    <w:rsid w:val="00BE1C49"/>
    <w:rsid w:val="00BE1D66"/>
    <w:rsid w:val="00BE1F9B"/>
    <w:rsid w:val="00BE2100"/>
    <w:rsid w:val="00BE2721"/>
    <w:rsid w:val="00BE3398"/>
    <w:rsid w:val="00BE3676"/>
    <w:rsid w:val="00BE44BE"/>
    <w:rsid w:val="00BE52A7"/>
    <w:rsid w:val="00BE58FC"/>
    <w:rsid w:val="00BE5A27"/>
    <w:rsid w:val="00BE5C73"/>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5443"/>
    <w:rsid w:val="00BF5936"/>
    <w:rsid w:val="00BF62D3"/>
    <w:rsid w:val="00BF662F"/>
    <w:rsid w:val="00BF7316"/>
    <w:rsid w:val="00BF7DD9"/>
    <w:rsid w:val="00C0025C"/>
    <w:rsid w:val="00C0099A"/>
    <w:rsid w:val="00C00B59"/>
    <w:rsid w:val="00C012E6"/>
    <w:rsid w:val="00C02276"/>
    <w:rsid w:val="00C024A9"/>
    <w:rsid w:val="00C02536"/>
    <w:rsid w:val="00C02C91"/>
    <w:rsid w:val="00C032BF"/>
    <w:rsid w:val="00C0398A"/>
    <w:rsid w:val="00C03A0A"/>
    <w:rsid w:val="00C03B14"/>
    <w:rsid w:val="00C04181"/>
    <w:rsid w:val="00C0419A"/>
    <w:rsid w:val="00C04331"/>
    <w:rsid w:val="00C04B0A"/>
    <w:rsid w:val="00C05184"/>
    <w:rsid w:val="00C06F91"/>
    <w:rsid w:val="00C07085"/>
    <w:rsid w:val="00C07293"/>
    <w:rsid w:val="00C07C2B"/>
    <w:rsid w:val="00C1022A"/>
    <w:rsid w:val="00C10F9E"/>
    <w:rsid w:val="00C12A73"/>
    <w:rsid w:val="00C13515"/>
    <w:rsid w:val="00C14078"/>
    <w:rsid w:val="00C14CAF"/>
    <w:rsid w:val="00C1518C"/>
    <w:rsid w:val="00C156DF"/>
    <w:rsid w:val="00C157CD"/>
    <w:rsid w:val="00C15AEF"/>
    <w:rsid w:val="00C16110"/>
    <w:rsid w:val="00C1636B"/>
    <w:rsid w:val="00C17244"/>
    <w:rsid w:val="00C173DC"/>
    <w:rsid w:val="00C17491"/>
    <w:rsid w:val="00C20200"/>
    <w:rsid w:val="00C2042B"/>
    <w:rsid w:val="00C205BF"/>
    <w:rsid w:val="00C20631"/>
    <w:rsid w:val="00C20868"/>
    <w:rsid w:val="00C22592"/>
    <w:rsid w:val="00C22672"/>
    <w:rsid w:val="00C22C28"/>
    <w:rsid w:val="00C23B2D"/>
    <w:rsid w:val="00C2406A"/>
    <w:rsid w:val="00C2409D"/>
    <w:rsid w:val="00C248F3"/>
    <w:rsid w:val="00C24A17"/>
    <w:rsid w:val="00C24AE4"/>
    <w:rsid w:val="00C24DBE"/>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46C5"/>
    <w:rsid w:val="00C34BD6"/>
    <w:rsid w:val="00C34BF2"/>
    <w:rsid w:val="00C34E44"/>
    <w:rsid w:val="00C35849"/>
    <w:rsid w:val="00C35C17"/>
    <w:rsid w:val="00C36431"/>
    <w:rsid w:val="00C3669A"/>
    <w:rsid w:val="00C36718"/>
    <w:rsid w:val="00C3675D"/>
    <w:rsid w:val="00C370BE"/>
    <w:rsid w:val="00C370E6"/>
    <w:rsid w:val="00C3726E"/>
    <w:rsid w:val="00C373E3"/>
    <w:rsid w:val="00C3755D"/>
    <w:rsid w:val="00C37918"/>
    <w:rsid w:val="00C3796D"/>
    <w:rsid w:val="00C4018A"/>
    <w:rsid w:val="00C40557"/>
    <w:rsid w:val="00C41216"/>
    <w:rsid w:val="00C41F11"/>
    <w:rsid w:val="00C422BA"/>
    <w:rsid w:val="00C4277C"/>
    <w:rsid w:val="00C42992"/>
    <w:rsid w:val="00C42B66"/>
    <w:rsid w:val="00C431F9"/>
    <w:rsid w:val="00C4338C"/>
    <w:rsid w:val="00C4395A"/>
    <w:rsid w:val="00C43EE2"/>
    <w:rsid w:val="00C445D2"/>
    <w:rsid w:val="00C44EEA"/>
    <w:rsid w:val="00C454D3"/>
    <w:rsid w:val="00C4733D"/>
    <w:rsid w:val="00C474EF"/>
    <w:rsid w:val="00C47D8D"/>
    <w:rsid w:val="00C50227"/>
    <w:rsid w:val="00C50296"/>
    <w:rsid w:val="00C50631"/>
    <w:rsid w:val="00C5090E"/>
    <w:rsid w:val="00C50B51"/>
    <w:rsid w:val="00C50B99"/>
    <w:rsid w:val="00C514DD"/>
    <w:rsid w:val="00C522AE"/>
    <w:rsid w:val="00C52625"/>
    <w:rsid w:val="00C52B8B"/>
    <w:rsid w:val="00C52C8E"/>
    <w:rsid w:val="00C536AD"/>
    <w:rsid w:val="00C53B42"/>
    <w:rsid w:val="00C53FE2"/>
    <w:rsid w:val="00C54440"/>
    <w:rsid w:val="00C544EB"/>
    <w:rsid w:val="00C54573"/>
    <w:rsid w:val="00C54A11"/>
    <w:rsid w:val="00C54BB2"/>
    <w:rsid w:val="00C54FCA"/>
    <w:rsid w:val="00C55A10"/>
    <w:rsid w:val="00C5705A"/>
    <w:rsid w:val="00C570F8"/>
    <w:rsid w:val="00C571FE"/>
    <w:rsid w:val="00C5757B"/>
    <w:rsid w:val="00C60682"/>
    <w:rsid w:val="00C61620"/>
    <w:rsid w:val="00C6163A"/>
    <w:rsid w:val="00C61C61"/>
    <w:rsid w:val="00C61CDC"/>
    <w:rsid w:val="00C62849"/>
    <w:rsid w:val="00C62B54"/>
    <w:rsid w:val="00C63BFF"/>
    <w:rsid w:val="00C63E05"/>
    <w:rsid w:val="00C647A9"/>
    <w:rsid w:val="00C652D4"/>
    <w:rsid w:val="00C65416"/>
    <w:rsid w:val="00C65450"/>
    <w:rsid w:val="00C659A2"/>
    <w:rsid w:val="00C660F5"/>
    <w:rsid w:val="00C664A3"/>
    <w:rsid w:val="00C66B1D"/>
    <w:rsid w:val="00C66F48"/>
    <w:rsid w:val="00C66F7C"/>
    <w:rsid w:val="00C67DE6"/>
    <w:rsid w:val="00C70400"/>
    <w:rsid w:val="00C70992"/>
    <w:rsid w:val="00C70DD2"/>
    <w:rsid w:val="00C70E7B"/>
    <w:rsid w:val="00C70FB7"/>
    <w:rsid w:val="00C71A83"/>
    <w:rsid w:val="00C71ECC"/>
    <w:rsid w:val="00C72624"/>
    <w:rsid w:val="00C72B02"/>
    <w:rsid w:val="00C73808"/>
    <w:rsid w:val="00C7384F"/>
    <w:rsid w:val="00C73984"/>
    <w:rsid w:val="00C747F6"/>
    <w:rsid w:val="00C74DAC"/>
    <w:rsid w:val="00C75F99"/>
    <w:rsid w:val="00C76712"/>
    <w:rsid w:val="00C76F0B"/>
    <w:rsid w:val="00C77324"/>
    <w:rsid w:val="00C77A13"/>
    <w:rsid w:val="00C80BC1"/>
    <w:rsid w:val="00C80C93"/>
    <w:rsid w:val="00C80F1A"/>
    <w:rsid w:val="00C818E7"/>
    <w:rsid w:val="00C81F7E"/>
    <w:rsid w:val="00C823FA"/>
    <w:rsid w:val="00C828FC"/>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166"/>
    <w:rsid w:val="00C9192D"/>
    <w:rsid w:val="00C91A45"/>
    <w:rsid w:val="00C92174"/>
    <w:rsid w:val="00C93859"/>
    <w:rsid w:val="00C93B71"/>
    <w:rsid w:val="00C942FA"/>
    <w:rsid w:val="00C94BBF"/>
    <w:rsid w:val="00C956DB"/>
    <w:rsid w:val="00C95C27"/>
    <w:rsid w:val="00C95DF8"/>
    <w:rsid w:val="00C9617A"/>
    <w:rsid w:val="00C96244"/>
    <w:rsid w:val="00C9678B"/>
    <w:rsid w:val="00C9680B"/>
    <w:rsid w:val="00C96FF7"/>
    <w:rsid w:val="00C977E8"/>
    <w:rsid w:val="00CA0B2C"/>
    <w:rsid w:val="00CA0F20"/>
    <w:rsid w:val="00CA17BD"/>
    <w:rsid w:val="00CA1A2A"/>
    <w:rsid w:val="00CA1DC5"/>
    <w:rsid w:val="00CA22C4"/>
    <w:rsid w:val="00CA2753"/>
    <w:rsid w:val="00CA2BE7"/>
    <w:rsid w:val="00CA2D3F"/>
    <w:rsid w:val="00CA2F18"/>
    <w:rsid w:val="00CA34ED"/>
    <w:rsid w:val="00CA3F79"/>
    <w:rsid w:val="00CA413E"/>
    <w:rsid w:val="00CA4187"/>
    <w:rsid w:val="00CA41AB"/>
    <w:rsid w:val="00CA45AD"/>
    <w:rsid w:val="00CA46B8"/>
    <w:rsid w:val="00CA4B97"/>
    <w:rsid w:val="00CA4D46"/>
    <w:rsid w:val="00CA5E8D"/>
    <w:rsid w:val="00CA68C9"/>
    <w:rsid w:val="00CA69AE"/>
    <w:rsid w:val="00CA7C01"/>
    <w:rsid w:val="00CA7CA8"/>
    <w:rsid w:val="00CA7EB4"/>
    <w:rsid w:val="00CB019A"/>
    <w:rsid w:val="00CB0ED7"/>
    <w:rsid w:val="00CB15CA"/>
    <w:rsid w:val="00CB19A5"/>
    <w:rsid w:val="00CB1C7E"/>
    <w:rsid w:val="00CB2E15"/>
    <w:rsid w:val="00CB2E79"/>
    <w:rsid w:val="00CB2FA2"/>
    <w:rsid w:val="00CB3013"/>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AAA"/>
    <w:rsid w:val="00CC1E51"/>
    <w:rsid w:val="00CC3186"/>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66B"/>
    <w:rsid w:val="00CD7D58"/>
    <w:rsid w:val="00CD7EB6"/>
    <w:rsid w:val="00CD7FBB"/>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55AA"/>
    <w:rsid w:val="00CE6D9E"/>
    <w:rsid w:val="00CE794B"/>
    <w:rsid w:val="00CE7C39"/>
    <w:rsid w:val="00CF05EA"/>
    <w:rsid w:val="00CF088B"/>
    <w:rsid w:val="00CF0FB9"/>
    <w:rsid w:val="00CF248F"/>
    <w:rsid w:val="00CF3394"/>
    <w:rsid w:val="00CF3522"/>
    <w:rsid w:val="00CF3F37"/>
    <w:rsid w:val="00CF4A46"/>
    <w:rsid w:val="00CF4BD8"/>
    <w:rsid w:val="00CF581A"/>
    <w:rsid w:val="00CF6248"/>
    <w:rsid w:val="00CF63D1"/>
    <w:rsid w:val="00CF74C0"/>
    <w:rsid w:val="00CF7897"/>
    <w:rsid w:val="00CF7997"/>
    <w:rsid w:val="00D009E0"/>
    <w:rsid w:val="00D00DD6"/>
    <w:rsid w:val="00D013D9"/>
    <w:rsid w:val="00D01E38"/>
    <w:rsid w:val="00D026AB"/>
    <w:rsid w:val="00D0283B"/>
    <w:rsid w:val="00D02ABB"/>
    <w:rsid w:val="00D03A98"/>
    <w:rsid w:val="00D03BB9"/>
    <w:rsid w:val="00D03D4D"/>
    <w:rsid w:val="00D03E69"/>
    <w:rsid w:val="00D03F6C"/>
    <w:rsid w:val="00D0415C"/>
    <w:rsid w:val="00D04983"/>
    <w:rsid w:val="00D05778"/>
    <w:rsid w:val="00D070FF"/>
    <w:rsid w:val="00D075A4"/>
    <w:rsid w:val="00D07D94"/>
    <w:rsid w:val="00D1058E"/>
    <w:rsid w:val="00D12059"/>
    <w:rsid w:val="00D1239D"/>
    <w:rsid w:val="00D125DE"/>
    <w:rsid w:val="00D12DF5"/>
    <w:rsid w:val="00D13777"/>
    <w:rsid w:val="00D13BB6"/>
    <w:rsid w:val="00D13C2D"/>
    <w:rsid w:val="00D1459C"/>
    <w:rsid w:val="00D151F0"/>
    <w:rsid w:val="00D15F8E"/>
    <w:rsid w:val="00D1690E"/>
    <w:rsid w:val="00D172D8"/>
    <w:rsid w:val="00D173A5"/>
    <w:rsid w:val="00D178E9"/>
    <w:rsid w:val="00D17B3F"/>
    <w:rsid w:val="00D17F1D"/>
    <w:rsid w:val="00D219D5"/>
    <w:rsid w:val="00D2203E"/>
    <w:rsid w:val="00D2231C"/>
    <w:rsid w:val="00D22704"/>
    <w:rsid w:val="00D23513"/>
    <w:rsid w:val="00D237C9"/>
    <w:rsid w:val="00D24573"/>
    <w:rsid w:val="00D245E2"/>
    <w:rsid w:val="00D24A53"/>
    <w:rsid w:val="00D24C69"/>
    <w:rsid w:val="00D251CF"/>
    <w:rsid w:val="00D252B8"/>
    <w:rsid w:val="00D267D6"/>
    <w:rsid w:val="00D26BEC"/>
    <w:rsid w:val="00D2729A"/>
    <w:rsid w:val="00D27506"/>
    <w:rsid w:val="00D27E6C"/>
    <w:rsid w:val="00D30F5A"/>
    <w:rsid w:val="00D3198D"/>
    <w:rsid w:val="00D32EAB"/>
    <w:rsid w:val="00D3357B"/>
    <w:rsid w:val="00D34338"/>
    <w:rsid w:val="00D34688"/>
    <w:rsid w:val="00D35601"/>
    <w:rsid w:val="00D35F3B"/>
    <w:rsid w:val="00D36027"/>
    <w:rsid w:val="00D36337"/>
    <w:rsid w:val="00D36522"/>
    <w:rsid w:val="00D366B7"/>
    <w:rsid w:val="00D367F5"/>
    <w:rsid w:val="00D36C23"/>
    <w:rsid w:val="00D36FB2"/>
    <w:rsid w:val="00D375C7"/>
    <w:rsid w:val="00D3769E"/>
    <w:rsid w:val="00D40081"/>
    <w:rsid w:val="00D407D8"/>
    <w:rsid w:val="00D40EAF"/>
    <w:rsid w:val="00D41034"/>
    <w:rsid w:val="00D411A8"/>
    <w:rsid w:val="00D413DA"/>
    <w:rsid w:val="00D41B99"/>
    <w:rsid w:val="00D42249"/>
    <w:rsid w:val="00D4244A"/>
    <w:rsid w:val="00D42487"/>
    <w:rsid w:val="00D4341B"/>
    <w:rsid w:val="00D44522"/>
    <w:rsid w:val="00D44CC7"/>
    <w:rsid w:val="00D45867"/>
    <w:rsid w:val="00D4595F"/>
    <w:rsid w:val="00D45CE3"/>
    <w:rsid w:val="00D46157"/>
    <w:rsid w:val="00D4646A"/>
    <w:rsid w:val="00D466A8"/>
    <w:rsid w:val="00D46A18"/>
    <w:rsid w:val="00D46BEF"/>
    <w:rsid w:val="00D47187"/>
    <w:rsid w:val="00D4751A"/>
    <w:rsid w:val="00D50011"/>
    <w:rsid w:val="00D500F2"/>
    <w:rsid w:val="00D5017E"/>
    <w:rsid w:val="00D508E4"/>
    <w:rsid w:val="00D50B2C"/>
    <w:rsid w:val="00D50EB3"/>
    <w:rsid w:val="00D519D2"/>
    <w:rsid w:val="00D52284"/>
    <w:rsid w:val="00D5322C"/>
    <w:rsid w:val="00D533BF"/>
    <w:rsid w:val="00D53841"/>
    <w:rsid w:val="00D53C05"/>
    <w:rsid w:val="00D546B8"/>
    <w:rsid w:val="00D55294"/>
    <w:rsid w:val="00D56ACF"/>
    <w:rsid w:val="00D56BDE"/>
    <w:rsid w:val="00D57152"/>
    <w:rsid w:val="00D57692"/>
    <w:rsid w:val="00D57AF1"/>
    <w:rsid w:val="00D57CBB"/>
    <w:rsid w:val="00D60236"/>
    <w:rsid w:val="00D60B43"/>
    <w:rsid w:val="00D60C45"/>
    <w:rsid w:val="00D614C7"/>
    <w:rsid w:val="00D61E9C"/>
    <w:rsid w:val="00D61F3D"/>
    <w:rsid w:val="00D61F93"/>
    <w:rsid w:val="00D623A8"/>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C42"/>
    <w:rsid w:val="00D67216"/>
    <w:rsid w:val="00D67780"/>
    <w:rsid w:val="00D701C2"/>
    <w:rsid w:val="00D7055C"/>
    <w:rsid w:val="00D709B0"/>
    <w:rsid w:val="00D71468"/>
    <w:rsid w:val="00D7160C"/>
    <w:rsid w:val="00D71741"/>
    <w:rsid w:val="00D71C1F"/>
    <w:rsid w:val="00D71CE6"/>
    <w:rsid w:val="00D72304"/>
    <w:rsid w:val="00D727B3"/>
    <w:rsid w:val="00D73210"/>
    <w:rsid w:val="00D73AD4"/>
    <w:rsid w:val="00D73C8C"/>
    <w:rsid w:val="00D744AF"/>
    <w:rsid w:val="00D74862"/>
    <w:rsid w:val="00D756D2"/>
    <w:rsid w:val="00D75879"/>
    <w:rsid w:val="00D75908"/>
    <w:rsid w:val="00D75ECA"/>
    <w:rsid w:val="00D766A9"/>
    <w:rsid w:val="00D775CD"/>
    <w:rsid w:val="00D8005C"/>
    <w:rsid w:val="00D80A72"/>
    <w:rsid w:val="00D81003"/>
    <w:rsid w:val="00D81129"/>
    <w:rsid w:val="00D818D0"/>
    <w:rsid w:val="00D81A7D"/>
    <w:rsid w:val="00D8202C"/>
    <w:rsid w:val="00D82F39"/>
    <w:rsid w:val="00D8378B"/>
    <w:rsid w:val="00D846D9"/>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DD1"/>
    <w:rsid w:val="00D96A20"/>
    <w:rsid w:val="00D97020"/>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562"/>
    <w:rsid w:val="00DB3613"/>
    <w:rsid w:val="00DB3DB1"/>
    <w:rsid w:val="00DB3E6A"/>
    <w:rsid w:val="00DB3FDB"/>
    <w:rsid w:val="00DB4D86"/>
    <w:rsid w:val="00DB514B"/>
    <w:rsid w:val="00DB5712"/>
    <w:rsid w:val="00DB5C0E"/>
    <w:rsid w:val="00DB5E0E"/>
    <w:rsid w:val="00DB6379"/>
    <w:rsid w:val="00DB64AA"/>
    <w:rsid w:val="00DB657F"/>
    <w:rsid w:val="00DB65C2"/>
    <w:rsid w:val="00DB70EE"/>
    <w:rsid w:val="00DB75A4"/>
    <w:rsid w:val="00DB7827"/>
    <w:rsid w:val="00DB7BF9"/>
    <w:rsid w:val="00DC00C7"/>
    <w:rsid w:val="00DC0554"/>
    <w:rsid w:val="00DC07F1"/>
    <w:rsid w:val="00DC1828"/>
    <w:rsid w:val="00DC1A6F"/>
    <w:rsid w:val="00DC2DC5"/>
    <w:rsid w:val="00DC30EA"/>
    <w:rsid w:val="00DC33EC"/>
    <w:rsid w:val="00DC3F9B"/>
    <w:rsid w:val="00DC4D22"/>
    <w:rsid w:val="00DC5B2D"/>
    <w:rsid w:val="00DC6491"/>
    <w:rsid w:val="00DC70CD"/>
    <w:rsid w:val="00DC7E6F"/>
    <w:rsid w:val="00DD00EA"/>
    <w:rsid w:val="00DD1BD3"/>
    <w:rsid w:val="00DD1EFE"/>
    <w:rsid w:val="00DD20DE"/>
    <w:rsid w:val="00DD3B6A"/>
    <w:rsid w:val="00DD405B"/>
    <w:rsid w:val="00DD4974"/>
    <w:rsid w:val="00DD553E"/>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85"/>
    <w:rsid w:val="00DF20CE"/>
    <w:rsid w:val="00DF20EA"/>
    <w:rsid w:val="00DF2425"/>
    <w:rsid w:val="00DF2974"/>
    <w:rsid w:val="00DF3422"/>
    <w:rsid w:val="00DF3E3B"/>
    <w:rsid w:val="00DF45FF"/>
    <w:rsid w:val="00DF4CEB"/>
    <w:rsid w:val="00DF79A3"/>
    <w:rsid w:val="00E00282"/>
    <w:rsid w:val="00E0043E"/>
    <w:rsid w:val="00E00A75"/>
    <w:rsid w:val="00E00C22"/>
    <w:rsid w:val="00E0156F"/>
    <w:rsid w:val="00E01C97"/>
    <w:rsid w:val="00E027C2"/>
    <w:rsid w:val="00E02F4E"/>
    <w:rsid w:val="00E045EF"/>
    <w:rsid w:val="00E04E2B"/>
    <w:rsid w:val="00E052C4"/>
    <w:rsid w:val="00E05CBA"/>
    <w:rsid w:val="00E06166"/>
    <w:rsid w:val="00E0621A"/>
    <w:rsid w:val="00E06561"/>
    <w:rsid w:val="00E06583"/>
    <w:rsid w:val="00E0766D"/>
    <w:rsid w:val="00E10090"/>
    <w:rsid w:val="00E102DD"/>
    <w:rsid w:val="00E10331"/>
    <w:rsid w:val="00E10935"/>
    <w:rsid w:val="00E10B43"/>
    <w:rsid w:val="00E10C1D"/>
    <w:rsid w:val="00E10D76"/>
    <w:rsid w:val="00E11A6C"/>
    <w:rsid w:val="00E11AE0"/>
    <w:rsid w:val="00E12585"/>
    <w:rsid w:val="00E126E5"/>
    <w:rsid w:val="00E1421F"/>
    <w:rsid w:val="00E14A2C"/>
    <w:rsid w:val="00E14C3C"/>
    <w:rsid w:val="00E15157"/>
    <w:rsid w:val="00E15680"/>
    <w:rsid w:val="00E15BCB"/>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3E7D"/>
    <w:rsid w:val="00E24B81"/>
    <w:rsid w:val="00E24C2A"/>
    <w:rsid w:val="00E251C3"/>
    <w:rsid w:val="00E252E5"/>
    <w:rsid w:val="00E25EB1"/>
    <w:rsid w:val="00E26382"/>
    <w:rsid w:val="00E264C0"/>
    <w:rsid w:val="00E267AA"/>
    <w:rsid w:val="00E26870"/>
    <w:rsid w:val="00E273E5"/>
    <w:rsid w:val="00E27FB8"/>
    <w:rsid w:val="00E30064"/>
    <w:rsid w:val="00E301E4"/>
    <w:rsid w:val="00E3078A"/>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DC5"/>
    <w:rsid w:val="00E36239"/>
    <w:rsid w:val="00E36C10"/>
    <w:rsid w:val="00E374E2"/>
    <w:rsid w:val="00E37695"/>
    <w:rsid w:val="00E37830"/>
    <w:rsid w:val="00E37F55"/>
    <w:rsid w:val="00E40453"/>
    <w:rsid w:val="00E4059C"/>
    <w:rsid w:val="00E405F0"/>
    <w:rsid w:val="00E40680"/>
    <w:rsid w:val="00E40C1A"/>
    <w:rsid w:val="00E41014"/>
    <w:rsid w:val="00E421F2"/>
    <w:rsid w:val="00E428CB"/>
    <w:rsid w:val="00E4423D"/>
    <w:rsid w:val="00E449C3"/>
    <w:rsid w:val="00E45020"/>
    <w:rsid w:val="00E450D8"/>
    <w:rsid w:val="00E4528A"/>
    <w:rsid w:val="00E45C08"/>
    <w:rsid w:val="00E464DF"/>
    <w:rsid w:val="00E46502"/>
    <w:rsid w:val="00E46F6A"/>
    <w:rsid w:val="00E471E6"/>
    <w:rsid w:val="00E476E0"/>
    <w:rsid w:val="00E47DDE"/>
    <w:rsid w:val="00E50124"/>
    <w:rsid w:val="00E519D8"/>
    <w:rsid w:val="00E51DD3"/>
    <w:rsid w:val="00E5209E"/>
    <w:rsid w:val="00E5241D"/>
    <w:rsid w:val="00E5271E"/>
    <w:rsid w:val="00E52BC4"/>
    <w:rsid w:val="00E53315"/>
    <w:rsid w:val="00E5334A"/>
    <w:rsid w:val="00E536C6"/>
    <w:rsid w:val="00E53B8E"/>
    <w:rsid w:val="00E543EE"/>
    <w:rsid w:val="00E548D1"/>
    <w:rsid w:val="00E54D9C"/>
    <w:rsid w:val="00E54E59"/>
    <w:rsid w:val="00E55EA3"/>
    <w:rsid w:val="00E55FAC"/>
    <w:rsid w:val="00E56130"/>
    <w:rsid w:val="00E56574"/>
    <w:rsid w:val="00E56D19"/>
    <w:rsid w:val="00E5737A"/>
    <w:rsid w:val="00E57704"/>
    <w:rsid w:val="00E5776E"/>
    <w:rsid w:val="00E57954"/>
    <w:rsid w:val="00E57AA2"/>
    <w:rsid w:val="00E57C07"/>
    <w:rsid w:val="00E57D82"/>
    <w:rsid w:val="00E57EE7"/>
    <w:rsid w:val="00E60D04"/>
    <w:rsid w:val="00E612CC"/>
    <w:rsid w:val="00E617FF"/>
    <w:rsid w:val="00E62268"/>
    <w:rsid w:val="00E6294C"/>
    <w:rsid w:val="00E62B0B"/>
    <w:rsid w:val="00E63504"/>
    <w:rsid w:val="00E638BA"/>
    <w:rsid w:val="00E64509"/>
    <w:rsid w:val="00E649FC"/>
    <w:rsid w:val="00E64AAF"/>
    <w:rsid w:val="00E65DDD"/>
    <w:rsid w:val="00E65EFB"/>
    <w:rsid w:val="00E6668F"/>
    <w:rsid w:val="00E666DD"/>
    <w:rsid w:val="00E66B4A"/>
    <w:rsid w:val="00E671F0"/>
    <w:rsid w:val="00E70402"/>
    <w:rsid w:val="00E707EA"/>
    <w:rsid w:val="00E7123B"/>
    <w:rsid w:val="00E712EA"/>
    <w:rsid w:val="00E722A5"/>
    <w:rsid w:val="00E7292C"/>
    <w:rsid w:val="00E73482"/>
    <w:rsid w:val="00E73537"/>
    <w:rsid w:val="00E740DA"/>
    <w:rsid w:val="00E7455D"/>
    <w:rsid w:val="00E747EE"/>
    <w:rsid w:val="00E74802"/>
    <w:rsid w:val="00E74B06"/>
    <w:rsid w:val="00E74D9F"/>
    <w:rsid w:val="00E75AAC"/>
    <w:rsid w:val="00E75D1F"/>
    <w:rsid w:val="00E76625"/>
    <w:rsid w:val="00E76C41"/>
    <w:rsid w:val="00E76F7A"/>
    <w:rsid w:val="00E775FB"/>
    <w:rsid w:val="00E77687"/>
    <w:rsid w:val="00E776F4"/>
    <w:rsid w:val="00E77DAA"/>
    <w:rsid w:val="00E804A3"/>
    <w:rsid w:val="00E80681"/>
    <w:rsid w:val="00E8086C"/>
    <w:rsid w:val="00E813F4"/>
    <w:rsid w:val="00E819A8"/>
    <w:rsid w:val="00E81A7F"/>
    <w:rsid w:val="00E826D1"/>
    <w:rsid w:val="00E828CB"/>
    <w:rsid w:val="00E83AFD"/>
    <w:rsid w:val="00E844C3"/>
    <w:rsid w:val="00E845F8"/>
    <w:rsid w:val="00E846DB"/>
    <w:rsid w:val="00E85157"/>
    <w:rsid w:val="00E86555"/>
    <w:rsid w:val="00E8695C"/>
    <w:rsid w:val="00E86FEA"/>
    <w:rsid w:val="00E87559"/>
    <w:rsid w:val="00E87DDD"/>
    <w:rsid w:val="00E9006C"/>
    <w:rsid w:val="00E9023B"/>
    <w:rsid w:val="00E9047A"/>
    <w:rsid w:val="00E90609"/>
    <w:rsid w:val="00E913B3"/>
    <w:rsid w:val="00E918B7"/>
    <w:rsid w:val="00E92565"/>
    <w:rsid w:val="00E9260C"/>
    <w:rsid w:val="00E9266C"/>
    <w:rsid w:val="00E932D1"/>
    <w:rsid w:val="00E93C7E"/>
    <w:rsid w:val="00E93EB9"/>
    <w:rsid w:val="00E94DAA"/>
    <w:rsid w:val="00E9526E"/>
    <w:rsid w:val="00E96468"/>
    <w:rsid w:val="00E96F68"/>
    <w:rsid w:val="00E970D7"/>
    <w:rsid w:val="00E972EE"/>
    <w:rsid w:val="00E978CC"/>
    <w:rsid w:val="00E97B84"/>
    <w:rsid w:val="00E97F38"/>
    <w:rsid w:val="00EA0289"/>
    <w:rsid w:val="00EA0FCE"/>
    <w:rsid w:val="00EA18A8"/>
    <w:rsid w:val="00EA2142"/>
    <w:rsid w:val="00EA2D29"/>
    <w:rsid w:val="00EA3749"/>
    <w:rsid w:val="00EA3CF5"/>
    <w:rsid w:val="00EA4BB6"/>
    <w:rsid w:val="00EA59B0"/>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6AC"/>
    <w:rsid w:val="00EB69B4"/>
    <w:rsid w:val="00EB7059"/>
    <w:rsid w:val="00EB7932"/>
    <w:rsid w:val="00EB7E38"/>
    <w:rsid w:val="00EC0214"/>
    <w:rsid w:val="00EC05BA"/>
    <w:rsid w:val="00EC178C"/>
    <w:rsid w:val="00EC1A16"/>
    <w:rsid w:val="00EC1D75"/>
    <w:rsid w:val="00EC20DA"/>
    <w:rsid w:val="00EC2127"/>
    <w:rsid w:val="00EC238B"/>
    <w:rsid w:val="00EC3117"/>
    <w:rsid w:val="00EC3329"/>
    <w:rsid w:val="00EC3C44"/>
    <w:rsid w:val="00EC478C"/>
    <w:rsid w:val="00EC517B"/>
    <w:rsid w:val="00EC5B0D"/>
    <w:rsid w:val="00EC6364"/>
    <w:rsid w:val="00EC7114"/>
    <w:rsid w:val="00EC7D15"/>
    <w:rsid w:val="00EC7DAA"/>
    <w:rsid w:val="00EC7DB0"/>
    <w:rsid w:val="00EC7EDB"/>
    <w:rsid w:val="00ED024A"/>
    <w:rsid w:val="00ED12B0"/>
    <w:rsid w:val="00ED1F83"/>
    <w:rsid w:val="00ED213F"/>
    <w:rsid w:val="00ED2540"/>
    <w:rsid w:val="00ED2DB8"/>
    <w:rsid w:val="00ED379B"/>
    <w:rsid w:val="00ED45E3"/>
    <w:rsid w:val="00ED4783"/>
    <w:rsid w:val="00ED49B3"/>
    <w:rsid w:val="00ED51DE"/>
    <w:rsid w:val="00ED53CB"/>
    <w:rsid w:val="00ED54B4"/>
    <w:rsid w:val="00ED5993"/>
    <w:rsid w:val="00ED5A24"/>
    <w:rsid w:val="00ED6222"/>
    <w:rsid w:val="00ED6F3C"/>
    <w:rsid w:val="00ED74B3"/>
    <w:rsid w:val="00ED74C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15D"/>
    <w:rsid w:val="00EE7273"/>
    <w:rsid w:val="00EE74FC"/>
    <w:rsid w:val="00EE7916"/>
    <w:rsid w:val="00EE793A"/>
    <w:rsid w:val="00EE7A69"/>
    <w:rsid w:val="00EE7C99"/>
    <w:rsid w:val="00EF0A64"/>
    <w:rsid w:val="00EF132F"/>
    <w:rsid w:val="00EF1392"/>
    <w:rsid w:val="00EF19D9"/>
    <w:rsid w:val="00EF2467"/>
    <w:rsid w:val="00EF4844"/>
    <w:rsid w:val="00EF4853"/>
    <w:rsid w:val="00EF4A5A"/>
    <w:rsid w:val="00EF4E5E"/>
    <w:rsid w:val="00EF5667"/>
    <w:rsid w:val="00EF5D5A"/>
    <w:rsid w:val="00EF5D5C"/>
    <w:rsid w:val="00EF6786"/>
    <w:rsid w:val="00EF6D04"/>
    <w:rsid w:val="00EF6D93"/>
    <w:rsid w:val="00EF6EEB"/>
    <w:rsid w:val="00EF760F"/>
    <w:rsid w:val="00EF7671"/>
    <w:rsid w:val="00F00002"/>
    <w:rsid w:val="00F003C1"/>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D9F"/>
    <w:rsid w:val="00F06854"/>
    <w:rsid w:val="00F07604"/>
    <w:rsid w:val="00F07613"/>
    <w:rsid w:val="00F0767F"/>
    <w:rsid w:val="00F0785A"/>
    <w:rsid w:val="00F078EC"/>
    <w:rsid w:val="00F07B9B"/>
    <w:rsid w:val="00F07C18"/>
    <w:rsid w:val="00F11356"/>
    <w:rsid w:val="00F11778"/>
    <w:rsid w:val="00F12629"/>
    <w:rsid w:val="00F12B69"/>
    <w:rsid w:val="00F1308B"/>
    <w:rsid w:val="00F143DE"/>
    <w:rsid w:val="00F1440B"/>
    <w:rsid w:val="00F14777"/>
    <w:rsid w:val="00F147E6"/>
    <w:rsid w:val="00F14FD5"/>
    <w:rsid w:val="00F15E67"/>
    <w:rsid w:val="00F15EFD"/>
    <w:rsid w:val="00F15EFE"/>
    <w:rsid w:val="00F164DE"/>
    <w:rsid w:val="00F16634"/>
    <w:rsid w:val="00F1730F"/>
    <w:rsid w:val="00F178D2"/>
    <w:rsid w:val="00F17A79"/>
    <w:rsid w:val="00F17C66"/>
    <w:rsid w:val="00F202DD"/>
    <w:rsid w:val="00F20C34"/>
    <w:rsid w:val="00F21609"/>
    <w:rsid w:val="00F21A45"/>
    <w:rsid w:val="00F21B53"/>
    <w:rsid w:val="00F2201B"/>
    <w:rsid w:val="00F22343"/>
    <w:rsid w:val="00F22404"/>
    <w:rsid w:val="00F226B6"/>
    <w:rsid w:val="00F22D6E"/>
    <w:rsid w:val="00F236D5"/>
    <w:rsid w:val="00F238EF"/>
    <w:rsid w:val="00F24B8E"/>
    <w:rsid w:val="00F24D6A"/>
    <w:rsid w:val="00F2574A"/>
    <w:rsid w:val="00F25763"/>
    <w:rsid w:val="00F2594A"/>
    <w:rsid w:val="00F25CA3"/>
    <w:rsid w:val="00F25FC7"/>
    <w:rsid w:val="00F2630A"/>
    <w:rsid w:val="00F263AD"/>
    <w:rsid w:val="00F264B8"/>
    <w:rsid w:val="00F26A5A"/>
    <w:rsid w:val="00F26D06"/>
    <w:rsid w:val="00F26D38"/>
    <w:rsid w:val="00F3040E"/>
    <w:rsid w:val="00F304A8"/>
    <w:rsid w:val="00F309CA"/>
    <w:rsid w:val="00F30B91"/>
    <w:rsid w:val="00F30F5D"/>
    <w:rsid w:val="00F31206"/>
    <w:rsid w:val="00F3173A"/>
    <w:rsid w:val="00F31861"/>
    <w:rsid w:val="00F32088"/>
    <w:rsid w:val="00F32913"/>
    <w:rsid w:val="00F32A66"/>
    <w:rsid w:val="00F350C6"/>
    <w:rsid w:val="00F366FB"/>
    <w:rsid w:val="00F36C9F"/>
    <w:rsid w:val="00F375F4"/>
    <w:rsid w:val="00F378A6"/>
    <w:rsid w:val="00F3796D"/>
    <w:rsid w:val="00F40202"/>
    <w:rsid w:val="00F40BE9"/>
    <w:rsid w:val="00F411C1"/>
    <w:rsid w:val="00F4123C"/>
    <w:rsid w:val="00F4131E"/>
    <w:rsid w:val="00F42164"/>
    <w:rsid w:val="00F42AC0"/>
    <w:rsid w:val="00F44203"/>
    <w:rsid w:val="00F445FF"/>
    <w:rsid w:val="00F4463B"/>
    <w:rsid w:val="00F451D4"/>
    <w:rsid w:val="00F4541A"/>
    <w:rsid w:val="00F45BD4"/>
    <w:rsid w:val="00F45EDF"/>
    <w:rsid w:val="00F46184"/>
    <w:rsid w:val="00F4625D"/>
    <w:rsid w:val="00F4638F"/>
    <w:rsid w:val="00F468E9"/>
    <w:rsid w:val="00F473D8"/>
    <w:rsid w:val="00F47788"/>
    <w:rsid w:val="00F47849"/>
    <w:rsid w:val="00F51106"/>
    <w:rsid w:val="00F514E3"/>
    <w:rsid w:val="00F51A14"/>
    <w:rsid w:val="00F521AA"/>
    <w:rsid w:val="00F52501"/>
    <w:rsid w:val="00F52838"/>
    <w:rsid w:val="00F53B78"/>
    <w:rsid w:val="00F54251"/>
    <w:rsid w:val="00F5455E"/>
    <w:rsid w:val="00F547A4"/>
    <w:rsid w:val="00F54897"/>
    <w:rsid w:val="00F54D38"/>
    <w:rsid w:val="00F55082"/>
    <w:rsid w:val="00F553BF"/>
    <w:rsid w:val="00F55EAA"/>
    <w:rsid w:val="00F5629A"/>
    <w:rsid w:val="00F562A2"/>
    <w:rsid w:val="00F57054"/>
    <w:rsid w:val="00F571DB"/>
    <w:rsid w:val="00F572FE"/>
    <w:rsid w:val="00F5774F"/>
    <w:rsid w:val="00F579D5"/>
    <w:rsid w:val="00F57E50"/>
    <w:rsid w:val="00F57F20"/>
    <w:rsid w:val="00F60617"/>
    <w:rsid w:val="00F60639"/>
    <w:rsid w:val="00F60F0A"/>
    <w:rsid w:val="00F6140D"/>
    <w:rsid w:val="00F61C2B"/>
    <w:rsid w:val="00F62348"/>
    <w:rsid w:val="00F625E6"/>
    <w:rsid w:val="00F62660"/>
    <w:rsid w:val="00F62FEE"/>
    <w:rsid w:val="00F630ED"/>
    <w:rsid w:val="00F6367D"/>
    <w:rsid w:val="00F6436A"/>
    <w:rsid w:val="00F6480B"/>
    <w:rsid w:val="00F64A00"/>
    <w:rsid w:val="00F64B26"/>
    <w:rsid w:val="00F64BC9"/>
    <w:rsid w:val="00F651FB"/>
    <w:rsid w:val="00F655F5"/>
    <w:rsid w:val="00F65A67"/>
    <w:rsid w:val="00F66042"/>
    <w:rsid w:val="00F663E4"/>
    <w:rsid w:val="00F66822"/>
    <w:rsid w:val="00F66A6E"/>
    <w:rsid w:val="00F66D44"/>
    <w:rsid w:val="00F674DA"/>
    <w:rsid w:val="00F67D3F"/>
    <w:rsid w:val="00F700D8"/>
    <w:rsid w:val="00F708F1"/>
    <w:rsid w:val="00F70FDD"/>
    <w:rsid w:val="00F715E5"/>
    <w:rsid w:val="00F729F1"/>
    <w:rsid w:val="00F72B73"/>
    <w:rsid w:val="00F73BCF"/>
    <w:rsid w:val="00F752A2"/>
    <w:rsid w:val="00F75776"/>
    <w:rsid w:val="00F75AC3"/>
    <w:rsid w:val="00F75ADB"/>
    <w:rsid w:val="00F75EF5"/>
    <w:rsid w:val="00F76363"/>
    <w:rsid w:val="00F7685D"/>
    <w:rsid w:val="00F76C6C"/>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914"/>
    <w:rsid w:val="00F86B73"/>
    <w:rsid w:val="00F870BF"/>
    <w:rsid w:val="00F8754B"/>
    <w:rsid w:val="00F90377"/>
    <w:rsid w:val="00F90ADE"/>
    <w:rsid w:val="00F9176D"/>
    <w:rsid w:val="00F91D3B"/>
    <w:rsid w:val="00F91D8E"/>
    <w:rsid w:val="00F923B9"/>
    <w:rsid w:val="00F927E3"/>
    <w:rsid w:val="00F92F2C"/>
    <w:rsid w:val="00F934BB"/>
    <w:rsid w:val="00F939B6"/>
    <w:rsid w:val="00F9440D"/>
    <w:rsid w:val="00F94A68"/>
    <w:rsid w:val="00F94BC8"/>
    <w:rsid w:val="00F9640C"/>
    <w:rsid w:val="00F97BCC"/>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D91"/>
    <w:rsid w:val="00FB0E86"/>
    <w:rsid w:val="00FB0F89"/>
    <w:rsid w:val="00FB274B"/>
    <w:rsid w:val="00FB39F2"/>
    <w:rsid w:val="00FB5B5B"/>
    <w:rsid w:val="00FB6CE2"/>
    <w:rsid w:val="00FB7A8F"/>
    <w:rsid w:val="00FC01EC"/>
    <w:rsid w:val="00FC051A"/>
    <w:rsid w:val="00FC1402"/>
    <w:rsid w:val="00FC15F6"/>
    <w:rsid w:val="00FC194F"/>
    <w:rsid w:val="00FC1B18"/>
    <w:rsid w:val="00FC2295"/>
    <w:rsid w:val="00FC35FA"/>
    <w:rsid w:val="00FC370E"/>
    <w:rsid w:val="00FC3D4C"/>
    <w:rsid w:val="00FC40E0"/>
    <w:rsid w:val="00FC4846"/>
    <w:rsid w:val="00FC5486"/>
    <w:rsid w:val="00FC58D3"/>
    <w:rsid w:val="00FC7770"/>
    <w:rsid w:val="00FC7F65"/>
    <w:rsid w:val="00FD0D3F"/>
    <w:rsid w:val="00FD1298"/>
    <w:rsid w:val="00FD1CCA"/>
    <w:rsid w:val="00FD277B"/>
    <w:rsid w:val="00FD2CBA"/>
    <w:rsid w:val="00FD362E"/>
    <w:rsid w:val="00FD3816"/>
    <w:rsid w:val="00FD3AEE"/>
    <w:rsid w:val="00FD4281"/>
    <w:rsid w:val="00FD5DF2"/>
    <w:rsid w:val="00FD5E9E"/>
    <w:rsid w:val="00FD675A"/>
    <w:rsid w:val="00FD6EA3"/>
    <w:rsid w:val="00FD7514"/>
    <w:rsid w:val="00FE0940"/>
    <w:rsid w:val="00FE0E36"/>
    <w:rsid w:val="00FE1A57"/>
    <w:rsid w:val="00FE28C4"/>
    <w:rsid w:val="00FE34DC"/>
    <w:rsid w:val="00FE354B"/>
    <w:rsid w:val="00FE37E9"/>
    <w:rsid w:val="00FE3D93"/>
    <w:rsid w:val="00FE44CB"/>
    <w:rsid w:val="00FE45BD"/>
    <w:rsid w:val="00FE4D06"/>
    <w:rsid w:val="00FE6632"/>
    <w:rsid w:val="00FE66ED"/>
    <w:rsid w:val="00FE6C64"/>
    <w:rsid w:val="00FE76FA"/>
    <w:rsid w:val="00FE77D3"/>
    <w:rsid w:val="00FF02F7"/>
    <w:rsid w:val="00FF1329"/>
    <w:rsid w:val="00FF1B15"/>
    <w:rsid w:val="00FF1CE1"/>
    <w:rsid w:val="00FF1E0B"/>
    <w:rsid w:val="00FF2021"/>
    <w:rsid w:val="00FF24A7"/>
    <w:rsid w:val="00FF2A25"/>
    <w:rsid w:val="00FF2F44"/>
    <w:rsid w:val="00FF352D"/>
    <w:rsid w:val="00FF360F"/>
    <w:rsid w:val="00FF396F"/>
    <w:rsid w:val="00FF3AA1"/>
    <w:rsid w:val="00FF4397"/>
    <w:rsid w:val="00FF463E"/>
    <w:rsid w:val="00FF4BAF"/>
    <w:rsid w:val="00FF4ED3"/>
    <w:rsid w:val="00FF537D"/>
    <w:rsid w:val="00FF64E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7B727-B2C0-46C7-AFDB-3566EF5D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март 2020 г.</c:v>
                </c:pt>
              </c:strCache>
            </c:strRef>
          </c:tx>
          <c:spPr>
            <a:pattFill prst="pct5">
              <a:fgClr>
                <a:srgbClr val="FFFFFF"/>
              </a:fgClr>
              <a:bgClr>
                <a:srgbClr val="000000"/>
              </a:bgClr>
            </a:pattFill>
            <a:ln w="12683">
              <a:solidFill>
                <a:srgbClr val="000000"/>
              </a:solidFill>
              <a:prstDash val="solid"/>
            </a:ln>
          </c:spPr>
          <c:invertIfNegative val="0"/>
          <c:dLbls>
            <c:dLbl>
              <c:idx val="0"/>
              <c:layout>
                <c:manualLayout>
                  <c:x val="-1.1911120203121311E-3"/>
                  <c:y val="0.282342666427780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9BA-4B98-9859-34BF2F067AB7}"/>
                </c:ext>
              </c:extLst>
            </c:dLbl>
            <c:dLbl>
              <c:idx val="1"/>
              <c:layout>
                <c:manualLayout>
                  <c:x val="-8.5984112728614507E-3"/>
                  <c:y val="-3.724642178348409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BA-4B98-9859-34BF2F067AB7}"/>
                </c:ext>
              </c:extLst>
            </c:dLbl>
            <c:dLbl>
              <c:idx val="2"/>
              <c:layout>
                <c:manualLayout>
                  <c:x val="-4.0234036459434923E-3"/>
                  <c:y val="3.710572923760841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9BA-4B98-9859-34BF2F067AB7}"/>
                </c:ext>
              </c:extLst>
            </c:dLbl>
            <c:dLbl>
              <c:idx val="3"/>
              <c:layout>
                <c:manualLayout>
                  <c:x val="1.6411410112197621E-3"/>
                  <c:y val="-6.52878833183826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9BA-4B98-9859-34BF2F067AB7}"/>
                </c:ext>
              </c:extLst>
            </c:dLbl>
            <c:dLbl>
              <c:idx val="4"/>
              <c:layout>
                <c:manualLayout>
                  <c:x val="-1.6232910645205774E-4"/>
                  <c:y val="0.165544061391153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9BA-4B98-9859-34BF2F067AB7}"/>
                </c:ext>
              </c:extLst>
            </c:dLbl>
            <c:dLbl>
              <c:idx val="5"/>
              <c:layout>
                <c:manualLayout>
                  <c:x val="2.2153355328576469E-4"/>
                  <c:y val="4.516590851363521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9BA-4B98-9859-34BF2F067AB7}"/>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2339.5739330000069</c:v>
                </c:pt>
                <c:pt idx="1">
                  <c:v>0.72238000000000002</c:v>
                </c:pt>
                <c:pt idx="2">
                  <c:v>43.71093900000001</c:v>
                </c:pt>
                <c:pt idx="3">
                  <c:v>311.45892200000003</c:v>
                </c:pt>
                <c:pt idx="4">
                  <c:v>3072.0438809999987</c:v>
                </c:pt>
                <c:pt idx="5">
                  <c:v>373.624123</c:v>
                </c:pt>
              </c:numCache>
            </c:numRef>
          </c:val>
          <c:extLst>
            <c:ext xmlns:c16="http://schemas.microsoft.com/office/drawing/2014/chart" uri="{C3380CC4-5D6E-409C-BE32-E72D297353CC}">
              <c16:uniqueId val="{00000006-89BA-4B98-9859-34BF2F067AB7}"/>
            </c:ext>
          </c:extLst>
        </c:ser>
        <c:ser>
          <c:idx val="1"/>
          <c:order val="1"/>
          <c:tx>
            <c:strRef>
              <c:f>Sheet1!$C$36</c:f>
              <c:strCache>
                <c:ptCount val="1"/>
                <c:pt idx="0">
                  <c:v>към март  2021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1.5957659542556281E-3"/>
                  <c:y val="0.295091513608431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9BA-4B98-9859-34BF2F067AB7}"/>
                </c:ext>
              </c:extLst>
            </c:dLbl>
            <c:dLbl>
              <c:idx val="1"/>
              <c:layout>
                <c:manualLayout>
                  <c:x val="-1.3777787060437303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9BA-4B98-9859-34BF2F067AB7}"/>
                </c:ext>
              </c:extLst>
            </c:dLbl>
            <c:dLbl>
              <c:idx val="2"/>
              <c:layout>
                <c:manualLayout>
                  <c:x val="-3.8937440512244375E-5"/>
                  <c:y val="2.2060533572544304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9BA-4B98-9859-34BF2F067AB7}"/>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9BA-4B98-9859-34BF2F067AB7}"/>
                </c:ext>
              </c:extLst>
            </c:dLbl>
            <c:dLbl>
              <c:idx val="4"/>
              <c:layout>
                <c:manualLayout>
                  <c:x val="2.5961277386746255E-3"/>
                  <c:y val="0.1626427084545466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9BA-4B98-9859-34BF2F067AB7}"/>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9BA-4B98-9859-34BF2F067AB7}"/>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2730.1858029999999</c:v>
                </c:pt>
                <c:pt idx="1">
                  <c:v>2.0080429999999967</c:v>
                </c:pt>
                <c:pt idx="2">
                  <c:v>258.05678800000004</c:v>
                </c:pt>
                <c:pt idx="3">
                  <c:v>308.83341899999897</c:v>
                </c:pt>
                <c:pt idx="4">
                  <c:v>4388.644629000014</c:v>
                </c:pt>
                <c:pt idx="5">
                  <c:v>479.25542899999999</c:v>
                </c:pt>
              </c:numCache>
            </c:numRef>
          </c:val>
          <c:extLst>
            <c:ext xmlns:c16="http://schemas.microsoft.com/office/drawing/2014/chart" uri="{C3380CC4-5D6E-409C-BE32-E72D297353CC}">
              <c16:uniqueId val="{0000000D-89BA-4B98-9859-34BF2F067AB7}"/>
            </c:ext>
          </c:extLst>
        </c:ser>
        <c:dLbls>
          <c:showLegendKey val="0"/>
          <c:showVal val="0"/>
          <c:showCatName val="0"/>
          <c:showSerName val="0"/>
          <c:showPercent val="0"/>
          <c:showBubbleSize val="0"/>
        </c:dLbls>
        <c:gapWidth val="150"/>
        <c:axId val="106560128"/>
        <c:axId val="106451328"/>
      </c:barChart>
      <c:catAx>
        <c:axId val="106560128"/>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06451328"/>
        <c:crosses val="autoZero"/>
        <c:auto val="1"/>
        <c:lblAlgn val="ctr"/>
        <c:lblOffset val="100"/>
        <c:tickLblSkip val="1"/>
        <c:tickMarkSkip val="1"/>
        <c:noMultiLvlLbl val="0"/>
      </c:catAx>
      <c:valAx>
        <c:axId val="106451328"/>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06560128"/>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331"/>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440A-4AA8-4ED5-86DC-759CD069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32</Pages>
  <Words>16392</Words>
  <Characters>93439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297</cp:revision>
  <cp:lastPrinted>2020-05-04T12:48:00Z</cp:lastPrinted>
  <dcterms:created xsi:type="dcterms:W3CDTF">2020-05-08T08:39:00Z</dcterms:created>
  <dcterms:modified xsi:type="dcterms:W3CDTF">2021-04-29T11:28:00Z</dcterms:modified>
</cp:coreProperties>
</file>