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15" w:rsidRPr="0067032B" w:rsidRDefault="00063E15" w:rsidP="008314D1">
      <w:pPr>
        <w:pStyle w:val="Title"/>
        <w:pBdr>
          <w:bottom w:val="double" w:sz="6" w:space="0" w:color="auto"/>
        </w:pBdr>
      </w:pPr>
      <w:r w:rsidRPr="0067032B">
        <w:t>М И Н И С Т Е Р С Т В О   Н А   Ф И Н А Н С И Т Е</w:t>
      </w:r>
    </w:p>
    <w:p w:rsidR="005F7245" w:rsidRPr="0067032B" w:rsidRDefault="005F7245" w:rsidP="00063E15">
      <w:pPr>
        <w:rPr>
          <w:sz w:val="16"/>
          <w:szCs w:val="16"/>
        </w:rPr>
      </w:pPr>
    </w:p>
    <w:p w:rsidR="002734B2" w:rsidRDefault="002734B2" w:rsidP="009B536C">
      <w:pPr>
        <w:pStyle w:val="Heading1"/>
        <w:rPr>
          <w:sz w:val="24"/>
        </w:rPr>
      </w:pPr>
    </w:p>
    <w:p w:rsidR="002734B2" w:rsidRDefault="002734B2" w:rsidP="009B536C">
      <w:pPr>
        <w:pStyle w:val="Heading1"/>
        <w:rPr>
          <w:sz w:val="24"/>
        </w:rPr>
      </w:pPr>
    </w:p>
    <w:p w:rsidR="00E9260C" w:rsidRPr="0067032B" w:rsidRDefault="00E9260C" w:rsidP="009B536C">
      <w:pPr>
        <w:pStyle w:val="Heading1"/>
        <w:rPr>
          <w:sz w:val="24"/>
        </w:rPr>
      </w:pPr>
      <w:r w:rsidRPr="0067032B">
        <w:rPr>
          <w:sz w:val="24"/>
        </w:rPr>
        <w:t>ИНФОРМАЦИЯ</w:t>
      </w:r>
    </w:p>
    <w:p w:rsidR="00E9260C" w:rsidRPr="0067032B" w:rsidRDefault="00E9260C" w:rsidP="009B536C">
      <w:pPr>
        <w:jc w:val="center"/>
        <w:rPr>
          <w:b/>
          <w:bCs/>
        </w:rPr>
      </w:pPr>
      <w:r w:rsidRPr="0067032B">
        <w:rPr>
          <w:b/>
          <w:bCs/>
        </w:rPr>
        <w:t xml:space="preserve">ЗА </w:t>
      </w:r>
      <w:r w:rsidR="004E7BF8" w:rsidRPr="0067032B">
        <w:rPr>
          <w:b/>
          <w:bCs/>
        </w:rPr>
        <w:t xml:space="preserve">КАСОВОТО </w:t>
      </w:r>
      <w:r w:rsidRPr="0067032B">
        <w:rPr>
          <w:b/>
          <w:bCs/>
        </w:rPr>
        <w:t xml:space="preserve">ИЗПЪЛНЕНИЕ НА </w:t>
      </w:r>
      <w:r w:rsidR="004E7BF8" w:rsidRPr="0067032B">
        <w:rPr>
          <w:b/>
          <w:bCs/>
        </w:rPr>
        <w:t>ДЪРЖАВНИЯ</w:t>
      </w:r>
      <w:r w:rsidRPr="0067032B">
        <w:rPr>
          <w:b/>
          <w:bCs/>
        </w:rPr>
        <w:t xml:space="preserve"> БЮДЖЕТ</w:t>
      </w:r>
      <w:r w:rsidR="004E7BF8" w:rsidRPr="0067032B">
        <w:rPr>
          <w:b/>
          <w:bCs/>
        </w:rPr>
        <w:t xml:space="preserve"> И НА ОСНОВНИТЕ ПОКАЗАТЕЛИ НА КОНСОЛИДИРАНАТА ФИСКАЛНА ПРОГРАМА </w:t>
      </w:r>
    </w:p>
    <w:p w:rsidR="003F47AB" w:rsidRDefault="003F47AB" w:rsidP="003F47AB">
      <w:pPr>
        <w:jc w:val="center"/>
        <w:rPr>
          <w:b/>
          <w:bCs/>
        </w:rPr>
      </w:pPr>
      <w:r w:rsidRPr="0067032B">
        <w:rPr>
          <w:b/>
          <w:bCs/>
        </w:rPr>
        <w:t xml:space="preserve">ЗА </w:t>
      </w:r>
      <w:r w:rsidR="00DB65C2" w:rsidRPr="0067032B">
        <w:rPr>
          <w:b/>
          <w:bCs/>
        </w:rPr>
        <w:t xml:space="preserve">ПЪРВОТО </w:t>
      </w:r>
      <w:r w:rsidR="0067032B" w:rsidRPr="0067032B">
        <w:rPr>
          <w:b/>
          <w:bCs/>
        </w:rPr>
        <w:t xml:space="preserve">ПОЛУГОДИЕ </w:t>
      </w:r>
      <w:r w:rsidRPr="0067032B">
        <w:rPr>
          <w:b/>
          <w:bCs/>
        </w:rPr>
        <w:t>НА 20</w:t>
      </w:r>
      <w:r w:rsidR="00DB65C2" w:rsidRPr="0067032B">
        <w:rPr>
          <w:b/>
          <w:bCs/>
          <w:lang w:val="en-US"/>
        </w:rPr>
        <w:t>20</w:t>
      </w:r>
      <w:r w:rsidRPr="0067032B">
        <w:rPr>
          <w:b/>
          <w:bCs/>
        </w:rPr>
        <w:t xml:space="preserve"> ГОДИНА</w:t>
      </w:r>
    </w:p>
    <w:p w:rsidR="002734B2" w:rsidRPr="0067032B" w:rsidRDefault="002734B2" w:rsidP="0065462C">
      <w:pPr>
        <w:rPr>
          <w:b/>
          <w:bCs/>
        </w:rPr>
      </w:pPr>
    </w:p>
    <w:p w:rsidR="00430A35" w:rsidRPr="0067032B" w:rsidRDefault="00430A35" w:rsidP="003A06C5">
      <w:pPr>
        <w:rPr>
          <w:b/>
          <w:bCs/>
        </w:rPr>
      </w:pPr>
    </w:p>
    <w:p w:rsidR="005750C2" w:rsidRPr="00FB1239" w:rsidRDefault="005750C2" w:rsidP="005750C2">
      <w:pPr>
        <w:spacing w:after="120"/>
        <w:ind w:firstLine="709"/>
        <w:jc w:val="both"/>
        <w:rPr>
          <w:lang w:val="en-US" w:eastAsia="bg-BG"/>
        </w:rPr>
      </w:pPr>
      <w:r w:rsidRPr="00FB1239">
        <w:rPr>
          <w:b/>
          <w:bCs/>
          <w:u w:val="single"/>
          <w:lang w:eastAsia="bg-BG"/>
        </w:rPr>
        <w:t>Развитие на икономическата среда</w:t>
      </w:r>
    </w:p>
    <w:p w:rsidR="00E10331" w:rsidRPr="00245EC9" w:rsidRDefault="00E10331" w:rsidP="00AA67FF">
      <w:pPr>
        <w:spacing w:before="120" w:after="120"/>
        <w:jc w:val="both"/>
        <w:rPr>
          <w:color w:val="4F81BD" w:themeColor="accent1"/>
          <w:sz w:val="8"/>
          <w:szCs w:val="8"/>
        </w:rPr>
      </w:pPr>
    </w:p>
    <w:p w:rsidR="004815E1" w:rsidRPr="00DF1B33" w:rsidRDefault="004815E1" w:rsidP="004815E1">
      <w:pPr>
        <w:autoSpaceDE w:val="0"/>
        <w:autoSpaceDN w:val="0"/>
        <w:adjustRightInd w:val="0"/>
        <w:spacing w:before="120" w:after="120"/>
        <w:ind w:firstLine="567"/>
        <w:jc w:val="both"/>
        <w:rPr>
          <w:noProof/>
        </w:rPr>
      </w:pPr>
      <w:r w:rsidRPr="00DF1B33">
        <w:rPr>
          <w:noProof/>
          <w:color w:val="000000" w:themeColor="text1"/>
        </w:rPr>
        <w:t xml:space="preserve">Значително отражение върху икономическото развитие през 2020 г. оказа глобалната пандемия и въведените ограничителни мерки срещу COVID-19 през март не само в България, но и във всички държави от ЕС. В България извънредно положение бе в сила от 13 март до 13 май, след което отделни противоепидемични мерки останаха в </w:t>
      </w:r>
      <w:r w:rsidRPr="00DF1B33">
        <w:rPr>
          <w:noProof/>
        </w:rPr>
        <w:t xml:space="preserve">действие. Ефектите от мерките се проявиха в различни икономически показатели в периода март-юни. </w:t>
      </w:r>
    </w:p>
    <w:p w:rsidR="004815E1" w:rsidRPr="00DF1B33" w:rsidRDefault="004815E1" w:rsidP="004815E1">
      <w:pPr>
        <w:autoSpaceDE w:val="0"/>
        <w:autoSpaceDN w:val="0"/>
        <w:adjustRightInd w:val="0"/>
        <w:spacing w:before="120" w:after="120"/>
        <w:ind w:firstLine="567"/>
        <w:jc w:val="both"/>
        <w:rPr>
          <w:noProof/>
        </w:rPr>
      </w:pPr>
      <w:r w:rsidRPr="00DF1B33">
        <w:rPr>
          <w:noProof/>
        </w:rPr>
        <w:t>През първото тримесечие на 2020 г. БВП нарасна с 1,2</w:t>
      </w:r>
      <w:r w:rsidR="008900E0">
        <w:rPr>
          <w:noProof/>
        </w:rPr>
        <w:t xml:space="preserve"> </w:t>
      </w:r>
      <w:r w:rsidRPr="00DF1B33">
        <w:rPr>
          <w:noProof/>
        </w:rPr>
        <w:t>% на годишна база при растеж от 2,9</w:t>
      </w:r>
      <w:r w:rsidR="008900E0">
        <w:rPr>
          <w:noProof/>
        </w:rPr>
        <w:t xml:space="preserve"> </w:t>
      </w:r>
      <w:r w:rsidRPr="00DF1B33">
        <w:rPr>
          <w:noProof/>
        </w:rPr>
        <w:t>% през последното тримесечие на 2019 г. Забавянето се дължеше на по-ниското вътрешно търсене, докато увеличението на износа с 1,8</w:t>
      </w:r>
      <w:r w:rsidR="008900E0">
        <w:rPr>
          <w:noProof/>
        </w:rPr>
        <w:t xml:space="preserve"> </w:t>
      </w:r>
      <w:r w:rsidRPr="00DF1B33">
        <w:rPr>
          <w:noProof/>
        </w:rPr>
        <w:t>% доведе до положителен принос на нетния износ. По-ниското нарастване на потреблението на домакинствата бе повлияно от намаляването на разходите за дълготрайни стоки и по-ниския растеж на потреблението на други стоки и услуги, поради наложените ограничителни мерки през март и нарасналата несигурност. Бруто образуването на основен капитал се понижи</w:t>
      </w:r>
      <w:r w:rsidR="00131563">
        <w:rPr>
          <w:noProof/>
        </w:rPr>
        <w:t>,</w:t>
      </w:r>
      <w:r w:rsidRPr="00DF1B33">
        <w:rPr>
          <w:noProof/>
        </w:rPr>
        <w:t xml:space="preserve"> най-вече поради спад на инвестициите в строителство. През април и май бе отчетено съществено влошаване при краткосрочните индикатори. Строителната продукция спадна средно за двата месеца с 16,6</w:t>
      </w:r>
      <w:r w:rsidR="008900E0">
        <w:rPr>
          <w:noProof/>
        </w:rPr>
        <w:t xml:space="preserve"> </w:t>
      </w:r>
      <w:r w:rsidRPr="00DF1B33">
        <w:rPr>
          <w:noProof/>
        </w:rPr>
        <w:t>%</w:t>
      </w:r>
      <w:r w:rsidR="00131563">
        <w:rPr>
          <w:noProof/>
        </w:rPr>
        <w:t>.</w:t>
      </w:r>
      <w:r w:rsidRPr="00DF1B33">
        <w:rPr>
          <w:noProof/>
        </w:rPr>
        <w:t xml:space="preserve"> </w:t>
      </w:r>
      <w:r w:rsidR="00131563">
        <w:rPr>
          <w:noProof/>
        </w:rPr>
        <w:t>П</w:t>
      </w:r>
      <w:r w:rsidRPr="00DF1B33">
        <w:rPr>
          <w:noProof/>
        </w:rPr>
        <w:t>ри промишленото производство понижението бе 17,1</w:t>
      </w:r>
      <w:r w:rsidR="008900E0">
        <w:rPr>
          <w:noProof/>
        </w:rPr>
        <w:t xml:space="preserve"> </w:t>
      </w:r>
      <w:r w:rsidRPr="00DF1B33">
        <w:rPr>
          <w:noProof/>
        </w:rPr>
        <w:t>%, а в търговията на дребно</w:t>
      </w:r>
      <w:r w:rsidR="00131563">
        <w:rPr>
          <w:noProof/>
        </w:rPr>
        <w:t xml:space="preserve"> -</w:t>
      </w:r>
      <w:r w:rsidRPr="00DF1B33">
        <w:rPr>
          <w:noProof/>
        </w:rPr>
        <w:t xml:space="preserve"> 20,3</w:t>
      </w:r>
      <w:r w:rsidR="008900E0">
        <w:rPr>
          <w:noProof/>
        </w:rPr>
        <w:t xml:space="preserve"> </w:t>
      </w:r>
      <w:r w:rsidRPr="00DF1B33">
        <w:rPr>
          <w:noProof/>
        </w:rPr>
        <w:t>%. Данните от бизнес анкетите за май и юни показаха признаци на възстановяване. Очакванията във всички сектори се подобриха и показателят за бизнес климата през юни възстанови над 50</w:t>
      </w:r>
      <w:r w:rsidR="008900E0">
        <w:rPr>
          <w:noProof/>
        </w:rPr>
        <w:t> </w:t>
      </w:r>
      <w:r w:rsidRPr="00DF1B33">
        <w:rPr>
          <w:noProof/>
        </w:rPr>
        <w:t>% от загубата, регистрирана през април.</w:t>
      </w:r>
    </w:p>
    <w:p w:rsidR="004815E1" w:rsidRPr="00DF1B33" w:rsidRDefault="004815E1" w:rsidP="004815E1">
      <w:pPr>
        <w:autoSpaceDE w:val="0"/>
        <w:autoSpaceDN w:val="0"/>
        <w:adjustRightInd w:val="0"/>
        <w:spacing w:before="120" w:after="120"/>
        <w:ind w:firstLine="567"/>
        <w:jc w:val="both"/>
        <w:rPr>
          <w:noProof/>
        </w:rPr>
      </w:pPr>
      <w:r w:rsidRPr="00DF1B33">
        <w:rPr>
          <w:noProof/>
        </w:rPr>
        <w:t>От началото на 2020 г. икономическата активност и заетостта на населението също се характеризираха с низходящо развитие, а в същото време безработицата в страната се повиши. През първото тримесечие на годината коефициентът на икономическа активност на населението (15-64 г.) отчете намаление от 0,5 пр.п. до 71,4</w:t>
      </w:r>
      <w:r w:rsidR="008900E0">
        <w:rPr>
          <w:noProof/>
        </w:rPr>
        <w:t xml:space="preserve"> </w:t>
      </w:r>
      <w:r w:rsidRPr="00DF1B33">
        <w:rPr>
          <w:noProof/>
        </w:rPr>
        <w:t>%, а коефициентът на заетост на населението от същата възрастова група регистрира годишно намаление от 0,2 пр.п до 68,1</w:t>
      </w:r>
      <w:r w:rsidR="008900E0">
        <w:rPr>
          <w:noProof/>
        </w:rPr>
        <w:t xml:space="preserve"> </w:t>
      </w:r>
      <w:r w:rsidRPr="00DF1B33">
        <w:rPr>
          <w:noProof/>
        </w:rPr>
        <w:t>%. Коефициентът на безработица възлезе на 4,6</w:t>
      </w:r>
      <w:r w:rsidR="008900E0">
        <w:rPr>
          <w:noProof/>
        </w:rPr>
        <w:t xml:space="preserve"> </w:t>
      </w:r>
      <w:r w:rsidRPr="00DF1B33">
        <w:rPr>
          <w:noProof/>
        </w:rPr>
        <w:t>% и продължи да намалява на годишна база, но след средата на месец март беше отчетено съществено нарастване на регистрираната безработица. През първите седмици след обявяване на извънредното положение броят на регистрираните безработни бързо нарасна с около 100 хил. души и достигна 300 хил. души в края на май. От средата на май обаче започна да се наблюдава пречупване на тренда и в края на юни броят на регистрираните безработни намаля до около 275 хил. души.</w:t>
      </w:r>
    </w:p>
    <w:p w:rsidR="004815E1" w:rsidRPr="00DF1B33" w:rsidRDefault="004815E1" w:rsidP="004815E1">
      <w:pPr>
        <w:autoSpaceDE w:val="0"/>
        <w:autoSpaceDN w:val="0"/>
        <w:adjustRightInd w:val="0"/>
        <w:spacing w:before="120" w:after="120"/>
        <w:ind w:firstLine="567"/>
        <w:jc w:val="both"/>
        <w:rPr>
          <w:noProof/>
        </w:rPr>
      </w:pPr>
      <w:r w:rsidRPr="00DF1B33">
        <w:rPr>
          <w:noProof/>
        </w:rPr>
        <w:t>През първо тримесечие реалната производителност на труда (БДС на един зает) се повиши с 2</w:t>
      </w:r>
      <w:r w:rsidR="003D3CCD">
        <w:rPr>
          <w:noProof/>
        </w:rPr>
        <w:t>,</w:t>
      </w:r>
      <w:r w:rsidRPr="00DF1B33">
        <w:rPr>
          <w:noProof/>
        </w:rPr>
        <w:t>5</w:t>
      </w:r>
      <w:r w:rsidR="003D3CCD">
        <w:rPr>
          <w:noProof/>
        </w:rPr>
        <w:t xml:space="preserve"> </w:t>
      </w:r>
      <w:r w:rsidRPr="00DF1B33">
        <w:rPr>
          <w:noProof/>
        </w:rPr>
        <w:t>% на годишна база, което съчетано със 7</w:t>
      </w:r>
      <w:r w:rsidR="003D3CCD">
        <w:rPr>
          <w:noProof/>
        </w:rPr>
        <w:t>,</w:t>
      </w:r>
      <w:r w:rsidRPr="00DF1B33">
        <w:rPr>
          <w:noProof/>
        </w:rPr>
        <w:t>3</w:t>
      </w:r>
      <w:r w:rsidR="003D3CCD">
        <w:rPr>
          <w:noProof/>
        </w:rPr>
        <w:t xml:space="preserve"> </w:t>
      </w:r>
      <w:r w:rsidRPr="00DF1B33">
        <w:rPr>
          <w:noProof/>
        </w:rPr>
        <w:t>% номинален растеж на компенсацията на един нает доведе до нарастване на разходите за труд на единица продукция с 4</w:t>
      </w:r>
      <w:r w:rsidR="003D3CCD">
        <w:rPr>
          <w:noProof/>
        </w:rPr>
        <w:t>,</w:t>
      </w:r>
      <w:r w:rsidRPr="00DF1B33">
        <w:rPr>
          <w:noProof/>
        </w:rPr>
        <w:t>7</w:t>
      </w:r>
      <w:r w:rsidR="003D3CCD">
        <w:rPr>
          <w:noProof/>
        </w:rPr>
        <w:t xml:space="preserve"> </w:t>
      </w:r>
      <w:r w:rsidRPr="00DF1B33">
        <w:rPr>
          <w:noProof/>
        </w:rPr>
        <w:t>%. Въпреки че изменението на показателите през тримесечието остана близко до отчетените темпове година по-рано и все още не показа съществен негативен ефект от пандемията, по-детайлните месечни данни отразиха първи отрицателни ефекти върху доходите през март. През първите три месеца на 2020 г. номиналният растеж на средната работна заплата се забави до 9</w:t>
      </w:r>
      <w:r w:rsidR="003D3CCD">
        <w:rPr>
          <w:noProof/>
        </w:rPr>
        <w:t xml:space="preserve"> </w:t>
      </w:r>
      <w:r w:rsidRPr="00DF1B33">
        <w:rPr>
          <w:noProof/>
        </w:rPr>
        <w:t>% на годишна база и 6</w:t>
      </w:r>
      <w:r w:rsidR="003D3CCD">
        <w:rPr>
          <w:noProof/>
        </w:rPr>
        <w:t xml:space="preserve"> </w:t>
      </w:r>
      <w:r w:rsidRPr="00DF1B33">
        <w:rPr>
          <w:noProof/>
        </w:rPr>
        <w:t>% в реално изражение. Нарастването на средната заплата се забави съществено до 5</w:t>
      </w:r>
      <w:r w:rsidR="003D3CCD">
        <w:rPr>
          <w:noProof/>
        </w:rPr>
        <w:t>,</w:t>
      </w:r>
      <w:r w:rsidRPr="00DF1B33">
        <w:rPr>
          <w:noProof/>
        </w:rPr>
        <w:t>9</w:t>
      </w:r>
      <w:r w:rsidR="003D3CCD">
        <w:rPr>
          <w:noProof/>
        </w:rPr>
        <w:t xml:space="preserve"> </w:t>
      </w:r>
      <w:r w:rsidRPr="00DF1B33">
        <w:rPr>
          <w:noProof/>
        </w:rPr>
        <w:t>% през март спрямо двуцифрени темпове през януари и февруари. Най-силен ефект се наблюдаваше в хотели и ресторанти, където работната заплата и наетите лица се понижиха на годишна база, съответно с 14,5</w:t>
      </w:r>
      <w:r w:rsidR="003D3CCD">
        <w:rPr>
          <w:noProof/>
        </w:rPr>
        <w:t xml:space="preserve"> </w:t>
      </w:r>
      <w:r w:rsidRPr="00DF1B33">
        <w:rPr>
          <w:noProof/>
        </w:rPr>
        <w:t>% и 22,8</w:t>
      </w:r>
      <w:r w:rsidR="003D3CCD">
        <w:rPr>
          <w:noProof/>
        </w:rPr>
        <w:t xml:space="preserve"> </w:t>
      </w:r>
      <w:r w:rsidRPr="00DF1B33">
        <w:rPr>
          <w:noProof/>
        </w:rPr>
        <w:t>%. Други силно засегнати дейности бяха култура, спорт и развлечения (спад на заплати и наети от съответно 7,1</w:t>
      </w:r>
      <w:r w:rsidR="003D3CCD">
        <w:rPr>
          <w:noProof/>
        </w:rPr>
        <w:t xml:space="preserve"> </w:t>
      </w:r>
      <w:r w:rsidRPr="00DF1B33">
        <w:rPr>
          <w:noProof/>
        </w:rPr>
        <w:t>% и 3,9</w:t>
      </w:r>
      <w:r w:rsidR="003D3CCD">
        <w:rPr>
          <w:noProof/>
        </w:rPr>
        <w:t xml:space="preserve"> </w:t>
      </w:r>
      <w:r w:rsidRPr="00DF1B33">
        <w:rPr>
          <w:noProof/>
        </w:rPr>
        <w:t>%) и строителство (-0,1</w:t>
      </w:r>
      <w:r w:rsidR="003D3CCD">
        <w:rPr>
          <w:noProof/>
        </w:rPr>
        <w:t xml:space="preserve"> </w:t>
      </w:r>
      <w:r w:rsidRPr="00DF1B33">
        <w:rPr>
          <w:noProof/>
        </w:rPr>
        <w:t>% и -3,7</w:t>
      </w:r>
      <w:r w:rsidR="003D3CCD">
        <w:rPr>
          <w:noProof/>
        </w:rPr>
        <w:t xml:space="preserve"> </w:t>
      </w:r>
      <w:r w:rsidRPr="00DF1B33">
        <w:rPr>
          <w:noProof/>
        </w:rPr>
        <w:t xml:space="preserve">%). Преработващата промишленост, транспортът и </w:t>
      </w:r>
      <w:r w:rsidRPr="00DF1B33">
        <w:rPr>
          <w:noProof/>
        </w:rPr>
        <w:lastRenderedPageBreak/>
        <w:t>търговията бяха частично засегнати, като ефектът се изразяваше в по-нисък темп на нарастване на заплатите и намаление на броя на наетите на годишна база.</w:t>
      </w:r>
    </w:p>
    <w:p w:rsidR="004815E1" w:rsidRPr="00DF1B33" w:rsidRDefault="004815E1" w:rsidP="004815E1">
      <w:pPr>
        <w:autoSpaceDE w:val="0"/>
        <w:autoSpaceDN w:val="0"/>
        <w:adjustRightInd w:val="0"/>
        <w:spacing w:before="120" w:after="120"/>
        <w:ind w:firstLine="567"/>
        <w:jc w:val="both"/>
        <w:rPr>
          <w:noProof/>
        </w:rPr>
      </w:pPr>
      <w:r w:rsidRPr="00DF1B33">
        <w:rPr>
          <w:noProof/>
        </w:rPr>
        <w:t>Инфлацията на годишна база намаляваше през първото полугодие и през юни се понижи до 0</w:t>
      </w:r>
      <w:r w:rsidR="003D3CCD">
        <w:rPr>
          <w:noProof/>
        </w:rPr>
        <w:t>,</w:t>
      </w:r>
      <w:r w:rsidRPr="00DF1B33">
        <w:rPr>
          <w:noProof/>
        </w:rPr>
        <w:t>9</w:t>
      </w:r>
      <w:r w:rsidR="003D3CCD">
        <w:rPr>
          <w:noProof/>
        </w:rPr>
        <w:t xml:space="preserve"> </w:t>
      </w:r>
      <w:r w:rsidRPr="00DF1B33">
        <w:rPr>
          <w:noProof/>
        </w:rPr>
        <w:t>%</w:t>
      </w:r>
      <w:r w:rsidR="00FA1322">
        <w:rPr>
          <w:noProof/>
        </w:rPr>
        <w:t>,</w:t>
      </w:r>
      <w:r w:rsidRPr="00DF1B33">
        <w:rPr>
          <w:noProof/>
        </w:rPr>
        <w:t xml:space="preserve"> при 3</w:t>
      </w:r>
      <w:r w:rsidR="003D3CCD">
        <w:rPr>
          <w:noProof/>
        </w:rPr>
        <w:t>,</w:t>
      </w:r>
      <w:r w:rsidRPr="00DF1B33">
        <w:rPr>
          <w:noProof/>
        </w:rPr>
        <w:t>1</w:t>
      </w:r>
      <w:r w:rsidR="003D3CCD">
        <w:rPr>
          <w:noProof/>
        </w:rPr>
        <w:t xml:space="preserve"> </w:t>
      </w:r>
      <w:r w:rsidRPr="00DF1B33">
        <w:rPr>
          <w:noProof/>
        </w:rPr>
        <w:t>% в края на 2019 г</w:t>
      </w:r>
      <w:r w:rsidR="003D3CCD">
        <w:rPr>
          <w:noProof/>
        </w:rPr>
        <w:t>одина</w:t>
      </w:r>
      <w:r w:rsidRPr="00DF1B33">
        <w:rPr>
          <w:noProof/>
        </w:rPr>
        <w:t>. Основен фактор за това бе спадът в цените на енергийните стоки, докато динамиката на цените на храните беше разнопосочна. Спадът в международните цени на нефта през юни беше 34</w:t>
      </w:r>
      <w:r w:rsidR="003D3CCD">
        <w:rPr>
          <w:noProof/>
        </w:rPr>
        <w:t xml:space="preserve"> </w:t>
      </w:r>
      <w:r w:rsidRPr="00DF1B33">
        <w:rPr>
          <w:noProof/>
        </w:rPr>
        <w:t>% спрямо същия месец на предходната година. Значително по-ниските цени от внос на природен газ предизвикаха поевтиняване на цената в страната и понижение на цените на топлоенергията. Според решение на Комисията за енергийно и водно регулиране, от началото на април влязоха в сила по-ниски цени на природния газ и на топлоенергията. Спадът на тези цени по веригата на добавената стойност ще ограничи и нарастването на цените на производител в страната. Инфлационните процеси при непреработените храни се ускориха, докато нарастването на цените при преработените храни беше със забавени темпове от началото на годината. Последното повлия и за намаление на базисната инфлация, която през юни се понижи до 2</w:t>
      </w:r>
      <w:r w:rsidR="003D3CCD">
        <w:rPr>
          <w:noProof/>
        </w:rPr>
        <w:t>,</w:t>
      </w:r>
      <w:r w:rsidRPr="00DF1B33">
        <w:rPr>
          <w:noProof/>
        </w:rPr>
        <w:t>1</w:t>
      </w:r>
      <w:r w:rsidR="003D3CCD">
        <w:rPr>
          <w:noProof/>
        </w:rPr>
        <w:t xml:space="preserve"> </w:t>
      </w:r>
      <w:r w:rsidRPr="00DF1B33">
        <w:rPr>
          <w:noProof/>
        </w:rPr>
        <w:t>%</w:t>
      </w:r>
      <w:r w:rsidR="00F40B27">
        <w:rPr>
          <w:noProof/>
        </w:rPr>
        <w:t>,</w:t>
      </w:r>
      <w:r w:rsidRPr="00DF1B33">
        <w:rPr>
          <w:noProof/>
        </w:rPr>
        <w:t xml:space="preserve"> при 2</w:t>
      </w:r>
      <w:r w:rsidR="003D3CCD">
        <w:rPr>
          <w:noProof/>
        </w:rPr>
        <w:t>,</w:t>
      </w:r>
      <w:r w:rsidRPr="00DF1B33">
        <w:rPr>
          <w:noProof/>
        </w:rPr>
        <w:t>5</w:t>
      </w:r>
      <w:r w:rsidR="003D3CCD">
        <w:rPr>
          <w:noProof/>
        </w:rPr>
        <w:t xml:space="preserve"> </w:t>
      </w:r>
      <w:r w:rsidRPr="00DF1B33">
        <w:rPr>
          <w:noProof/>
        </w:rPr>
        <w:t>% в края на 2019 г</w:t>
      </w:r>
      <w:r w:rsidR="003D3CCD">
        <w:rPr>
          <w:noProof/>
        </w:rPr>
        <w:t>одина</w:t>
      </w:r>
      <w:r w:rsidRPr="00DF1B33">
        <w:rPr>
          <w:noProof/>
        </w:rPr>
        <w:t xml:space="preserve">. Като цяло инфлацията през първата половина на годината бе по-висока от предвижданата. </w:t>
      </w:r>
    </w:p>
    <w:p w:rsidR="004815E1" w:rsidRPr="00DF1B33" w:rsidRDefault="004815E1" w:rsidP="004815E1">
      <w:pPr>
        <w:autoSpaceDE w:val="0"/>
        <w:autoSpaceDN w:val="0"/>
        <w:adjustRightInd w:val="0"/>
        <w:spacing w:before="120" w:after="120"/>
        <w:ind w:firstLine="567"/>
        <w:jc w:val="both"/>
        <w:rPr>
          <w:noProof/>
        </w:rPr>
      </w:pPr>
      <w:r w:rsidRPr="00DF1B33">
        <w:rPr>
          <w:noProof/>
        </w:rPr>
        <w:t>За първите пет месеца на 2020 г. балансът по текущата сметка бе положителен в размер на 695,4 млн. евро или 1,2 % от прогнозния БВП, при излишък от 0,1 % от БВП година по-рано. Поради разпространението на COVID-19 и наложените ограничителни мерки в редица страни, бе отчетен спад във външната търговия. Износът на стоки се понижи с</w:t>
      </w:r>
      <w:r w:rsidR="003D3CCD">
        <w:rPr>
          <w:noProof/>
        </w:rPr>
        <w:t>ъс</w:t>
      </w:r>
      <w:r w:rsidRPr="00DF1B33">
        <w:rPr>
          <w:noProof/>
        </w:rPr>
        <w:t xml:space="preserve"> 7,4 % в номинално изражение, с намаление при почти всички групи стоки с изключени</w:t>
      </w:r>
      <w:r w:rsidR="003D3CCD">
        <w:rPr>
          <w:noProof/>
        </w:rPr>
        <w:t>е</w:t>
      </w:r>
      <w:r w:rsidRPr="00DF1B33">
        <w:rPr>
          <w:noProof/>
        </w:rPr>
        <w:t xml:space="preserve"> на някои храни, медицински материали и козметика. Най-голямо понижение бе отчетено при износа на нефтопродукти, което отрази и значително по-ниските цени на петрола на международните пазари. Внос</w:t>
      </w:r>
      <w:r w:rsidR="003D3CCD">
        <w:rPr>
          <w:noProof/>
        </w:rPr>
        <w:t>ът</w:t>
      </w:r>
      <w:r w:rsidRPr="00DF1B33">
        <w:rPr>
          <w:noProof/>
        </w:rPr>
        <w:t xml:space="preserve"> на стоки също се сви с 12,6 % като за това допринесе и по-слабата динамика на вътрешното търсене. В резултат, търговският дефицит достигна 0,2 % от прогнозния БВП, при 1,4 % от БВП за същия период на предходната година. Балансът на услугите се влоши, като за петте месеца излишъкът намаля с 0,3 пр.п. до 0,9 % от прогнозния БВП. Както при износа, така и при вноса бе регистриран значителен спад от около 50 % на статия „Пътувания“. Общият излишък по доходните статии се повиши до 0,5 % от БВП, следвайки по-ниските плащания на инвестиционен доход към нерезиденти, но и отчитайки близо два пъти по-ниски постъпления от преводи на българи</w:t>
      </w:r>
      <w:r w:rsidR="00A64B4B">
        <w:rPr>
          <w:noProof/>
        </w:rPr>
        <w:t>,</w:t>
      </w:r>
      <w:r w:rsidRPr="00DF1B33">
        <w:rPr>
          <w:noProof/>
        </w:rPr>
        <w:t xml:space="preserve"> дългосрочно пребиваващи в чужбина. Излишъкът по капиталовата сметка за периода достигна 0,7 % от прогнозния БВП и бе съпоставим с предходната година. Динамиката на финансовата сметка отрази минимална промяна в пасивите и изтегляне на голяма част от активите на търговските банки в чужбина.</w:t>
      </w:r>
    </w:p>
    <w:p w:rsidR="004815E1" w:rsidRPr="00454C89" w:rsidRDefault="004815E1" w:rsidP="004815E1">
      <w:pPr>
        <w:spacing w:before="360"/>
        <w:ind w:firstLine="709"/>
        <w:jc w:val="both"/>
        <w:rPr>
          <w:b/>
          <w:color w:val="000000"/>
          <w:u w:val="single"/>
        </w:rPr>
      </w:pPr>
      <w:r w:rsidRPr="00454C89">
        <w:rPr>
          <w:b/>
          <w:color w:val="000000"/>
          <w:u w:val="single"/>
        </w:rPr>
        <w:t>Присъединяване на България към Валутен механизъм II</w:t>
      </w:r>
      <w:r>
        <w:rPr>
          <w:b/>
          <w:color w:val="000000"/>
          <w:u w:val="single"/>
        </w:rPr>
        <w:t xml:space="preserve"> и </w:t>
      </w:r>
      <w:r w:rsidRPr="00454C89">
        <w:rPr>
          <w:b/>
          <w:color w:val="000000"/>
          <w:u w:val="single"/>
        </w:rPr>
        <w:t>Банковия съюз</w:t>
      </w:r>
    </w:p>
    <w:p w:rsidR="004815E1" w:rsidRPr="00275A8D" w:rsidRDefault="004815E1" w:rsidP="004815E1">
      <w:pPr>
        <w:autoSpaceDE w:val="0"/>
        <w:autoSpaceDN w:val="0"/>
        <w:adjustRightInd w:val="0"/>
        <w:spacing w:before="120" w:after="120"/>
        <w:ind w:firstLine="567"/>
        <w:jc w:val="both"/>
        <w:rPr>
          <w:noProof/>
        </w:rPr>
      </w:pPr>
      <w:r w:rsidRPr="00275A8D">
        <w:rPr>
          <w:noProof/>
        </w:rPr>
        <w:t>По искане на българските власти финансовите министри на държавите</w:t>
      </w:r>
      <w:r w:rsidR="00FA1322">
        <w:rPr>
          <w:noProof/>
        </w:rPr>
        <w:t xml:space="preserve"> </w:t>
      </w:r>
      <w:r w:rsidRPr="00275A8D">
        <w:rPr>
          <w:noProof/>
        </w:rPr>
        <w:t>членки от еврозоната, президентът на Европейската централна банка и финансовите министри и управителите на централните банки на Дания и България решиха единодушно да включат българския лев във Валутен механизъм II (ВМ II), като реше</w:t>
      </w:r>
      <w:r>
        <w:rPr>
          <w:noProof/>
        </w:rPr>
        <w:t>нието стана факт на 10 юли 2020 </w:t>
      </w:r>
      <w:r w:rsidRPr="00275A8D">
        <w:rPr>
          <w:noProof/>
        </w:rPr>
        <w:t>г. В процеса на вземане на това решение бе включена Европейската комисия и бяха проведени консултации с Икономическия и финансов комитет.</w:t>
      </w:r>
      <w:r>
        <w:rPr>
          <w:noProof/>
        </w:rPr>
        <w:t xml:space="preserve"> С</w:t>
      </w:r>
      <w:r w:rsidRPr="00275A8D">
        <w:rPr>
          <w:noProof/>
        </w:rPr>
        <w:t>лед внимателна оценка на адекватността и устойчивостта на валутния борд в България, бе прието, че България се присъединява към валутния механизъм със съществуващия си режим на валутен борд, като едностранен ангажимент и без допълнителни изисквания към ЕЦБ.</w:t>
      </w:r>
    </w:p>
    <w:p w:rsidR="004815E1" w:rsidRPr="00275A8D" w:rsidRDefault="004815E1" w:rsidP="004815E1">
      <w:pPr>
        <w:autoSpaceDE w:val="0"/>
        <w:autoSpaceDN w:val="0"/>
        <w:adjustRightInd w:val="0"/>
        <w:spacing w:before="120" w:after="120"/>
        <w:ind w:firstLine="567"/>
        <w:jc w:val="both"/>
        <w:rPr>
          <w:noProof/>
        </w:rPr>
      </w:pPr>
      <w:r w:rsidRPr="00275A8D">
        <w:rPr>
          <w:noProof/>
        </w:rPr>
        <w:t xml:space="preserve">Споразумението за участие на лева във ВМ II се основава, наред с друго, върху ангажимента на България да се присъедини едновременно към Банковия съюз и ВМ II и на изпълнението от българските власти на мерките, описани в писмото за намерения от 29 юни 2018 г., които са от значение за гладкото присъединяване и участие във ВМ II. Тези мерки са в следните шест области на политики: банков надзор, макропруденциалната рамка, надзора над небанковия финансов сектор, рамката за предотвратяване на пране на пари, рамката за несъстоятелност и управлението на държавните предприятия. Страните, участващи в процеса по ВМ II, приветстват положителната оценка за изпълнението на тези ангажименти, дадена от </w:t>
      </w:r>
      <w:r w:rsidRPr="00275A8D">
        <w:rPr>
          <w:noProof/>
        </w:rPr>
        <w:lastRenderedPageBreak/>
        <w:t>Европейската централна банка и Европейската комисия. Европейската централна банка също оповести установяването на тясно сътрудничество с Българската народна банка.</w:t>
      </w:r>
    </w:p>
    <w:p w:rsidR="004815E1" w:rsidRPr="00275A8D" w:rsidRDefault="004815E1" w:rsidP="004815E1">
      <w:pPr>
        <w:autoSpaceDE w:val="0"/>
        <w:autoSpaceDN w:val="0"/>
        <w:adjustRightInd w:val="0"/>
        <w:spacing w:before="120" w:after="120"/>
        <w:ind w:firstLine="567"/>
        <w:jc w:val="both"/>
        <w:rPr>
          <w:noProof/>
        </w:rPr>
      </w:pPr>
      <w:r w:rsidRPr="00275A8D">
        <w:rPr>
          <w:noProof/>
        </w:rPr>
        <w:t>Споразумението е придружено от твърд ангажимент на българските власти да провеждат благоразумни икономически политики с цел запазване на икономическата и финансовата стабилност и постигане на висока степен на устойчива икономическа конвергенция. Българските власти поеха ангажимент да предприемат конкретни мерки, свързани с политики в областта на небанковия финансов сектор, държавните предприятия, рамката за несъстоятелност и рамката за предотвратяване на пране на пари. България също ще продължи да извършва всеобхватните реформи в съдебната система и в политиката за борба с корупцията и организираната престъпност, с оглед на тяхната важност за стабилността и доверието към финансовата система.</w:t>
      </w:r>
    </w:p>
    <w:p w:rsidR="004815E1" w:rsidRPr="009E63B9" w:rsidRDefault="004815E1" w:rsidP="004815E1">
      <w:pPr>
        <w:spacing w:before="360"/>
        <w:ind w:firstLine="709"/>
        <w:jc w:val="both"/>
        <w:rPr>
          <w:b/>
          <w:color w:val="000000"/>
          <w:u w:val="single"/>
        </w:rPr>
      </w:pPr>
      <w:r>
        <w:rPr>
          <w:b/>
          <w:color w:val="000000"/>
          <w:u w:val="single"/>
        </w:rPr>
        <w:t>Актуализация на ЗДБРБ за 20</w:t>
      </w:r>
      <w:r>
        <w:rPr>
          <w:b/>
          <w:color w:val="000000"/>
          <w:u w:val="single"/>
          <w:lang w:val="en-US"/>
        </w:rPr>
        <w:t>20</w:t>
      </w:r>
      <w:r w:rsidRPr="009E63B9">
        <w:rPr>
          <w:b/>
          <w:color w:val="000000"/>
          <w:u w:val="single"/>
        </w:rPr>
        <w:t xml:space="preserve"> г.</w:t>
      </w:r>
    </w:p>
    <w:p w:rsidR="004815E1" w:rsidRDefault="004815E1" w:rsidP="004815E1">
      <w:pPr>
        <w:autoSpaceDE w:val="0"/>
        <w:autoSpaceDN w:val="0"/>
        <w:adjustRightInd w:val="0"/>
        <w:spacing w:before="120" w:after="120"/>
        <w:ind w:firstLine="567"/>
        <w:jc w:val="both"/>
        <w:rPr>
          <w:noProof/>
        </w:rPr>
      </w:pPr>
      <w:r>
        <w:rPr>
          <w:noProof/>
        </w:rPr>
        <w:t xml:space="preserve">Месеците февруари и март преминаха под знака на изключително бързото разрастване на пандемията </w:t>
      </w:r>
      <w:r w:rsidRPr="006535F7">
        <w:rPr>
          <w:noProof/>
          <w:lang w:val="en-US"/>
        </w:rPr>
        <w:t>с COVID-19</w:t>
      </w:r>
      <w:r>
        <w:rPr>
          <w:noProof/>
        </w:rPr>
        <w:t xml:space="preserve"> в Европа и света. На 13 март с решение на Народното събрание бе обявено извънредно положение на територията на цялата страна, а в последствие бе приет </w:t>
      </w:r>
      <w:r w:rsidRPr="007C0BFB">
        <w:rPr>
          <w:noProof/>
        </w:rPr>
        <w:t>Закон за мерките и действията по време на извънредното положение, обявено с решение на Народното събрание на 13 март 2020 г.</w:t>
      </w:r>
      <w:r w:rsidRPr="003D1945">
        <w:rPr>
          <w:color w:val="000000" w:themeColor="text1"/>
        </w:rPr>
        <w:t xml:space="preserve"> </w:t>
      </w:r>
      <w:r w:rsidRPr="00E10331">
        <w:rPr>
          <w:color w:val="000000" w:themeColor="text1"/>
        </w:rPr>
        <w:t>(</w:t>
      </w:r>
      <w:proofErr w:type="spellStart"/>
      <w:r w:rsidRPr="00E10331">
        <w:rPr>
          <w:color w:val="000000" w:themeColor="text1"/>
        </w:rPr>
        <w:t>обн</w:t>
      </w:r>
      <w:proofErr w:type="spellEnd"/>
      <w:r w:rsidRPr="00E10331">
        <w:rPr>
          <w:color w:val="000000" w:themeColor="text1"/>
        </w:rPr>
        <w:t>. ДВ бр.28 от 24.3.2020 г.)</w:t>
      </w:r>
      <w:r>
        <w:rPr>
          <w:color w:val="000000" w:themeColor="text1"/>
        </w:rPr>
        <w:t>.</w:t>
      </w:r>
      <w:r>
        <w:rPr>
          <w:noProof/>
        </w:rPr>
        <w:t xml:space="preserve"> На фона на </w:t>
      </w:r>
      <w:r w:rsidRPr="006535F7">
        <w:rPr>
          <w:noProof/>
          <w:lang w:val="en-US"/>
        </w:rPr>
        <w:t xml:space="preserve">безпрецедентна ситуация, при която много от държавите в света се борят с всички налични ресурси за ограничаване на разпространението на заразата с COVID-19, измеренията на кризата за световната и в частност за европейската икономика </w:t>
      </w:r>
      <w:r>
        <w:rPr>
          <w:noProof/>
        </w:rPr>
        <w:t>са огромни</w:t>
      </w:r>
      <w:r w:rsidRPr="006535F7">
        <w:rPr>
          <w:noProof/>
          <w:lang w:val="en-US"/>
        </w:rPr>
        <w:t xml:space="preserve">. </w:t>
      </w:r>
      <w:r w:rsidRPr="00A33E54">
        <w:rPr>
          <w:noProof/>
        </w:rPr>
        <w:t>Повечето големи икономики, засегнати от пандемията, очакват значително забавяне и навлизане в рецесия през настоящата година, като трудно може да се оцени в пълнота колко дълбоки ще са икономическите последици от предприетите действия за борба с пандемията</w:t>
      </w:r>
      <w:r w:rsidRPr="00A33E54">
        <w:rPr>
          <w:sz w:val="28"/>
          <w:szCs w:val="28"/>
        </w:rPr>
        <w:t>.</w:t>
      </w:r>
      <w:r>
        <w:rPr>
          <w:sz w:val="28"/>
          <w:szCs w:val="28"/>
        </w:rPr>
        <w:t xml:space="preserve"> </w:t>
      </w:r>
      <w:r w:rsidRPr="00821704">
        <w:rPr>
          <w:noProof/>
        </w:rPr>
        <w:t>България</w:t>
      </w:r>
      <w:r>
        <w:rPr>
          <w:noProof/>
        </w:rPr>
        <w:t>,</w:t>
      </w:r>
      <w:r w:rsidRPr="00821704">
        <w:rPr>
          <w:noProof/>
        </w:rPr>
        <w:t xml:space="preserve"> като отворена икономика не може да остане изолирана от протичащите процеси в основните икономики на еврозоната, които формират значителна част от стокооб</w:t>
      </w:r>
      <w:r>
        <w:rPr>
          <w:noProof/>
        </w:rPr>
        <w:t>мена и износа на страната. Д</w:t>
      </w:r>
      <w:r w:rsidRPr="00821704">
        <w:rPr>
          <w:noProof/>
        </w:rPr>
        <w:t xml:space="preserve">инамичните процеси в икономиките на основните външнотърговски партньори и </w:t>
      </w:r>
      <w:r>
        <w:rPr>
          <w:noProof/>
        </w:rPr>
        <w:t>наложените</w:t>
      </w:r>
      <w:r w:rsidRPr="00821704">
        <w:rPr>
          <w:noProof/>
        </w:rPr>
        <w:t xml:space="preserve"> мерки</w:t>
      </w:r>
      <w:r>
        <w:rPr>
          <w:noProof/>
        </w:rPr>
        <w:t xml:space="preserve"> и ограничения</w:t>
      </w:r>
      <w:r w:rsidRPr="00821704">
        <w:rPr>
          <w:noProof/>
        </w:rPr>
        <w:t xml:space="preserve"> в ситуация на извънредно положение в страната </w:t>
      </w:r>
      <w:r>
        <w:rPr>
          <w:noProof/>
        </w:rPr>
        <w:t xml:space="preserve">промениха </w:t>
      </w:r>
      <w:r w:rsidR="001A4951">
        <w:rPr>
          <w:noProof/>
        </w:rPr>
        <w:t>коренно</w:t>
      </w:r>
      <w:r>
        <w:rPr>
          <w:noProof/>
        </w:rPr>
        <w:t xml:space="preserve"> макроикономическия сценарий за настоящата година, което чрез</w:t>
      </w:r>
      <w:r w:rsidRPr="00821704">
        <w:rPr>
          <w:noProof/>
        </w:rPr>
        <w:t xml:space="preserve"> п</w:t>
      </w:r>
      <w:r>
        <w:rPr>
          <w:noProof/>
        </w:rPr>
        <w:t xml:space="preserve">реките и косвените ефекти от всички тези въздействия, се отрази негативно на прогнозите по отношение на изпълнението на приходите и очерта необходимост от обезпечаване на допълнителни разходи. </w:t>
      </w:r>
    </w:p>
    <w:p w:rsidR="004815E1" w:rsidRDefault="004815E1" w:rsidP="004815E1">
      <w:pPr>
        <w:autoSpaceDE w:val="0"/>
        <w:autoSpaceDN w:val="0"/>
        <w:adjustRightInd w:val="0"/>
        <w:spacing w:before="120" w:after="120"/>
        <w:ind w:firstLine="567"/>
        <w:jc w:val="both"/>
        <w:rPr>
          <w:noProof/>
        </w:rPr>
      </w:pPr>
      <w:r w:rsidRPr="00E10331">
        <w:rPr>
          <w:color w:val="000000" w:themeColor="text1"/>
        </w:rPr>
        <w:t>Очертаващата се невъзможност да бъдат постигнати заложените фискални цели с разчетите към ЗДБРБ за 2020 г. наложи изготвянето и приемането от правителството на Закон за изменение и допълнение на ЗДБРБ за 2020 г. (ЗИД на ЗДБРБ за 2020 г.), който бе внесен за разглеждане и одобряване в Народното събрание на 30.03.2020 г. Причините за това са, от една стр</w:t>
      </w:r>
      <w:r>
        <w:rPr>
          <w:color w:val="000000" w:themeColor="text1"/>
        </w:rPr>
        <w:t xml:space="preserve">ана, прогнозираното </w:t>
      </w:r>
      <w:r w:rsidRPr="00E10331">
        <w:rPr>
          <w:color w:val="000000" w:themeColor="text1"/>
        </w:rPr>
        <w:t>влошаване на параметри</w:t>
      </w:r>
      <w:r>
        <w:rPr>
          <w:color w:val="000000" w:themeColor="text1"/>
        </w:rPr>
        <w:t>те</w:t>
      </w:r>
      <w:r w:rsidRPr="00E10331">
        <w:rPr>
          <w:color w:val="000000" w:themeColor="text1"/>
        </w:rPr>
        <w:t xml:space="preserve"> по бюджетните приходи</w:t>
      </w:r>
      <w:r w:rsidRPr="000B6D3A">
        <w:t xml:space="preserve"> </w:t>
      </w:r>
      <w:r w:rsidRPr="000B6D3A">
        <w:rPr>
          <w:color w:val="000000" w:themeColor="text1"/>
        </w:rPr>
        <w:t>на база на прогноза за влошаване на макроикономическите допускания</w:t>
      </w:r>
      <w:r w:rsidRPr="00E10331">
        <w:rPr>
          <w:color w:val="000000" w:themeColor="text1"/>
        </w:rPr>
        <w:t>, и от друга, необходимост</w:t>
      </w:r>
      <w:r>
        <w:rPr>
          <w:color w:val="000000" w:themeColor="text1"/>
        </w:rPr>
        <w:t>та</w:t>
      </w:r>
      <w:r w:rsidRPr="00E10331">
        <w:rPr>
          <w:color w:val="000000" w:themeColor="text1"/>
        </w:rPr>
        <w:t xml:space="preserve"> от осигуряване на допълнителни разходи в изпълнение на Закона за мерките и действията по време на действието на извънредното положение, обявено с решение на Народното събрание от 13 март 2020 г. (</w:t>
      </w:r>
      <w:proofErr w:type="spellStart"/>
      <w:r w:rsidRPr="00E10331">
        <w:rPr>
          <w:color w:val="000000" w:themeColor="text1"/>
        </w:rPr>
        <w:t>обн</w:t>
      </w:r>
      <w:proofErr w:type="spellEnd"/>
      <w:r w:rsidRPr="00E10331">
        <w:rPr>
          <w:color w:val="000000" w:themeColor="text1"/>
        </w:rPr>
        <w:t>. ДВ бр.28 от 24.3.2020 г.). Проектът на ЗИД на ЗДБРБ за 2020 г. бе одобрен на второ четене на 06.04.2020 г. и влезе в сила след неговото обнародване в Държавен вестник (</w:t>
      </w:r>
      <w:proofErr w:type="spellStart"/>
      <w:r w:rsidRPr="00E10331">
        <w:rPr>
          <w:color w:val="000000" w:themeColor="text1"/>
        </w:rPr>
        <w:t>обн</w:t>
      </w:r>
      <w:proofErr w:type="spellEnd"/>
      <w:r w:rsidRPr="00E10331">
        <w:rPr>
          <w:color w:val="000000" w:themeColor="text1"/>
        </w:rPr>
        <w:t>. ДВ бр. 34 от 09.04.2020 г.)</w:t>
      </w:r>
    </w:p>
    <w:p w:rsidR="004815E1" w:rsidRPr="003D1945" w:rsidRDefault="004815E1" w:rsidP="004815E1">
      <w:pPr>
        <w:autoSpaceDE w:val="0"/>
        <w:autoSpaceDN w:val="0"/>
        <w:adjustRightInd w:val="0"/>
        <w:spacing w:before="120" w:after="120"/>
        <w:ind w:firstLine="567"/>
        <w:jc w:val="both"/>
        <w:rPr>
          <w:color w:val="000000" w:themeColor="text1"/>
        </w:rPr>
      </w:pPr>
      <w:r>
        <w:rPr>
          <w:color w:val="000000" w:themeColor="text1"/>
        </w:rPr>
        <w:t>С разчетите към</w:t>
      </w:r>
      <w:r w:rsidRPr="003D1945">
        <w:rPr>
          <w:color w:val="000000" w:themeColor="text1"/>
        </w:rPr>
        <w:t xml:space="preserve"> ЗИД на ЗДБРБ за 2020 г. се прогнозира</w:t>
      </w:r>
      <w:r>
        <w:rPr>
          <w:color w:val="000000" w:themeColor="text1"/>
        </w:rPr>
        <w:t xml:space="preserve"> по-ниско изпълнение на приходите</w:t>
      </w:r>
      <w:r w:rsidR="001A4951">
        <w:rPr>
          <w:color w:val="000000" w:themeColor="text1"/>
        </w:rPr>
        <w:t xml:space="preserve"> спрямо първоначалните разчети – с </w:t>
      </w:r>
      <w:r w:rsidRPr="003D1945">
        <w:rPr>
          <w:color w:val="000000" w:themeColor="text1"/>
        </w:rPr>
        <w:t>около 2,44 млрд. лв.</w:t>
      </w:r>
      <w:r>
        <w:rPr>
          <w:color w:val="000000" w:themeColor="text1"/>
        </w:rPr>
        <w:t xml:space="preserve"> по-малко</w:t>
      </w:r>
      <w:r w:rsidR="001A4951">
        <w:rPr>
          <w:color w:val="000000" w:themeColor="text1"/>
        </w:rPr>
        <w:t>.</w:t>
      </w:r>
      <w:r w:rsidRPr="003D1945">
        <w:rPr>
          <w:color w:val="000000" w:themeColor="text1"/>
        </w:rPr>
        <w:t xml:space="preserve"> </w:t>
      </w:r>
      <w:r>
        <w:rPr>
          <w:color w:val="000000" w:themeColor="text1"/>
        </w:rPr>
        <w:t>З</w:t>
      </w:r>
      <w:r w:rsidRPr="003D1945">
        <w:rPr>
          <w:color w:val="000000" w:themeColor="text1"/>
        </w:rPr>
        <w:t xml:space="preserve">асегнати </w:t>
      </w:r>
      <w:r>
        <w:rPr>
          <w:color w:val="000000" w:themeColor="text1"/>
        </w:rPr>
        <w:t xml:space="preserve">са </w:t>
      </w:r>
      <w:r w:rsidRPr="003D1945">
        <w:rPr>
          <w:color w:val="000000" w:themeColor="text1"/>
        </w:rPr>
        <w:t>основните данъци - ДДС, акцизи, корпоративни данъци, ДДФЛ, социално-осигурителни вноски и др.</w:t>
      </w:r>
    </w:p>
    <w:p w:rsidR="004815E1" w:rsidRPr="005E1B1E" w:rsidRDefault="004815E1" w:rsidP="004815E1">
      <w:pPr>
        <w:autoSpaceDE w:val="0"/>
        <w:autoSpaceDN w:val="0"/>
        <w:adjustRightInd w:val="0"/>
        <w:spacing w:before="120" w:after="120"/>
        <w:ind w:firstLine="567"/>
        <w:jc w:val="both"/>
        <w:rPr>
          <w:noProof/>
          <w:lang w:val="en-US"/>
        </w:rPr>
      </w:pPr>
      <w:r w:rsidRPr="005E1B1E">
        <w:rPr>
          <w:noProof/>
          <w:lang w:val="en-US"/>
        </w:rPr>
        <w:t>О</w:t>
      </w:r>
      <w:r>
        <w:rPr>
          <w:noProof/>
          <w:lang w:val="en-US"/>
        </w:rPr>
        <w:t>т страна на разходите</w:t>
      </w:r>
      <w:r>
        <w:rPr>
          <w:noProof/>
        </w:rPr>
        <w:t xml:space="preserve"> са предвидени</w:t>
      </w:r>
      <w:r w:rsidRPr="005E1B1E">
        <w:rPr>
          <w:noProof/>
          <w:lang w:val="en-US"/>
        </w:rPr>
        <w:t xml:space="preserve"> мерките за подкрепа на работната сила и бизнеса</w:t>
      </w:r>
      <w:r>
        <w:rPr>
          <w:noProof/>
        </w:rPr>
        <w:t xml:space="preserve"> в изпълнение на </w:t>
      </w:r>
      <w:r w:rsidRPr="007C0BFB">
        <w:rPr>
          <w:noProof/>
        </w:rPr>
        <w:t>Закон</w:t>
      </w:r>
      <w:r>
        <w:rPr>
          <w:noProof/>
        </w:rPr>
        <w:t>а</w:t>
      </w:r>
      <w:r w:rsidRPr="007C0BFB">
        <w:rPr>
          <w:noProof/>
        </w:rPr>
        <w:t xml:space="preserve"> за мерките и действията по време на извънредното положение, обявено с решение на Народното събрание на 13 март 2020 г.</w:t>
      </w:r>
      <w:r>
        <w:rPr>
          <w:noProof/>
        </w:rPr>
        <w:t xml:space="preserve">, както и други мерки, свързани с борбата с разпространението и лечението на заразените с </w:t>
      </w:r>
      <w:r w:rsidRPr="006535F7">
        <w:rPr>
          <w:noProof/>
          <w:lang w:val="en-US"/>
        </w:rPr>
        <w:t>COVID-19</w:t>
      </w:r>
      <w:r>
        <w:rPr>
          <w:noProof/>
        </w:rPr>
        <w:t>.</w:t>
      </w:r>
      <w:r w:rsidRPr="005E1B1E">
        <w:rPr>
          <w:noProof/>
          <w:lang w:val="en-US"/>
        </w:rPr>
        <w:t xml:space="preserve"> Основната част от тези мерки ще бъдат финансирани чрез увеличаване на разходите с 1,07 милиарда лева, заедно с допълнителна капитализация на Българската банка за развитие със 700 милиона лева.</w:t>
      </w:r>
    </w:p>
    <w:p w:rsidR="004815E1" w:rsidRDefault="004815E1" w:rsidP="004815E1">
      <w:pPr>
        <w:autoSpaceDE w:val="0"/>
        <w:autoSpaceDN w:val="0"/>
        <w:adjustRightInd w:val="0"/>
        <w:spacing w:before="120" w:after="120"/>
        <w:ind w:firstLine="567"/>
        <w:jc w:val="both"/>
        <w:rPr>
          <w:bCs/>
        </w:rPr>
      </w:pPr>
      <w:r>
        <w:rPr>
          <w:bCs/>
        </w:rPr>
        <w:lastRenderedPageBreak/>
        <w:t>О</w:t>
      </w:r>
      <w:r w:rsidRPr="00C835F2">
        <w:rPr>
          <w:bCs/>
        </w:rPr>
        <w:t xml:space="preserve">тчитайки </w:t>
      </w:r>
      <w:r>
        <w:rPr>
          <w:bCs/>
        </w:rPr>
        <w:t>прогнозираното по-ниско изпълнение на приходите и осигурените допълнителни разходи</w:t>
      </w:r>
      <w:r w:rsidRPr="00C835F2">
        <w:rPr>
          <w:bCs/>
        </w:rPr>
        <w:t xml:space="preserve"> </w:t>
      </w:r>
      <w:r>
        <w:rPr>
          <w:bCs/>
        </w:rPr>
        <w:t>със ЗИД на ЗДБРБ за 2020 г. бе</w:t>
      </w:r>
      <w:r w:rsidRPr="00C835F2">
        <w:rPr>
          <w:bCs/>
        </w:rPr>
        <w:t xml:space="preserve"> </w:t>
      </w:r>
      <w:r>
        <w:rPr>
          <w:bCs/>
        </w:rPr>
        <w:t>увеличен размер</w:t>
      </w:r>
      <w:r w:rsidR="00583830">
        <w:rPr>
          <w:bCs/>
        </w:rPr>
        <w:t>ът</w:t>
      </w:r>
      <w:r>
        <w:rPr>
          <w:bCs/>
        </w:rPr>
        <w:t xml:space="preserve"> на дефицита по държавния бюджет с 3,514</w:t>
      </w:r>
      <w:r w:rsidRPr="00C835F2">
        <w:rPr>
          <w:bCs/>
        </w:rPr>
        <w:t xml:space="preserve"> мл</w:t>
      </w:r>
      <w:r>
        <w:rPr>
          <w:bCs/>
        </w:rPr>
        <w:t>рд</w:t>
      </w:r>
      <w:r w:rsidRPr="00C835F2">
        <w:rPr>
          <w:bCs/>
        </w:rPr>
        <w:t xml:space="preserve">. лв. до </w:t>
      </w:r>
      <w:r>
        <w:rPr>
          <w:bCs/>
        </w:rPr>
        <w:t>3,451</w:t>
      </w:r>
      <w:r w:rsidRPr="00C835F2">
        <w:rPr>
          <w:bCs/>
        </w:rPr>
        <w:t xml:space="preserve"> мл</w:t>
      </w:r>
      <w:r>
        <w:rPr>
          <w:bCs/>
        </w:rPr>
        <w:t>рд</w:t>
      </w:r>
      <w:r w:rsidRPr="00C835F2">
        <w:rPr>
          <w:bCs/>
        </w:rPr>
        <w:t>. л</w:t>
      </w:r>
      <w:r w:rsidR="00583830">
        <w:rPr>
          <w:bCs/>
        </w:rPr>
        <w:t>в</w:t>
      </w:r>
      <w:r w:rsidRPr="00C835F2">
        <w:rPr>
          <w:bCs/>
        </w:rPr>
        <w:t>.</w:t>
      </w:r>
      <w:r w:rsidR="00583830">
        <w:rPr>
          <w:bCs/>
        </w:rPr>
        <w:t xml:space="preserve"> или 2,9 % от прогнозния БВП.</w:t>
      </w:r>
      <w:r>
        <w:rPr>
          <w:bCs/>
        </w:rPr>
        <w:t xml:space="preserve"> </w:t>
      </w:r>
      <w:r w:rsidRPr="00720A39">
        <w:rPr>
          <w:bCs/>
        </w:rPr>
        <w:t>Изготвените разчети за основните параметри по консолидираната фискална програма предвиждат</w:t>
      </w:r>
      <w:r>
        <w:rPr>
          <w:bCs/>
        </w:rPr>
        <w:t xml:space="preserve"> бюджетното салдо по КФП за 2020</w:t>
      </w:r>
      <w:r w:rsidRPr="00720A39">
        <w:rPr>
          <w:bCs/>
        </w:rPr>
        <w:t xml:space="preserve"> г. да бъде отрицателно в размер на </w:t>
      </w:r>
      <w:r>
        <w:rPr>
          <w:bCs/>
        </w:rPr>
        <w:t>3 513,8</w:t>
      </w:r>
      <w:r w:rsidRPr="00720A39">
        <w:rPr>
          <w:bCs/>
        </w:rPr>
        <w:t xml:space="preserve"> млн. лв. или </w:t>
      </w:r>
      <w:r>
        <w:rPr>
          <w:bCs/>
        </w:rPr>
        <w:t>3,</w:t>
      </w:r>
      <w:r w:rsidR="00583830">
        <w:rPr>
          <w:bCs/>
        </w:rPr>
        <w:t>0</w:t>
      </w:r>
      <w:r>
        <w:rPr>
          <w:bCs/>
        </w:rPr>
        <w:t xml:space="preserve"> на сто от прогнозния БВП</w:t>
      </w:r>
      <w:r w:rsidR="00F52FE8">
        <w:rPr>
          <w:bCs/>
        </w:rPr>
        <w:t>.</w:t>
      </w:r>
    </w:p>
    <w:p w:rsidR="004815E1" w:rsidRPr="00E133B8" w:rsidRDefault="004815E1" w:rsidP="004815E1">
      <w:pPr>
        <w:autoSpaceDE w:val="0"/>
        <w:autoSpaceDN w:val="0"/>
        <w:adjustRightInd w:val="0"/>
        <w:spacing w:before="120" w:after="120"/>
        <w:ind w:firstLine="567"/>
        <w:jc w:val="both"/>
        <w:rPr>
          <w:color w:val="000000"/>
        </w:rPr>
      </w:pPr>
      <w:r w:rsidRPr="002117D3">
        <w:t>В контекста на предлаганото увеличаване на дефицита (3</w:t>
      </w:r>
      <w:r w:rsidR="00B268B1">
        <w:t>,</w:t>
      </w:r>
      <w:r w:rsidRPr="002117D3">
        <w:t>5 млрд.</w:t>
      </w:r>
      <w:r w:rsidR="00B268B1">
        <w:t xml:space="preserve"> </w:t>
      </w:r>
      <w:r w:rsidRPr="002117D3">
        <w:t>лв.) и осигуряването на допълнителен капитал за ББР (0</w:t>
      </w:r>
      <w:r w:rsidR="00B268B1">
        <w:t>,</w:t>
      </w:r>
      <w:r w:rsidRPr="002117D3">
        <w:t>7 млрд.</w:t>
      </w:r>
      <w:r w:rsidR="00B268B1">
        <w:t xml:space="preserve"> </w:t>
      </w:r>
      <w:r w:rsidRPr="002117D3">
        <w:t>лв.), което общо възлиза на 4</w:t>
      </w:r>
      <w:r w:rsidR="00B268B1">
        <w:t>,</w:t>
      </w:r>
      <w:r w:rsidRPr="002117D3">
        <w:t>2 млрд.</w:t>
      </w:r>
      <w:r w:rsidR="00B268B1">
        <w:t xml:space="preserve"> </w:t>
      </w:r>
      <w:r w:rsidRPr="002117D3">
        <w:t>лв., както и за гарантирането на достатъчно ликвидни фискални буфери в случай на по-негативен от</w:t>
      </w:r>
      <w:r>
        <w:t xml:space="preserve"> очаквания сценарий, е прието</w:t>
      </w:r>
      <w:r w:rsidRPr="002117D3">
        <w:t xml:space="preserve"> увеличаване на лимита за поемане на нов държавен дълг</w:t>
      </w:r>
      <w:r>
        <w:t xml:space="preserve">, респективно за </w:t>
      </w:r>
      <w:r w:rsidRPr="002117D3">
        <w:rPr>
          <w:color w:val="000000"/>
        </w:rPr>
        <w:t>допустимия максимален размер на държавния дълг към края на годината</w:t>
      </w:r>
      <w:r>
        <w:rPr>
          <w:color w:val="000000"/>
        </w:rPr>
        <w:t>, който е увеличен</w:t>
      </w:r>
      <w:r w:rsidRPr="002117D3">
        <w:rPr>
          <w:color w:val="000000"/>
        </w:rPr>
        <w:t xml:space="preserve"> до 31,5 млрд. лв.</w:t>
      </w:r>
    </w:p>
    <w:p w:rsidR="004815E1" w:rsidRPr="00344353" w:rsidRDefault="004815E1" w:rsidP="004815E1">
      <w:pPr>
        <w:ind w:firstLine="709"/>
        <w:jc w:val="both"/>
        <w:rPr>
          <w:b/>
          <w:color w:val="000000"/>
          <w:u w:val="single"/>
        </w:rPr>
      </w:pPr>
      <w:r w:rsidRPr="00344353">
        <w:rPr>
          <w:b/>
          <w:color w:val="000000"/>
          <w:u w:val="single"/>
        </w:rPr>
        <w:t>Основни бюджетни параметр</w:t>
      </w:r>
      <w:r>
        <w:rPr>
          <w:b/>
          <w:color w:val="000000"/>
          <w:u w:val="single"/>
        </w:rPr>
        <w:t xml:space="preserve">и </w:t>
      </w:r>
      <w:r w:rsidR="00F251A5">
        <w:rPr>
          <w:b/>
          <w:color w:val="000000"/>
          <w:u w:val="single"/>
        </w:rPr>
        <w:t xml:space="preserve">за </w:t>
      </w:r>
      <w:proofErr w:type="spellStart"/>
      <w:r w:rsidR="00F251A5">
        <w:rPr>
          <w:b/>
          <w:color w:val="000000"/>
          <w:u w:val="single"/>
        </w:rPr>
        <w:t>първото</w:t>
      </w:r>
      <w:r>
        <w:rPr>
          <w:b/>
          <w:color w:val="000000"/>
          <w:u w:val="single"/>
        </w:rPr>
        <w:t>полугодие</w:t>
      </w:r>
      <w:proofErr w:type="spellEnd"/>
      <w:r>
        <w:rPr>
          <w:b/>
          <w:color w:val="000000"/>
          <w:u w:val="single"/>
        </w:rPr>
        <w:t xml:space="preserve"> на 2020</w:t>
      </w:r>
      <w:r w:rsidRPr="00344353">
        <w:rPr>
          <w:b/>
          <w:color w:val="000000"/>
          <w:u w:val="single"/>
        </w:rPr>
        <w:t xml:space="preserve"> г.</w:t>
      </w:r>
    </w:p>
    <w:p w:rsidR="004815E1" w:rsidRPr="00D013D9" w:rsidRDefault="004815E1" w:rsidP="004815E1">
      <w:pPr>
        <w:jc w:val="both"/>
        <w:rPr>
          <w:b/>
          <w:color w:val="0000FF"/>
          <w:sz w:val="8"/>
        </w:rPr>
      </w:pPr>
    </w:p>
    <w:p w:rsidR="004815E1" w:rsidRDefault="004815E1" w:rsidP="004815E1">
      <w:pPr>
        <w:spacing w:after="120"/>
        <w:ind w:firstLine="709"/>
        <w:jc w:val="both"/>
        <w:rPr>
          <w:color w:val="000000"/>
        </w:rPr>
      </w:pPr>
      <w:r>
        <w:rPr>
          <w:color w:val="000000"/>
        </w:rPr>
        <w:t xml:space="preserve">Изпълнението на бюджета през първото полугодие на 2020 г. премина през два ясно изразени периода – периода до обявяването на извънредно положение на територията на цялата страна на 13 март и периода след него. Първите два месеца на годината се характеризираха с продължаване на положителните тенденции в приходите от предходните няколко години. Параметрите по изпълнението на приходите отчитат значително </w:t>
      </w:r>
      <w:r w:rsidRPr="003E72DA">
        <w:rPr>
          <w:color w:val="000000"/>
        </w:rPr>
        <w:t>подобрение спрямо същия период на предходната година, като постъпленията при повечето от основните данъци и осигурителни вноски отчитат номинален растеж</w:t>
      </w:r>
      <w:r>
        <w:rPr>
          <w:color w:val="000000"/>
        </w:rPr>
        <w:t xml:space="preserve"> и параметрите по изпълнението им съответстваха на заложеното с годишните разчети за 2020 г. от есента на 2019 г. През месец февруари </w:t>
      </w:r>
      <w:r w:rsidR="00583830">
        <w:rPr>
          <w:color w:val="000000"/>
        </w:rPr>
        <w:t>нивото на безработица все още бе сред най-ниските регистрирани стойности за страната</w:t>
      </w:r>
      <w:r>
        <w:rPr>
          <w:color w:val="000000"/>
        </w:rPr>
        <w:t>, а</w:t>
      </w:r>
      <w:r w:rsidRPr="003E72DA">
        <w:rPr>
          <w:color w:val="000000"/>
        </w:rPr>
        <w:t xml:space="preserve"> подобрение</w:t>
      </w:r>
      <w:r>
        <w:rPr>
          <w:color w:val="000000"/>
        </w:rPr>
        <w:t xml:space="preserve"> се отчиташе и</w:t>
      </w:r>
      <w:r w:rsidRPr="003E72DA">
        <w:rPr>
          <w:color w:val="000000"/>
        </w:rPr>
        <w:t xml:space="preserve"> при </w:t>
      </w:r>
      <w:r>
        <w:rPr>
          <w:color w:val="000000"/>
        </w:rPr>
        <w:t xml:space="preserve">редица </w:t>
      </w:r>
      <w:r w:rsidRPr="003E72DA">
        <w:rPr>
          <w:color w:val="000000"/>
        </w:rPr>
        <w:t>важ</w:t>
      </w:r>
      <w:r>
        <w:rPr>
          <w:color w:val="000000"/>
        </w:rPr>
        <w:t>ни макроикономически индикатори. Положителното развитие на параметрите по изпълнението на приходите позволи през първите два месеца на годината да бъде формирано значително по размер текущо превишение на приходите над разходите по КФП в размер на близо 1,5 млрд. лв. към края на февруари 2020 г.</w:t>
      </w:r>
    </w:p>
    <w:p w:rsidR="004815E1" w:rsidRDefault="004815E1" w:rsidP="004815E1">
      <w:pPr>
        <w:spacing w:after="120"/>
        <w:ind w:firstLine="709"/>
        <w:jc w:val="both"/>
        <w:rPr>
          <w:color w:val="000000"/>
        </w:rPr>
      </w:pPr>
      <w:r>
        <w:rPr>
          <w:color w:val="000000"/>
        </w:rPr>
        <w:t>Тези благоприятни развития претърпяха рязък обрат след обявяването с Решение на Народното събрание на извънредно положение на територията на цялата страна на 13 март. Поетапно наложените ограничителни мерки в България, Европейския съюз и много от големите икономики в света доведоха до внезапен шок и рязко в</w:t>
      </w:r>
      <w:r w:rsidRPr="006940CF">
        <w:rPr>
          <w:color w:val="000000"/>
        </w:rPr>
        <w:t xml:space="preserve">лошаване на външната среда, значително свиване на външнотърговските обороти, ограничаване </w:t>
      </w:r>
      <w:r>
        <w:rPr>
          <w:color w:val="000000"/>
        </w:rPr>
        <w:t xml:space="preserve">на </w:t>
      </w:r>
      <w:r w:rsidRPr="006940CF">
        <w:rPr>
          <w:color w:val="000000"/>
        </w:rPr>
        <w:t xml:space="preserve">инвестиционната активност и загуба на работни места. </w:t>
      </w:r>
      <w:r>
        <w:rPr>
          <w:color w:val="000000"/>
        </w:rPr>
        <w:t xml:space="preserve">Тежко бяха засегнати редица сектори, като туризъм, ресторанти и заведения за обществено хранене, увеселителни заведения, транспорт и много други. Нарушени бяха вериги за доставка на суровини и детайли за производства, което засегна </w:t>
      </w:r>
      <w:proofErr w:type="spellStart"/>
      <w:r>
        <w:rPr>
          <w:color w:val="000000"/>
        </w:rPr>
        <w:t>експортноориентираните</w:t>
      </w:r>
      <w:proofErr w:type="spellEnd"/>
      <w:r>
        <w:rPr>
          <w:color w:val="000000"/>
        </w:rPr>
        <w:t xml:space="preserve"> сектори. Наложените ограничителни мерки засегнаха и вътрешното потребление, като през месеците на наложени по-строги карантинни мерки оборотите в търговията на дребно отчетоха свиване. Фискалното отражение на всички тези неблагоприятни развития довед</w:t>
      </w:r>
      <w:r w:rsidR="00583830">
        <w:rPr>
          <w:color w:val="000000"/>
        </w:rPr>
        <w:t>е</w:t>
      </w:r>
      <w:r>
        <w:rPr>
          <w:color w:val="000000"/>
        </w:rPr>
        <w:t xml:space="preserve"> до забавяне при основните данъци в периода след въвеждането на извънредното положение, като тази тенденция бе ясно изразена през месеците април и май. Поради тези негативни развития общия</w:t>
      </w:r>
      <w:r w:rsidR="00583830">
        <w:rPr>
          <w:color w:val="000000"/>
        </w:rPr>
        <w:t>т</w:t>
      </w:r>
      <w:r>
        <w:rPr>
          <w:color w:val="000000"/>
        </w:rPr>
        <w:t xml:space="preserve"> размер на приходите и помощите по КФП към полугодието на 2020 г. отчита номинален спад в размер на близо 0,9 млрд. лв. спрямо същия период на предходната година. Забавяне има при всички основни данъци и осигурителни вноски, както и при неданъчните приходи. </w:t>
      </w:r>
    </w:p>
    <w:p w:rsidR="004815E1" w:rsidRDefault="004815E1" w:rsidP="004815E1">
      <w:pPr>
        <w:spacing w:after="120"/>
        <w:ind w:firstLine="709"/>
        <w:jc w:val="both"/>
        <w:rPr>
          <w:color w:val="000000"/>
        </w:rPr>
      </w:pPr>
      <w:r w:rsidRPr="004721F2">
        <w:rPr>
          <w:color w:val="000000"/>
        </w:rPr>
        <w:t xml:space="preserve">От страна на разходите </w:t>
      </w:r>
      <w:r>
        <w:rPr>
          <w:color w:val="000000"/>
        </w:rPr>
        <w:t xml:space="preserve">при </w:t>
      </w:r>
      <w:r w:rsidRPr="00C476EB">
        <w:rPr>
          <w:color w:val="000000"/>
        </w:rPr>
        <w:t>безпрецедентна ситуация</w:t>
      </w:r>
      <w:r>
        <w:rPr>
          <w:color w:val="000000"/>
        </w:rPr>
        <w:t xml:space="preserve"> на извънредно положение възникнаха</w:t>
      </w:r>
      <w:r w:rsidRPr="00C476EB">
        <w:rPr>
          <w:color w:val="000000"/>
        </w:rPr>
        <w:t xml:space="preserve"> огромни предизвикателства пред много от функциите на държавата</w:t>
      </w:r>
      <w:r>
        <w:rPr>
          <w:color w:val="000000"/>
        </w:rPr>
        <w:t>, като най-пр</w:t>
      </w:r>
      <w:r w:rsidR="00583830">
        <w:rPr>
          <w:color w:val="000000"/>
        </w:rPr>
        <w:t>яко</w:t>
      </w:r>
      <w:r>
        <w:rPr>
          <w:color w:val="000000"/>
        </w:rPr>
        <w:t xml:space="preserve"> и неотложн</w:t>
      </w:r>
      <w:r w:rsidR="00583830">
        <w:rPr>
          <w:color w:val="000000"/>
        </w:rPr>
        <w:t>о</w:t>
      </w:r>
      <w:r>
        <w:rPr>
          <w:color w:val="000000"/>
        </w:rPr>
        <w:t xml:space="preserve"> б</w:t>
      </w:r>
      <w:r w:rsidR="00583830">
        <w:rPr>
          <w:color w:val="000000"/>
        </w:rPr>
        <w:t>еше</w:t>
      </w:r>
      <w:r w:rsidRPr="00C476EB">
        <w:rPr>
          <w:color w:val="000000"/>
        </w:rPr>
        <w:t xml:space="preserve"> гарантирането на необходимите условия и ресурси за нормалното функциониране на общественото здраве, вътрешния ред и сигурността. Поради това и в изпълнение на </w:t>
      </w:r>
      <w:r w:rsidRPr="00C476EB">
        <w:t xml:space="preserve">Закона за мерките и действията по време на действието на извънредното положение, обявено с решение на Народното събрание от 13 март 2020 г., правителството предприе незабавни действия за обезпечаване на </w:t>
      </w:r>
      <w:r w:rsidRPr="00C37678">
        <w:t xml:space="preserve">необходимия финансов ресурс за </w:t>
      </w:r>
      <w:r w:rsidRPr="00C37678">
        <w:rPr>
          <w:color w:val="000000"/>
        </w:rPr>
        <w:t xml:space="preserve">изпълнението на вменените функции и </w:t>
      </w:r>
      <w:r w:rsidRPr="002117D3">
        <w:rPr>
          <w:color w:val="000000"/>
        </w:rPr>
        <w:t xml:space="preserve">отговорности, като приоритет са работещите на първа линия в борбата с разпространението на вируса – здравните работници и сектора на вътрешния </w:t>
      </w:r>
      <w:r w:rsidRPr="002117D3">
        <w:rPr>
          <w:color w:val="000000"/>
        </w:rPr>
        <w:lastRenderedPageBreak/>
        <w:t>ред.</w:t>
      </w:r>
      <w:r>
        <w:rPr>
          <w:color w:val="000000"/>
        </w:rPr>
        <w:t xml:space="preserve"> </w:t>
      </w:r>
      <w:r w:rsidRPr="004721F2">
        <w:rPr>
          <w:color w:val="000000"/>
        </w:rPr>
        <w:t>Освен неотложните разходи по превенция на разпространението на COVID-19, приоритет са и мерките за подкрепа на икономиката и заетите. За запазване на работните места в страната правителството предложи и след обсъждане в Съвета за тристр</w:t>
      </w:r>
      <w:r>
        <w:rPr>
          <w:color w:val="000000"/>
        </w:rPr>
        <w:t>анно сътрудничество бе приета мярка за субсидирана заетост (т</w:t>
      </w:r>
      <w:r w:rsidR="00583830">
        <w:rPr>
          <w:color w:val="000000"/>
        </w:rPr>
        <w:t>.</w:t>
      </w:r>
      <w:r w:rsidRPr="004721F2">
        <w:rPr>
          <w:color w:val="000000"/>
        </w:rPr>
        <w:t xml:space="preserve"> нар. мярка „60/40“</w:t>
      </w:r>
      <w:r>
        <w:rPr>
          <w:color w:val="000000"/>
        </w:rPr>
        <w:t>), която да подпомогне най-засегнатите сектори да задържат своите служители и работници по време на извънредното положение. По</w:t>
      </w:r>
      <w:r w:rsidR="00F251A5">
        <w:rPr>
          <w:color w:val="000000"/>
        </w:rPr>
        <w:t>-</w:t>
      </w:r>
      <w:r>
        <w:rPr>
          <w:color w:val="000000"/>
        </w:rPr>
        <w:t xml:space="preserve">късно дизайнът на мярката бе променен, обхватът </w:t>
      </w:r>
      <w:r w:rsidR="00517B9C" w:rsidRPr="00074DCE">
        <w:rPr>
          <w:rStyle w:val="Strong"/>
          <w:b w:val="0"/>
          <w:color w:val="333333"/>
        </w:rPr>
        <w:t>ѝ</w:t>
      </w:r>
      <w:r>
        <w:rPr>
          <w:color w:val="000000"/>
        </w:rPr>
        <w:t xml:space="preserve"> разширен допълнително, а срокът </w:t>
      </w:r>
      <w:r w:rsidR="00583830" w:rsidRPr="00463AAA">
        <w:rPr>
          <w:rStyle w:val="Strong"/>
          <w:b w:val="0"/>
          <w:color w:val="333333"/>
        </w:rPr>
        <w:t>ѝ</w:t>
      </w:r>
      <w:r>
        <w:rPr>
          <w:color w:val="000000"/>
        </w:rPr>
        <w:t xml:space="preserve"> на действие бе удължен до края на месец септември. </w:t>
      </w:r>
      <w:r w:rsidRPr="00AB0002">
        <w:rPr>
          <w:color w:val="000000"/>
        </w:rPr>
        <w:t xml:space="preserve">Изплатените средства </w:t>
      </w:r>
      <w:r>
        <w:rPr>
          <w:color w:val="000000"/>
        </w:rPr>
        <w:t xml:space="preserve">към </w:t>
      </w:r>
      <w:r w:rsidR="0055185A">
        <w:rPr>
          <w:color w:val="000000"/>
        </w:rPr>
        <w:t>края</w:t>
      </w:r>
      <w:r>
        <w:rPr>
          <w:color w:val="000000"/>
        </w:rPr>
        <w:t xml:space="preserve"> на юни по</w:t>
      </w:r>
      <w:r w:rsidRPr="00AB0002">
        <w:rPr>
          <w:color w:val="000000"/>
        </w:rPr>
        <w:t xml:space="preserve"> мярката </w:t>
      </w:r>
      <w:r w:rsidR="00583830">
        <w:rPr>
          <w:color w:val="000000"/>
        </w:rPr>
        <w:t>„</w:t>
      </w:r>
      <w:r w:rsidRPr="00AB0002">
        <w:rPr>
          <w:color w:val="000000"/>
        </w:rPr>
        <w:t>60/40</w:t>
      </w:r>
      <w:r w:rsidR="00583830">
        <w:rPr>
          <w:color w:val="000000"/>
        </w:rPr>
        <w:t>“</w:t>
      </w:r>
      <w:r w:rsidRPr="00AB0002">
        <w:rPr>
          <w:color w:val="000000"/>
        </w:rPr>
        <w:t xml:space="preserve"> са </w:t>
      </w:r>
      <w:r w:rsidR="0055185A">
        <w:rPr>
          <w:color w:val="000000"/>
        </w:rPr>
        <w:t>124,7</w:t>
      </w:r>
      <w:r w:rsidRPr="00AB0002">
        <w:rPr>
          <w:color w:val="000000"/>
        </w:rPr>
        <w:t xml:space="preserve"> милиона лева, като с тях е запазена заетостта на</w:t>
      </w:r>
      <w:r>
        <w:rPr>
          <w:color w:val="000000"/>
        </w:rPr>
        <w:t xml:space="preserve"> около 15</w:t>
      </w:r>
      <w:r w:rsidR="0055185A">
        <w:rPr>
          <w:color w:val="000000"/>
        </w:rPr>
        <w:t>5</w:t>
      </w:r>
      <w:r>
        <w:rPr>
          <w:color w:val="000000"/>
        </w:rPr>
        <w:t xml:space="preserve"> </w:t>
      </w:r>
      <w:r w:rsidR="0055185A">
        <w:rPr>
          <w:color w:val="000000"/>
        </w:rPr>
        <w:t>917</w:t>
      </w:r>
      <w:r>
        <w:rPr>
          <w:color w:val="000000"/>
        </w:rPr>
        <w:t xml:space="preserve"> души. П</w:t>
      </w:r>
      <w:r w:rsidRPr="00AB0002">
        <w:rPr>
          <w:color w:val="000000"/>
        </w:rPr>
        <w:t xml:space="preserve">лащанията </w:t>
      </w:r>
      <w:r>
        <w:rPr>
          <w:color w:val="000000"/>
        </w:rPr>
        <w:t>за запазване на заетост ще</w:t>
      </w:r>
      <w:r w:rsidRPr="00AB0002">
        <w:rPr>
          <w:color w:val="000000"/>
        </w:rPr>
        <w:t xml:space="preserve"> продължат</w:t>
      </w:r>
      <w:r>
        <w:rPr>
          <w:color w:val="000000"/>
        </w:rPr>
        <w:t xml:space="preserve"> и при новия дизайн на мярката, като към началото на юли</w:t>
      </w:r>
      <w:r w:rsidRPr="00AB0002">
        <w:rPr>
          <w:color w:val="000000"/>
        </w:rPr>
        <w:t xml:space="preserve"> </w:t>
      </w:r>
      <w:r>
        <w:rPr>
          <w:color w:val="000000"/>
        </w:rPr>
        <w:t xml:space="preserve">подадените </w:t>
      </w:r>
      <w:r w:rsidRPr="00AB0002">
        <w:rPr>
          <w:color w:val="000000"/>
        </w:rPr>
        <w:t>заяв</w:t>
      </w:r>
      <w:r>
        <w:rPr>
          <w:color w:val="000000"/>
        </w:rPr>
        <w:t>ления са за почти 290 000 заети, съответно около</w:t>
      </w:r>
      <w:r w:rsidRPr="00AB0002">
        <w:rPr>
          <w:color w:val="000000"/>
        </w:rPr>
        <w:t xml:space="preserve"> 18 000 работодатели.</w:t>
      </w:r>
      <w:r>
        <w:rPr>
          <w:color w:val="000000"/>
        </w:rPr>
        <w:t xml:space="preserve"> Друг непосредствен ефект от кризата са нарасналите разходи за обезщетения за безработица, но без да бъде приложена мярката за субсидирана заетост тези разходи биха били значително по-високи. </w:t>
      </w:r>
    </w:p>
    <w:p w:rsidR="004815E1" w:rsidRDefault="004815E1" w:rsidP="004815E1">
      <w:pPr>
        <w:spacing w:after="120"/>
        <w:ind w:firstLine="709"/>
        <w:jc w:val="both"/>
      </w:pPr>
      <w:r>
        <w:t xml:space="preserve">Друго направление на политиките за ограничаване на последствията от кризата бяха предприетите действия за </w:t>
      </w:r>
      <w:r w:rsidRPr="002117D3">
        <w:t>увелич</w:t>
      </w:r>
      <w:r>
        <w:t>аване на</w:t>
      </w:r>
      <w:r w:rsidRPr="002117D3">
        <w:t xml:space="preserve"> капитала на Българската банка за развитие (ББР) </w:t>
      </w:r>
      <w:r w:rsidR="003C11A7">
        <w:t xml:space="preserve">със 700 млн. лв. </w:t>
      </w:r>
      <w:r>
        <w:t>Половин милиард лева</w:t>
      </w:r>
      <w:r w:rsidRPr="002117D3">
        <w:t xml:space="preserve"> от тях </w:t>
      </w:r>
      <w:r>
        <w:t>са предназначени за предоставяне на гаранции от ББР</w:t>
      </w:r>
      <w:r w:rsidRPr="002117D3">
        <w:t xml:space="preserve"> на останалите търговски банки при предоставяне от тяхна страна на кредити за подкрепа на бизнеса, изпитващ трудности с ликвидността и кредитирането. Очаква се мултиплициране на ефекта, така че общата сума, която да могат да предоставят банките да достигне 2,5 млрд. лв. Останалите 200 млн. лв. от увеличения капитал на ББР </w:t>
      </w:r>
      <w:r>
        <w:t>са предназначени за</w:t>
      </w:r>
      <w:r w:rsidRPr="002117D3">
        <w:t xml:space="preserve"> гаранци</w:t>
      </w:r>
      <w:r>
        <w:t>и</w:t>
      </w:r>
      <w:r w:rsidRPr="002117D3">
        <w:t xml:space="preserve"> пред търговските банки за отпускане на потребителски безлихвени кредити на лица, останали безработни по време на кризата</w:t>
      </w:r>
      <w:r>
        <w:t xml:space="preserve">. </w:t>
      </w:r>
    </w:p>
    <w:p w:rsidR="004815E1" w:rsidRDefault="004815E1" w:rsidP="004815E1">
      <w:pPr>
        <w:spacing w:after="120"/>
        <w:ind w:firstLine="709"/>
        <w:jc w:val="both"/>
      </w:pPr>
      <w:r>
        <w:t>Както вече бе посочено, негативните развития в приходите и необходимостта от допълнителни разходи наложиха актуализация на фискалната рамка за годината, като актуализираните разчети предвиждат дефицит по КФП в размер на около 3,</w:t>
      </w:r>
      <w:r w:rsidR="00583830">
        <w:t>0</w:t>
      </w:r>
      <w:r>
        <w:t xml:space="preserve">% от прогнозния БВП. </w:t>
      </w:r>
    </w:p>
    <w:p w:rsidR="004815E1" w:rsidRPr="0016354D" w:rsidRDefault="004815E1" w:rsidP="004815E1">
      <w:pPr>
        <w:spacing w:after="120"/>
        <w:ind w:firstLine="709"/>
        <w:jc w:val="both"/>
      </w:pPr>
      <w:r>
        <w:t>Параметрите по изпълнението на годишната програма по приходите към по</w:t>
      </w:r>
      <w:r w:rsidR="0020261A">
        <w:t xml:space="preserve">лугодието на 2020 г. очертават допълнително влошаване на параметрите по приходите спрямо актуализираните </w:t>
      </w:r>
      <w:r w:rsidR="0020261A" w:rsidRPr="0016354D">
        <w:t>разчети от март 2020 г.</w:t>
      </w:r>
      <w:r w:rsidRPr="0016354D">
        <w:t xml:space="preserve"> Изпълнението на приходите, </w:t>
      </w:r>
      <w:r w:rsidR="00F251A5" w:rsidRPr="0016354D">
        <w:t>помощите</w:t>
      </w:r>
      <w:r w:rsidR="00F251A5">
        <w:t xml:space="preserve"> и</w:t>
      </w:r>
      <w:r w:rsidR="00F251A5" w:rsidRPr="0016354D">
        <w:t xml:space="preserve"> </w:t>
      </w:r>
      <w:r w:rsidRPr="0016354D">
        <w:t xml:space="preserve">даренията по КФП за полугодието представлява 48,3 на сто от актуализирания годишен разчет. Изпълнението на данъчните и осигурителните приходи към полугодието спрямо актуализираните разчети за годината е 48,9 на сто. </w:t>
      </w:r>
      <w:r w:rsidR="0065462C" w:rsidRPr="0065462C">
        <w:t>При допускане за липса на втора вълна на заразата с COVID-19 и повторно налагане на по-строги карантинни мерки и ограничения до края на годината, може да се очаква постепенно възстановяване на вътрешното потребление, с което постъпленията от косвени данъци ще отчетат известно ускоряване. При такава хипотеза и на база на текущите параметри, прогнозите в годишен план очертават изпълнение на планираните данъчни приходи по националния бюджет. Рискове по отношение на изпълнението на актуализираните разчети за годината при по-негативен от планирания сценарий могат да възникнат основно при постъпленията от акцизи, ДДС от внос, корпоративни данъци, здравноосигурителни вноски,</w:t>
      </w:r>
      <w:r w:rsidR="0020261A" w:rsidRPr="0016354D">
        <w:t xml:space="preserve"> приходи от ТОЛ такси</w:t>
      </w:r>
      <w:r w:rsidRPr="0016354D">
        <w:t xml:space="preserve"> и други. Тук е важно да се отбележат и усилията на приходните администрации за повишаване събираемостта на приходите. Независимо от извънредните обстоятелства</w:t>
      </w:r>
      <w:r w:rsidR="00583830">
        <w:t>,</w:t>
      </w:r>
      <w:r w:rsidRPr="0016354D">
        <w:t xml:space="preserve"> продължават да се прилагат активните мерки за засилен фискален контрол, включително и контрол в реално време на фискалните устройства на търговците в страната, мерките за засилване на контрола при търговията с акцизни стоки, борбата с контрабандния внос, както и противодействието на опитите за данъчни нарушения и измами. Системното прилагане на тези мерки вече оказва дисциплиниращ ефект и натиск върху сивата икономика.</w:t>
      </w:r>
    </w:p>
    <w:p w:rsidR="0020261A" w:rsidRPr="0016354D" w:rsidRDefault="004815E1" w:rsidP="004815E1">
      <w:pPr>
        <w:spacing w:before="120" w:after="120"/>
        <w:ind w:firstLine="708"/>
        <w:jc w:val="both"/>
      </w:pPr>
      <w:r w:rsidRPr="0016354D">
        <w:t>Параметрите по разходите се развиват съобразно разчетите към ЗИД</w:t>
      </w:r>
      <w:r w:rsidR="00F251A5">
        <w:t xml:space="preserve"> на</w:t>
      </w:r>
      <w:r w:rsidRPr="0016354D">
        <w:t xml:space="preserve"> ЗДБРБ за 2020</w:t>
      </w:r>
      <w:r w:rsidR="00F251A5">
        <w:t> </w:t>
      </w:r>
      <w:r w:rsidRPr="0016354D">
        <w:t>г</w:t>
      </w:r>
      <w:r w:rsidRPr="0016354D">
        <w:rPr>
          <w:rStyle w:val="FootnoteReference"/>
        </w:rPr>
        <w:footnoteReference w:id="2"/>
      </w:r>
      <w:r w:rsidRPr="0016354D">
        <w:t xml:space="preserve">. Усвояването на разходите през първото полугодие е традиционно ниско - разходите по </w:t>
      </w:r>
      <w:r w:rsidRPr="0016354D">
        <w:lastRenderedPageBreak/>
        <w:t xml:space="preserve">КФП, включително вноската в общия бюджет на ЕС, за първите шест месеца на 2020 г. представляват 41,4 на сто от планираните с разчетите към ЗДБРБ за 2020 г. Това се дължи основно на изместване на голяма част от инвестиционните и капиталови разходи за последното тримесечие на годината. Неравномерното усвояване на капиталовите разходи е обективно обусловено от календара на строителния сезон, като изпълнението на повечето инфраструктурни проекти се извършва през летните месеци и разплащането за извършената работа се концентрира в последното тримесечие. </w:t>
      </w:r>
    </w:p>
    <w:p w:rsidR="0020261A" w:rsidRPr="0016354D" w:rsidRDefault="0020261A" w:rsidP="0020261A">
      <w:pPr>
        <w:spacing w:before="120" w:after="120"/>
        <w:ind w:firstLine="708"/>
        <w:jc w:val="both"/>
      </w:pPr>
      <w:r w:rsidRPr="0016354D">
        <w:t>Съпоставени със същия период на предходната година, разходите и вноската в общия бюджет на ЕС нарастват номинално с 0,8 млрд. лв., което се дължи на по-високия размер на разходите по националния бюджет, както и на запазване на разходите по сметките за средства от Европейския съюз на равнището за същия период на предходната година. Положително е, че независимо от трудностите</w:t>
      </w:r>
      <w:r w:rsidR="00583830">
        <w:t>,</w:t>
      </w:r>
      <w:r w:rsidRPr="0016354D">
        <w:t xml:space="preserve"> породени от кризата, работата по изпълнението на големите инфраструктурни проекти</w:t>
      </w:r>
      <w:r w:rsidR="00583830">
        <w:t>,</w:t>
      </w:r>
      <w:r w:rsidRPr="0016354D">
        <w:t xml:space="preserve"> финансирани от националния бюджет и по програмите и фондовете от ЕС</w:t>
      </w:r>
      <w:r w:rsidR="00583830">
        <w:t>,</w:t>
      </w:r>
      <w:r w:rsidRPr="0016354D">
        <w:t xml:space="preserve"> не се ограничава, което спомага за намаляване на негативните последици върху пазара на труда, като освен това публичните инвестиции имат за цел да компенсират до </w:t>
      </w:r>
      <w:r w:rsidR="008755C0">
        <w:t>известна</w:t>
      </w:r>
      <w:r w:rsidRPr="0016354D">
        <w:t xml:space="preserve"> степен спада при инвестициите в другите сектори на икономиката. Полагат се и усилия за активизиране при усвояването на европейските средства, което също ще спомогне за реализиране на тези цели. </w:t>
      </w:r>
    </w:p>
    <w:p w:rsidR="0020261A" w:rsidRPr="0016354D" w:rsidRDefault="0020261A" w:rsidP="0020261A">
      <w:pPr>
        <w:spacing w:before="120" w:after="120"/>
        <w:ind w:firstLine="708"/>
        <w:jc w:val="both"/>
      </w:pPr>
      <w:r w:rsidRPr="0016354D">
        <w:t xml:space="preserve">Ръстът на разходите по националния бюджет спрямо същия период на предходната година, се дължи основно на по-високия размер на разходи за персонал, по-високите социални и здравноосигурителни плащания и др. При разходите за персонал се наблюдава нарастване основно във връзка с </w:t>
      </w:r>
      <w:r w:rsidRPr="0016354D">
        <w:rPr>
          <w:rFonts w:eastAsia="Calibri"/>
        </w:rPr>
        <w:t xml:space="preserve">увеличение с 10 на сто на средствата за заплати, възнаграждения и осигурителни вноски на заетите в бюджетния сектор и поредната стъпка на увеличение на възнагражденията в сектор „Образование“ в </w:t>
      </w:r>
      <w:r w:rsidRPr="0016354D">
        <w:t>изпълнение на приоритета от Програмата за управление на Правителството на Република България за периода 2017-2021 г. за поетапно увеличение на възнагражденията на педагогическия персонал в системата на средното образование. Освен това</w:t>
      </w:r>
      <w:r w:rsidRPr="0016354D">
        <w:rPr>
          <w:lang w:val="en-US"/>
        </w:rPr>
        <w:t>,</w:t>
      </w:r>
      <w:r w:rsidRPr="0016354D">
        <w:t xml:space="preserve"> през месеците от март до ю</w:t>
      </w:r>
      <w:r w:rsidR="003A636B">
        <w:t>н</w:t>
      </w:r>
      <w:r w:rsidRPr="0016354D">
        <w:t>и са отчетени и разходите, свързани с изплащането на добавка към възнагражденията на медицинския персонал и другите заети на първа линия в борбата с</w:t>
      </w:r>
      <w:r w:rsidR="00583830">
        <w:t>ъс</w:t>
      </w:r>
      <w:r w:rsidRPr="0016354D">
        <w:t xml:space="preserve"> заразата с </w:t>
      </w:r>
      <w:r w:rsidRPr="0016354D">
        <w:rPr>
          <w:lang w:val="en-US"/>
        </w:rPr>
        <w:t>COIVID-19.</w:t>
      </w:r>
      <w:r w:rsidRPr="0016354D">
        <w:t xml:space="preserve"> При социалните и здравноосигурителните разходи най-голям ръст спрямо предходната година се отчита при разходите за пенсии, поради базов ефект при разходите за пенсии от увеличението им от юли 2019 г., а причината за по-високите здравноосигурителни плащания са осигурените за настоящата година със ЗБНЗОК за 2020 г. по-високи разходи в размер на близо 350 млн. лв. по бюджета на НЗОК. По-високи са и социалните обезщете</w:t>
      </w:r>
      <w:r w:rsidR="00944338" w:rsidRPr="0016354D">
        <w:t xml:space="preserve">ния и помощи и разходите на </w:t>
      </w:r>
      <w:r w:rsidR="00D16A78">
        <w:t>фонд</w:t>
      </w:r>
      <w:r w:rsidRPr="0016354D">
        <w:t xml:space="preserve"> „Безработица“ на ДОО, които са свързани с ефекти</w:t>
      </w:r>
      <w:r w:rsidR="00944338" w:rsidRPr="0016354D">
        <w:t>те</w:t>
      </w:r>
      <w:r w:rsidRPr="0016354D">
        <w:t xml:space="preserve"> от кризата върху пазара на труда и заетите.</w:t>
      </w:r>
    </w:p>
    <w:p w:rsidR="004815E1" w:rsidRPr="0065462C" w:rsidRDefault="0020261A" w:rsidP="004815E1">
      <w:pPr>
        <w:spacing w:before="120" w:after="120"/>
        <w:ind w:firstLine="708"/>
        <w:jc w:val="both"/>
      </w:pPr>
      <w:r w:rsidRPr="0016354D">
        <w:t>Натиск от страна на разходите може да възникне при по-негативен сценарий от планирания с актуализацията от март 2020 г. по отношение на необходимия ресурс за финансиране на социално-икономически мерки, насочени към най-засегнатите сектори на икономиката и уязвимите групи от населението.</w:t>
      </w:r>
      <w:r w:rsidR="004815E1" w:rsidRPr="0016354D">
        <w:t xml:space="preserve"> </w:t>
      </w:r>
      <w:r w:rsidRPr="0016354D">
        <w:t>О</w:t>
      </w:r>
      <w:r w:rsidR="004815E1" w:rsidRPr="0016354D">
        <w:t xml:space="preserve">добрените от правителството </w:t>
      </w:r>
      <w:r w:rsidR="00944338" w:rsidRPr="0016354D">
        <w:t>в к</w:t>
      </w:r>
      <w:r w:rsidRPr="0016354D">
        <w:t>р</w:t>
      </w:r>
      <w:r w:rsidR="00944338" w:rsidRPr="0016354D">
        <w:t>а</w:t>
      </w:r>
      <w:r w:rsidRPr="0016354D">
        <w:t xml:space="preserve">я на месец юли </w:t>
      </w:r>
      <w:r w:rsidR="004815E1" w:rsidRPr="0016354D">
        <w:t>социалн</w:t>
      </w:r>
      <w:r w:rsidR="002C734D">
        <w:t>о</w:t>
      </w:r>
      <w:r w:rsidR="004815E1" w:rsidRPr="0016354D">
        <w:t xml:space="preserve">-икономически мерки по втория </w:t>
      </w:r>
      <w:proofErr w:type="spellStart"/>
      <w:r w:rsidR="004815E1" w:rsidRPr="0016354D">
        <w:t>антикризисен</w:t>
      </w:r>
      <w:proofErr w:type="spellEnd"/>
      <w:r w:rsidR="004815E1" w:rsidRPr="0016354D">
        <w:t xml:space="preserve"> пакет на стойност 1,</w:t>
      </w:r>
      <w:r w:rsidR="0065462C">
        <w:rPr>
          <w:lang w:val="en-US"/>
        </w:rPr>
        <w:t>2</w:t>
      </w:r>
      <w:r w:rsidR="004815E1" w:rsidRPr="0016354D">
        <w:t xml:space="preserve"> млрд. лв. за справяне с проблемите, породени от кризата с пандемията с </w:t>
      </w:r>
      <w:r w:rsidR="004815E1" w:rsidRPr="0016354D">
        <w:rPr>
          <w:lang w:val="en-US"/>
        </w:rPr>
        <w:t>COVID-19</w:t>
      </w:r>
      <w:r w:rsidR="004815E1" w:rsidRPr="0016354D">
        <w:t>, води до изместв</w:t>
      </w:r>
      <w:r w:rsidR="00944338" w:rsidRPr="0016354D">
        <w:t>ане на голяма част от</w:t>
      </w:r>
      <w:r w:rsidR="004815E1" w:rsidRPr="0016354D">
        <w:t xml:space="preserve"> разходи</w:t>
      </w:r>
      <w:r w:rsidR="002C734D">
        <w:t>те</w:t>
      </w:r>
      <w:r w:rsidR="004815E1" w:rsidRPr="0016354D">
        <w:t xml:space="preserve"> за годината в третото и четвъртото тримесечие, което от своя страна обуславя значителния ръст на прогнозираните разходи през второто полугодие на 2020</w:t>
      </w:r>
      <w:r w:rsidR="002C734D">
        <w:t> </w:t>
      </w:r>
      <w:r w:rsidR="004815E1" w:rsidRPr="0016354D">
        <w:t>г.</w:t>
      </w:r>
      <w:r w:rsidR="00944338" w:rsidRPr="0016354D">
        <w:t xml:space="preserve"> </w:t>
      </w:r>
    </w:p>
    <w:p w:rsidR="004815E1" w:rsidRPr="0016354D" w:rsidRDefault="004815E1" w:rsidP="004815E1">
      <w:pPr>
        <w:spacing w:before="120" w:after="120"/>
        <w:ind w:firstLine="708"/>
        <w:jc w:val="both"/>
        <w:rPr>
          <w:rFonts w:eastAsia="Calibri"/>
          <w:color w:val="000000"/>
        </w:rPr>
      </w:pPr>
      <w:r w:rsidRPr="0016354D">
        <w:rPr>
          <w:bCs/>
          <w:lang w:eastAsia="bg-BG"/>
        </w:rPr>
        <w:t xml:space="preserve">Благодарение на формираното превишение на приходите над разходите през първите три месеца на годината, преди внезапното избухване на кризата, породена от пандемията с </w:t>
      </w:r>
      <w:r w:rsidRPr="0016354D">
        <w:rPr>
          <w:bCs/>
          <w:lang w:val="en-US" w:eastAsia="bg-BG"/>
        </w:rPr>
        <w:t>COVID-19</w:t>
      </w:r>
      <w:r w:rsidRPr="0016354D">
        <w:rPr>
          <w:bCs/>
          <w:lang w:eastAsia="bg-BG"/>
        </w:rPr>
        <w:t>, негативните фискални ефекти от второто тримесечие не са толкова силно изразени по отношение на бюджетното салдо. Традиционно по-ниското усвояване на разходите през първото полугодие и добрите параметри на изпълнението на бюджета за периода преди кризата са основните фактори, допринесли за отчетеното положително бюджетно салдо по консолидираната фискална програма към 30.06.2020 г. в размер на</w:t>
      </w:r>
      <w:r w:rsidRPr="0016354D">
        <w:rPr>
          <w:bCs/>
          <w:lang w:val="en-US" w:eastAsia="bg-BG"/>
        </w:rPr>
        <w:t xml:space="preserve"> </w:t>
      </w:r>
      <w:r w:rsidRPr="0016354D">
        <w:rPr>
          <w:bCs/>
          <w:lang w:eastAsia="bg-BG"/>
        </w:rPr>
        <w:t>1 612,</w:t>
      </w:r>
      <w:r w:rsidR="002C734D">
        <w:rPr>
          <w:bCs/>
          <w:lang w:eastAsia="bg-BG"/>
        </w:rPr>
        <w:t>7</w:t>
      </w:r>
      <w:r w:rsidRPr="0016354D">
        <w:rPr>
          <w:bCs/>
        </w:rPr>
        <w:t xml:space="preserve"> </w:t>
      </w:r>
      <w:r w:rsidRPr="0016354D">
        <w:t xml:space="preserve">млн. лв. (1,4 % от прогнозния БВП) и </w:t>
      </w:r>
      <w:r w:rsidRPr="0016354D">
        <w:rPr>
          <w:bCs/>
        </w:rPr>
        <w:t>се формира от превишение на приходите над разходите</w:t>
      </w:r>
      <w:r w:rsidRPr="0016354D">
        <w:t xml:space="preserve"> по националния бюджет в размер на 1 099,2 млн. лв. и по европейските средства в размер на 513,5 млн. лева.</w:t>
      </w:r>
      <w:r w:rsidRPr="0016354D">
        <w:rPr>
          <w:color w:val="000000" w:themeColor="text1"/>
        </w:rPr>
        <w:t xml:space="preserve"> Съпоставено с предходната година, когато бюджетното салдо по КФП бе отново положително </w:t>
      </w:r>
      <w:r w:rsidRPr="0016354D">
        <w:rPr>
          <w:color w:val="000000" w:themeColor="text1"/>
        </w:rPr>
        <w:lastRenderedPageBreak/>
        <w:t>в размер на 2,7 % от БВП, се отчита влошаване на бюджетното салдо като относителен дял в БВП с 1,3 пр. п.</w:t>
      </w:r>
      <w:r w:rsidRPr="0016354D">
        <w:rPr>
          <w:rFonts w:eastAsia="Calibri"/>
          <w:color w:val="000000"/>
        </w:rPr>
        <w:t xml:space="preserve"> </w:t>
      </w:r>
    </w:p>
    <w:p w:rsidR="004815E1" w:rsidRPr="0016354D" w:rsidRDefault="004815E1" w:rsidP="004815E1">
      <w:pPr>
        <w:ind w:firstLine="709"/>
        <w:jc w:val="both"/>
        <w:rPr>
          <w:b/>
          <w:color w:val="000000"/>
          <w:u w:val="single"/>
        </w:rPr>
      </w:pPr>
      <w:r w:rsidRPr="0016354D">
        <w:rPr>
          <w:b/>
          <w:color w:val="000000"/>
          <w:u w:val="single"/>
        </w:rPr>
        <w:t>Предизвикателства при изпълнението на бюджета до края на годината</w:t>
      </w:r>
    </w:p>
    <w:p w:rsidR="00463AAA" w:rsidRPr="00463AAA" w:rsidRDefault="00463AAA" w:rsidP="00463AAA">
      <w:pPr>
        <w:tabs>
          <w:tab w:val="num" w:pos="0"/>
        </w:tabs>
        <w:autoSpaceDE w:val="0"/>
        <w:autoSpaceDN w:val="0"/>
        <w:adjustRightInd w:val="0"/>
        <w:spacing w:before="120" w:after="120"/>
        <w:ind w:firstLine="567"/>
        <w:jc w:val="both"/>
        <w:rPr>
          <w:noProof/>
        </w:rPr>
      </w:pPr>
      <w:r w:rsidRPr="00463AAA">
        <w:rPr>
          <w:noProof/>
        </w:rPr>
        <w:t>Основните предизвикателства при изпълнението на бюджета до края на годината се свързват основно с рисковете от възникване на втора вълна на пандемията с COVID-19, което да наложи отново да бъдат активирани строги карантинни мерки и ограничения и допълнително да влоши макроикономическия сценарий. Потенциално това може да се отрази в допълнително влошаване на бюджетната позиция, което може да представлява предизвикателство в контекста на поетите ангажименти с присъединяването към Валутния механизъм II.</w:t>
      </w:r>
      <w:r>
        <w:rPr>
          <w:noProof/>
        </w:rPr>
        <w:t xml:space="preserve"> </w:t>
      </w:r>
      <w:r w:rsidRPr="00463AAA">
        <w:rPr>
          <w:noProof/>
        </w:rPr>
        <w:t xml:space="preserve">Укрепване на здравните системи, пряко ангажирани с борбата с разпространението на пандемията е първостепенен приоритет и цели максимално засилване на капацитета и недопускане на претоварване на здравната система. Успешното адресиране на предизвикателствата, свързани със здравните аспекти на кризата изисква мобилизиране на всички налични ресурси и на този етап няма яснота какъв хоризонт ще имат тези мерки. Въпреки огромните усилия на водещите държави в разработването на терапевтични медикаменти и ваксини за борба с вируса, все още няма яснота кога ще могат да бъдат на разположение ефективни медикаменти, което да измести фокуса от медицинската част на кризата към преодоляване на последствията за икономиката. </w:t>
      </w:r>
    </w:p>
    <w:p w:rsidR="004815E1" w:rsidRPr="00463AAA" w:rsidRDefault="00463AAA" w:rsidP="00463AAA">
      <w:pPr>
        <w:tabs>
          <w:tab w:val="num" w:pos="0"/>
        </w:tabs>
        <w:autoSpaceDE w:val="0"/>
        <w:autoSpaceDN w:val="0"/>
        <w:adjustRightInd w:val="0"/>
        <w:spacing w:before="120" w:after="120"/>
        <w:ind w:firstLine="567"/>
        <w:jc w:val="both"/>
        <w:rPr>
          <w:noProof/>
        </w:rPr>
      </w:pPr>
      <w:r w:rsidRPr="00463AAA">
        <w:rPr>
          <w:noProof/>
        </w:rPr>
        <w:t>Голяма част от водещите икономики отчитат безпрецедентни спадове на реалния БВП за второто тримесечие на 2020 г., което неминуемо ще доведе до изпадане в дълбока рецесия през следващите тримесечия. Поради тази причина усилията в контекста на овладяването на икономическия аспект на кризата също нямат аналог през последните години. България мобилизира огромни ресурси за реализирането на първия и втория пакет от социално-икономически мерки. Мерките за подкрепа на бизнеса и заетостта са във фокуса на водените разходни политики</w:t>
      </w:r>
      <w:r w:rsidR="003C11A7">
        <w:rPr>
          <w:noProof/>
        </w:rPr>
        <w:t xml:space="preserve"> още от избухването на пандемията</w:t>
      </w:r>
      <w:r w:rsidRPr="00463AAA">
        <w:rPr>
          <w:noProof/>
        </w:rPr>
        <w:t>. Мерките за субсидирана заетост, временното намаляване на данъчни ставки и осигуряването на подкрепа за най-засегнатите от кризата сектори, увеличаването на публичните инвестиции за компенсиране на отлива при частните, социалната подкрепа за най-уязвимите групи от населението са само част от усилията за намаляване на икономическите последици от кризата. Това, от своя страна поставя предизвикателства пред бюджета, с оглед обезпечаване на необходимите ресурси за тези политики, и потенциално може да влоши допълнително бюджетната позиция.</w:t>
      </w:r>
    </w:p>
    <w:p w:rsidR="004815E1" w:rsidRPr="0016354D" w:rsidRDefault="004815E1" w:rsidP="004815E1">
      <w:pPr>
        <w:autoSpaceDE w:val="0"/>
        <w:autoSpaceDN w:val="0"/>
        <w:adjustRightInd w:val="0"/>
        <w:spacing w:before="120" w:after="120"/>
        <w:ind w:firstLine="567"/>
        <w:jc w:val="both"/>
        <w:rPr>
          <w:bCs/>
        </w:rPr>
      </w:pPr>
      <w:r w:rsidRPr="0016354D">
        <w:rPr>
          <w:bCs/>
        </w:rPr>
        <w:t>Финансирането на разходните политики по сметките за средствата от ЕС към момента не създава напрежение, но евентуалното изместване и концентриране на значителни по размер разходи по европейските програми и фондове в последното тримесечие на годината може да доведе до натиск върху бюджетната позиция на касова основа от гледна точка на периода, в който извършените сертифицирани разходи ще бъдат ефективно възстановени от ЕК на България.</w:t>
      </w:r>
      <w:r w:rsidRPr="0016354D">
        <w:rPr>
          <w:bCs/>
          <w:lang w:val="en-US"/>
        </w:rPr>
        <w:t xml:space="preserve"> </w:t>
      </w:r>
    </w:p>
    <w:p w:rsidR="00944338" w:rsidRPr="0016354D" w:rsidRDefault="00944338" w:rsidP="004815E1">
      <w:pPr>
        <w:autoSpaceDE w:val="0"/>
        <w:autoSpaceDN w:val="0"/>
        <w:adjustRightInd w:val="0"/>
        <w:spacing w:before="120" w:after="120"/>
        <w:ind w:firstLine="567"/>
        <w:jc w:val="both"/>
        <w:rPr>
          <w:noProof/>
        </w:rPr>
      </w:pPr>
    </w:p>
    <w:p w:rsidR="00774DE7" w:rsidRPr="0016354D" w:rsidRDefault="00774DE7">
      <w:pPr>
        <w:rPr>
          <w:color w:val="4F81BD" w:themeColor="accent1"/>
        </w:rPr>
      </w:pPr>
      <w:r w:rsidRPr="0016354D">
        <w:rPr>
          <w:color w:val="4F81BD" w:themeColor="accent1"/>
        </w:rPr>
        <w:br w:type="page"/>
      </w:r>
    </w:p>
    <w:p w:rsidR="00D00AB4" w:rsidRPr="001D512D" w:rsidRDefault="00D00AB4" w:rsidP="00D00AB4">
      <w:pPr>
        <w:pStyle w:val="Heading1"/>
        <w:numPr>
          <w:ilvl w:val="0"/>
          <w:numId w:val="10"/>
        </w:numPr>
        <w:ind w:right="-108"/>
        <w:jc w:val="both"/>
        <w:rPr>
          <w:sz w:val="24"/>
        </w:rPr>
      </w:pPr>
      <w:r w:rsidRPr="001D512D">
        <w:rPr>
          <w:sz w:val="24"/>
        </w:rPr>
        <w:lastRenderedPageBreak/>
        <w:t>Основни показатели по консолидираната фискална програма</w:t>
      </w:r>
      <w:r w:rsidRPr="001D512D">
        <w:rPr>
          <w:rStyle w:val="FootnoteReference"/>
          <w:sz w:val="24"/>
        </w:rPr>
        <w:footnoteReference w:id="3"/>
      </w:r>
      <w:r w:rsidRPr="001D512D">
        <w:rPr>
          <w:sz w:val="24"/>
        </w:rPr>
        <w:t xml:space="preserve"> за първото полугодие на 20</w:t>
      </w:r>
      <w:r w:rsidRPr="001D512D">
        <w:rPr>
          <w:sz w:val="24"/>
          <w:lang w:val="en-US"/>
        </w:rPr>
        <w:t>20</w:t>
      </w:r>
      <w:r w:rsidRPr="001D512D">
        <w:rPr>
          <w:sz w:val="24"/>
        </w:rPr>
        <w:t> г.</w:t>
      </w:r>
    </w:p>
    <w:p w:rsidR="00D00AB4" w:rsidRPr="001D512D" w:rsidRDefault="00D00AB4" w:rsidP="00D00AB4">
      <w:pPr>
        <w:rPr>
          <w:sz w:val="6"/>
          <w:szCs w:val="12"/>
        </w:rPr>
      </w:pPr>
    </w:p>
    <w:p w:rsidR="00987CE4" w:rsidRPr="00245EC9" w:rsidRDefault="00D00AB4" w:rsidP="00D00AB4">
      <w:pPr>
        <w:jc w:val="both"/>
        <w:rPr>
          <w:color w:val="4F81BD" w:themeColor="accent1"/>
        </w:rPr>
      </w:pPr>
      <w:r w:rsidRPr="001D512D">
        <w:t>Изпълнението на основните показатели по консолидираната фискална програма за първото полугодие на 20</w:t>
      </w:r>
      <w:r w:rsidRPr="001D512D">
        <w:rPr>
          <w:lang w:val="en-US"/>
        </w:rPr>
        <w:t>20</w:t>
      </w:r>
      <w:r w:rsidRPr="001D512D">
        <w:t xml:space="preserve"> г. е представено в следната таблица</w:t>
      </w:r>
      <w:r w:rsidR="00987CE4" w:rsidRPr="00245EC9">
        <w:rPr>
          <w:color w:val="4F81BD" w:themeColor="accent1"/>
        </w:rPr>
        <w:t>:</w:t>
      </w:r>
    </w:p>
    <w:p w:rsidR="00987CE4" w:rsidRPr="00245EC9" w:rsidRDefault="00987CE4" w:rsidP="00987CE4">
      <w:pPr>
        <w:jc w:val="both"/>
        <w:rPr>
          <w:color w:val="4F81BD" w:themeColor="accent1"/>
          <w:sz w:val="4"/>
          <w:szCs w:val="4"/>
        </w:rPr>
      </w:pPr>
    </w:p>
    <w:p w:rsidR="001A17F4" w:rsidRPr="00073EB2" w:rsidRDefault="001A17F4" w:rsidP="001A17F4">
      <w:pPr>
        <w:spacing w:before="120"/>
        <w:rPr>
          <w:b/>
          <w:i/>
          <w:sz w:val="18"/>
          <w:szCs w:val="18"/>
        </w:rPr>
      </w:pPr>
      <w:r w:rsidRPr="00073EB2">
        <w:rPr>
          <w:b/>
          <w:i/>
          <w:sz w:val="22"/>
          <w:szCs w:val="22"/>
        </w:rPr>
        <w:t>Таблица</w:t>
      </w:r>
      <w:r w:rsidRPr="00073EB2">
        <w:rPr>
          <w:b/>
          <w:i/>
          <w:sz w:val="22"/>
          <w:szCs w:val="22"/>
          <w:vertAlign w:val="superscript"/>
        </w:rPr>
        <w:footnoteReference w:id="4"/>
      </w:r>
      <w:r w:rsidRPr="00073EB2">
        <w:rPr>
          <w:b/>
          <w:i/>
          <w:sz w:val="22"/>
          <w:szCs w:val="22"/>
        </w:rPr>
        <w:t xml:space="preserve"> №1</w:t>
      </w:r>
      <w:r w:rsidRPr="00073EB2">
        <w:rPr>
          <w:b/>
          <w:i/>
          <w:sz w:val="22"/>
          <w:szCs w:val="22"/>
        </w:rPr>
        <w:tab/>
      </w:r>
      <w:r w:rsidRPr="00073EB2">
        <w:rPr>
          <w:b/>
          <w:i/>
          <w:sz w:val="22"/>
          <w:szCs w:val="22"/>
        </w:rPr>
        <w:tab/>
      </w:r>
      <w:r w:rsidRPr="00073EB2">
        <w:rPr>
          <w:b/>
          <w:i/>
          <w:sz w:val="22"/>
          <w:szCs w:val="22"/>
        </w:rPr>
        <w:tab/>
      </w:r>
      <w:r w:rsidRPr="00073EB2">
        <w:rPr>
          <w:b/>
          <w:i/>
          <w:sz w:val="22"/>
          <w:szCs w:val="22"/>
        </w:rPr>
        <w:tab/>
      </w:r>
      <w:r w:rsidRPr="00073EB2">
        <w:rPr>
          <w:b/>
          <w:i/>
          <w:sz w:val="22"/>
          <w:szCs w:val="22"/>
        </w:rPr>
        <w:tab/>
      </w:r>
      <w:r w:rsidRPr="00073EB2">
        <w:rPr>
          <w:b/>
          <w:i/>
          <w:sz w:val="22"/>
          <w:szCs w:val="22"/>
        </w:rPr>
        <w:tab/>
      </w:r>
      <w:r w:rsidRPr="00073EB2">
        <w:rPr>
          <w:b/>
          <w:i/>
          <w:sz w:val="22"/>
          <w:szCs w:val="22"/>
        </w:rPr>
        <w:tab/>
      </w:r>
      <w:r w:rsidRPr="00073EB2">
        <w:rPr>
          <w:b/>
          <w:i/>
          <w:sz w:val="22"/>
          <w:szCs w:val="22"/>
        </w:rPr>
        <w:tab/>
      </w:r>
      <w:r w:rsidRPr="00073EB2">
        <w:rPr>
          <w:b/>
          <w:i/>
          <w:sz w:val="22"/>
          <w:szCs w:val="22"/>
        </w:rPr>
        <w:tab/>
      </w:r>
      <w:r w:rsidRPr="00073EB2">
        <w:rPr>
          <w:b/>
          <w:i/>
          <w:sz w:val="22"/>
          <w:szCs w:val="22"/>
        </w:rPr>
        <w:tab/>
      </w:r>
      <w:r w:rsidRPr="00073EB2">
        <w:rPr>
          <w:b/>
          <w:i/>
          <w:sz w:val="22"/>
          <w:szCs w:val="22"/>
        </w:rPr>
        <w:tab/>
      </w:r>
      <w:r w:rsidRPr="00073EB2">
        <w:rPr>
          <w:b/>
          <w:i/>
          <w:sz w:val="18"/>
          <w:szCs w:val="18"/>
        </w:rPr>
        <w:t>(млн. лв.)</w:t>
      </w:r>
    </w:p>
    <w:tbl>
      <w:tblPr>
        <w:tblW w:w="10093" w:type="dxa"/>
        <w:tblInd w:w="98" w:type="dxa"/>
        <w:tblLook w:val="04A0" w:firstRow="1" w:lastRow="0" w:firstColumn="1" w:lastColumn="0" w:noHBand="0" w:noVBand="1"/>
      </w:tblPr>
      <w:tblGrid>
        <w:gridCol w:w="4263"/>
        <w:gridCol w:w="992"/>
        <w:gridCol w:w="1087"/>
        <w:gridCol w:w="1252"/>
        <w:gridCol w:w="1199"/>
        <w:gridCol w:w="1300"/>
      </w:tblGrid>
      <w:tr w:rsidR="001A17F4" w:rsidRPr="00245EC9" w:rsidTr="002018B7">
        <w:trPr>
          <w:trHeight w:val="270"/>
        </w:trPr>
        <w:tc>
          <w:tcPr>
            <w:tcW w:w="4263"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1A17F4" w:rsidRPr="00073EB2" w:rsidRDefault="001A17F4" w:rsidP="002018B7">
            <w:pPr>
              <w:jc w:val="center"/>
              <w:rPr>
                <w:b/>
                <w:bCs/>
                <w:sz w:val="18"/>
                <w:szCs w:val="18"/>
              </w:rPr>
            </w:pPr>
            <w:r w:rsidRPr="00073EB2">
              <w:rPr>
                <w:b/>
                <w:bCs/>
                <w:sz w:val="18"/>
                <w:szCs w:val="18"/>
              </w:rPr>
              <w:t>ПОКАЗАТЕЛ</w:t>
            </w:r>
          </w:p>
        </w:tc>
        <w:tc>
          <w:tcPr>
            <w:tcW w:w="992" w:type="dxa"/>
            <w:tcBorders>
              <w:top w:val="single" w:sz="8" w:space="0" w:color="auto"/>
              <w:left w:val="single" w:sz="4" w:space="0" w:color="auto"/>
              <w:bottom w:val="nil"/>
              <w:right w:val="single" w:sz="4" w:space="0" w:color="auto"/>
            </w:tcBorders>
            <w:shd w:val="clear" w:color="000000" w:fill="D9D9D9"/>
            <w:noWrap/>
            <w:vAlign w:val="bottom"/>
            <w:hideMark/>
          </w:tcPr>
          <w:p w:rsidR="001A17F4" w:rsidRPr="00683417" w:rsidRDefault="001A17F4" w:rsidP="002018B7">
            <w:pPr>
              <w:jc w:val="center"/>
              <w:rPr>
                <w:b/>
                <w:bCs/>
                <w:sz w:val="18"/>
                <w:szCs w:val="18"/>
              </w:rPr>
            </w:pPr>
            <w:r w:rsidRPr="00683417">
              <w:rPr>
                <w:b/>
                <w:bCs/>
                <w:sz w:val="18"/>
                <w:szCs w:val="18"/>
              </w:rPr>
              <w:t>Разчет 20</w:t>
            </w:r>
            <w:r w:rsidRPr="00683417">
              <w:rPr>
                <w:b/>
                <w:bCs/>
                <w:sz w:val="18"/>
                <w:szCs w:val="18"/>
                <w:lang w:val="en-US"/>
              </w:rPr>
              <w:t>20</w:t>
            </w:r>
            <w:r w:rsidRPr="00683417">
              <w:rPr>
                <w:b/>
                <w:bCs/>
                <w:sz w:val="18"/>
                <w:szCs w:val="18"/>
              </w:rPr>
              <w:t xml:space="preserve"> г.</w:t>
            </w:r>
            <w:r w:rsidRPr="00683417">
              <w:rPr>
                <w:rStyle w:val="FootnoteReference"/>
                <w:b/>
                <w:bCs/>
                <w:sz w:val="18"/>
                <w:szCs w:val="18"/>
              </w:rPr>
              <w:footnoteReference w:id="5"/>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1A17F4" w:rsidRPr="00073EB2" w:rsidRDefault="001A17F4" w:rsidP="002018B7">
            <w:pPr>
              <w:jc w:val="center"/>
              <w:rPr>
                <w:b/>
                <w:bCs/>
                <w:sz w:val="18"/>
                <w:szCs w:val="18"/>
              </w:rPr>
            </w:pPr>
            <w:r w:rsidRPr="00073EB2">
              <w:rPr>
                <w:b/>
                <w:bCs/>
                <w:sz w:val="18"/>
                <w:szCs w:val="18"/>
              </w:rPr>
              <w:t>Отчет към 30.06.20</w:t>
            </w:r>
            <w:r w:rsidRPr="00073EB2">
              <w:rPr>
                <w:b/>
                <w:bCs/>
                <w:sz w:val="18"/>
                <w:szCs w:val="18"/>
                <w:lang w:val="en-US"/>
              </w:rPr>
              <w:t>20</w:t>
            </w:r>
            <w:r w:rsidRPr="00073EB2">
              <w:rPr>
                <w:b/>
                <w:bCs/>
                <w:sz w:val="18"/>
                <w:szCs w:val="18"/>
              </w:rPr>
              <w:t xml:space="preserve"> г.</w:t>
            </w:r>
          </w:p>
        </w:tc>
        <w:tc>
          <w:tcPr>
            <w:tcW w:w="1300" w:type="dxa"/>
            <w:tcBorders>
              <w:top w:val="single" w:sz="8" w:space="0" w:color="auto"/>
              <w:left w:val="nil"/>
              <w:bottom w:val="nil"/>
              <w:right w:val="single" w:sz="8" w:space="0" w:color="auto"/>
            </w:tcBorders>
            <w:shd w:val="clear" w:color="000000" w:fill="D9D9D9"/>
            <w:noWrap/>
            <w:vAlign w:val="bottom"/>
            <w:hideMark/>
          </w:tcPr>
          <w:p w:rsidR="001A17F4" w:rsidRPr="00073EB2" w:rsidRDefault="001A17F4" w:rsidP="002018B7">
            <w:pPr>
              <w:jc w:val="center"/>
              <w:rPr>
                <w:b/>
                <w:bCs/>
                <w:sz w:val="18"/>
                <w:szCs w:val="18"/>
              </w:rPr>
            </w:pPr>
            <w:r w:rsidRPr="00073EB2">
              <w:rPr>
                <w:b/>
                <w:bCs/>
                <w:sz w:val="18"/>
                <w:szCs w:val="18"/>
              </w:rPr>
              <w:t>Изпълнение</w:t>
            </w:r>
          </w:p>
        </w:tc>
      </w:tr>
      <w:tr w:rsidR="001A17F4" w:rsidRPr="00245EC9" w:rsidTr="002018B7">
        <w:trPr>
          <w:trHeight w:val="255"/>
        </w:trPr>
        <w:tc>
          <w:tcPr>
            <w:tcW w:w="4263" w:type="dxa"/>
            <w:vMerge/>
            <w:tcBorders>
              <w:top w:val="single" w:sz="8" w:space="0" w:color="auto"/>
              <w:left w:val="single" w:sz="8" w:space="0" w:color="auto"/>
              <w:bottom w:val="single" w:sz="4" w:space="0" w:color="000000"/>
              <w:right w:val="nil"/>
            </w:tcBorders>
            <w:vAlign w:val="center"/>
            <w:hideMark/>
          </w:tcPr>
          <w:p w:rsidR="001A17F4" w:rsidRPr="00073EB2" w:rsidRDefault="001A17F4" w:rsidP="002018B7">
            <w:pPr>
              <w:rPr>
                <w:b/>
                <w:bCs/>
                <w:sz w:val="18"/>
                <w:szCs w:val="18"/>
              </w:rPr>
            </w:pP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1A17F4" w:rsidRPr="00683417" w:rsidRDefault="001A17F4" w:rsidP="002018B7">
            <w:pPr>
              <w:jc w:val="center"/>
              <w:rPr>
                <w:b/>
                <w:bCs/>
                <w:sz w:val="18"/>
                <w:szCs w:val="18"/>
              </w:rPr>
            </w:pPr>
            <w:r w:rsidRPr="00683417">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rsidR="001A17F4" w:rsidRPr="00073EB2" w:rsidRDefault="001A17F4" w:rsidP="002018B7">
            <w:pPr>
              <w:jc w:val="center"/>
              <w:rPr>
                <w:b/>
                <w:bCs/>
                <w:sz w:val="18"/>
                <w:szCs w:val="18"/>
              </w:rPr>
            </w:pPr>
            <w:r w:rsidRPr="00073EB2">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rsidR="001A17F4" w:rsidRPr="00073EB2" w:rsidRDefault="001A17F4" w:rsidP="002018B7">
            <w:pPr>
              <w:jc w:val="center"/>
              <w:rPr>
                <w:b/>
                <w:bCs/>
                <w:sz w:val="18"/>
                <w:szCs w:val="18"/>
              </w:rPr>
            </w:pPr>
            <w:r w:rsidRPr="00073EB2">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1A17F4" w:rsidRPr="00073EB2" w:rsidRDefault="001A17F4" w:rsidP="002018B7">
            <w:pPr>
              <w:jc w:val="center"/>
              <w:rPr>
                <w:b/>
                <w:bCs/>
                <w:sz w:val="18"/>
                <w:szCs w:val="18"/>
              </w:rPr>
            </w:pPr>
            <w:r w:rsidRPr="00073EB2">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rsidR="001A17F4" w:rsidRPr="00073EB2" w:rsidRDefault="001A17F4" w:rsidP="002018B7">
            <w:pPr>
              <w:jc w:val="center"/>
              <w:rPr>
                <w:b/>
                <w:bCs/>
                <w:sz w:val="18"/>
                <w:szCs w:val="18"/>
              </w:rPr>
            </w:pPr>
            <w:r w:rsidRPr="00073EB2">
              <w:rPr>
                <w:b/>
                <w:bCs/>
                <w:sz w:val="18"/>
                <w:szCs w:val="18"/>
              </w:rPr>
              <w:t>спрямо разчет</w:t>
            </w:r>
          </w:p>
        </w:tc>
      </w:tr>
      <w:tr w:rsidR="001A17F4" w:rsidRPr="00245EC9" w:rsidTr="002018B7">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1A17F4" w:rsidRPr="00073EB2" w:rsidRDefault="001A17F4" w:rsidP="002018B7">
            <w:pPr>
              <w:jc w:val="center"/>
              <w:rPr>
                <w:sz w:val="18"/>
                <w:szCs w:val="18"/>
              </w:rPr>
            </w:pPr>
            <w:r w:rsidRPr="00073EB2">
              <w:rPr>
                <w:sz w:val="18"/>
                <w:szCs w:val="18"/>
              </w:rPr>
              <w:t>к.1</w:t>
            </w:r>
          </w:p>
        </w:tc>
        <w:tc>
          <w:tcPr>
            <w:tcW w:w="992" w:type="dxa"/>
            <w:tcBorders>
              <w:top w:val="nil"/>
              <w:left w:val="single" w:sz="4" w:space="0" w:color="auto"/>
              <w:bottom w:val="single" w:sz="8" w:space="0" w:color="auto"/>
              <w:right w:val="single" w:sz="4" w:space="0" w:color="auto"/>
            </w:tcBorders>
            <w:shd w:val="clear" w:color="000000" w:fill="D9D9D9"/>
            <w:noWrap/>
            <w:vAlign w:val="bottom"/>
            <w:hideMark/>
          </w:tcPr>
          <w:p w:rsidR="001A17F4" w:rsidRPr="00683417" w:rsidRDefault="001A17F4" w:rsidP="002018B7">
            <w:pPr>
              <w:jc w:val="center"/>
              <w:rPr>
                <w:sz w:val="18"/>
                <w:szCs w:val="18"/>
              </w:rPr>
            </w:pPr>
            <w:r w:rsidRPr="00683417">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rsidR="001A17F4" w:rsidRPr="00073EB2" w:rsidRDefault="001A17F4" w:rsidP="002018B7">
            <w:pPr>
              <w:jc w:val="center"/>
              <w:rPr>
                <w:sz w:val="18"/>
                <w:szCs w:val="18"/>
              </w:rPr>
            </w:pPr>
            <w:r w:rsidRPr="00073EB2">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rsidR="001A17F4" w:rsidRPr="00073EB2" w:rsidRDefault="001A17F4" w:rsidP="002018B7">
            <w:pPr>
              <w:jc w:val="center"/>
              <w:rPr>
                <w:sz w:val="18"/>
                <w:szCs w:val="18"/>
              </w:rPr>
            </w:pPr>
            <w:r w:rsidRPr="00073EB2">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1A17F4" w:rsidRPr="00073EB2" w:rsidRDefault="001A17F4" w:rsidP="002018B7">
            <w:pPr>
              <w:jc w:val="center"/>
              <w:rPr>
                <w:sz w:val="18"/>
                <w:szCs w:val="18"/>
              </w:rPr>
            </w:pPr>
            <w:r w:rsidRPr="00073EB2">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rsidR="001A17F4" w:rsidRPr="00073EB2" w:rsidRDefault="001A17F4" w:rsidP="002018B7">
            <w:pPr>
              <w:jc w:val="center"/>
              <w:rPr>
                <w:sz w:val="18"/>
                <w:szCs w:val="18"/>
              </w:rPr>
            </w:pPr>
            <w:r w:rsidRPr="00073EB2">
              <w:rPr>
                <w:sz w:val="18"/>
                <w:szCs w:val="18"/>
              </w:rPr>
              <w:t>к.6=к.3:к.2</w:t>
            </w:r>
          </w:p>
        </w:tc>
      </w:tr>
      <w:tr w:rsidR="001A17F4" w:rsidRPr="00245EC9" w:rsidTr="002018B7">
        <w:trPr>
          <w:trHeight w:val="255"/>
        </w:trPr>
        <w:tc>
          <w:tcPr>
            <w:tcW w:w="4263" w:type="dxa"/>
            <w:tcBorders>
              <w:top w:val="nil"/>
              <w:left w:val="single" w:sz="8" w:space="0" w:color="auto"/>
              <w:bottom w:val="nil"/>
              <w:right w:val="nil"/>
            </w:tcBorders>
            <w:shd w:val="clear" w:color="auto" w:fill="auto"/>
            <w:noWrap/>
            <w:vAlign w:val="bottom"/>
            <w:hideMark/>
          </w:tcPr>
          <w:p w:rsidR="001A17F4" w:rsidRPr="00073EB2" w:rsidRDefault="001A17F4" w:rsidP="002018B7">
            <w:pPr>
              <w:rPr>
                <w:b/>
                <w:bCs/>
                <w:sz w:val="18"/>
                <w:szCs w:val="18"/>
              </w:rPr>
            </w:pPr>
            <w:r w:rsidRPr="00073EB2">
              <w:rPr>
                <w:b/>
                <w:bCs/>
                <w:sz w:val="18"/>
                <w:szCs w:val="18"/>
              </w:rPr>
              <w:t>ПРИХОДИ, ПОМОЩИ И ДАРЕНИЯ</w:t>
            </w:r>
          </w:p>
        </w:tc>
        <w:tc>
          <w:tcPr>
            <w:tcW w:w="992" w:type="dxa"/>
            <w:tcBorders>
              <w:top w:val="nil"/>
              <w:left w:val="nil"/>
              <w:bottom w:val="nil"/>
              <w:right w:val="nil"/>
            </w:tcBorders>
            <w:shd w:val="clear" w:color="auto" w:fill="auto"/>
            <w:noWrap/>
            <w:vAlign w:val="bottom"/>
            <w:hideMark/>
          </w:tcPr>
          <w:p w:rsidR="001A17F4" w:rsidRDefault="001A17F4" w:rsidP="002018B7">
            <w:pPr>
              <w:jc w:val="right"/>
              <w:rPr>
                <w:b/>
                <w:bCs/>
                <w:sz w:val="18"/>
                <w:szCs w:val="18"/>
              </w:rPr>
            </w:pPr>
            <w:r>
              <w:rPr>
                <w:b/>
                <w:bCs/>
                <w:sz w:val="18"/>
                <w:szCs w:val="18"/>
              </w:rPr>
              <w:t>44 392,7</w:t>
            </w:r>
          </w:p>
        </w:tc>
        <w:tc>
          <w:tcPr>
            <w:tcW w:w="1087" w:type="dxa"/>
            <w:tcBorders>
              <w:top w:val="nil"/>
              <w:left w:val="nil"/>
              <w:bottom w:val="nil"/>
              <w:right w:val="nil"/>
            </w:tcBorders>
            <w:shd w:val="clear" w:color="auto" w:fill="auto"/>
            <w:noWrap/>
            <w:vAlign w:val="bottom"/>
            <w:hideMark/>
          </w:tcPr>
          <w:p w:rsidR="001A17F4" w:rsidRDefault="001A17F4" w:rsidP="002018B7">
            <w:pPr>
              <w:jc w:val="right"/>
              <w:rPr>
                <w:b/>
                <w:bCs/>
                <w:sz w:val="18"/>
                <w:szCs w:val="18"/>
              </w:rPr>
            </w:pPr>
            <w:r>
              <w:rPr>
                <w:b/>
                <w:bCs/>
                <w:sz w:val="18"/>
                <w:szCs w:val="18"/>
              </w:rPr>
              <w:t>21 430,8</w:t>
            </w:r>
          </w:p>
        </w:tc>
        <w:tc>
          <w:tcPr>
            <w:tcW w:w="1252" w:type="dxa"/>
            <w:tcBorders>
              <w:top w:val="nil"/>
              <w:left w:val="nil"/>
              <w:bottom w:val="nil"/>
              <w:right w:val="nil"/>
            </w:tcBorders>
            <w:shd w:val="clear" w:color="auto" w:fill="auto"/>
            <w:noWrap/>
            <w:vAlign w:val="bottom"/>
            <w:hideMark/>
          </w:tcPr>
          <w:p w:rsidR="001A17F4" w:rsidRDefault="001A17F4" w:rsidP="002018B7">
            <w:pPr>
              <w:jc w:val="right"/>
              <w:rPr>
                <w:b/>
                <w:bCs/>
                <w:color w:val="000000"/>
                <w:sz w:val="18"/>
                <w:szCs w:val="18"/>
              </w:rPr>
            </w:pPr>
            <w:r>
              <w:rPr>
                <w:b/>
                <w:bCs/>
                <w:color w:val="000000"/>
                <w:sz w:val="18"/>
                <w:szCs w:val="18"/>
              </w:rPr>
              <w:t>19 895,6</w:t>
            </w:r>
          </w:p>
        </w:tc>
        <w:tc>
          <w:tcPr>
            <w:tcW w:w="1199" w:type="dxa"/>
            <w:tcBorders>
              <w:top w:val="nil"/>
              <w:left w:val="nil"/>
              <w:bottom w:val="nil"/>
              <w:right w:val="nil"/>
            </w:tcBorders>
            <w:shd w:val="clear" w:color="auto" w:fill="auto"/>
            <w:noWrap/>
            <w:vAlign w:val="bottom"/>
            <w:hideMark/>
          </w:tcPr>
          <w:p w:rsidR="001A17F4" w:rsidRDefault="001A17F4" w:rsidP="002018B7">
            <w:pPr>
              <w:jc w:val="right"/>
              <w:rPr>
                <w:b/>
                <w:bCs/>
                <w:color w:val="000000"/>
                <w:sz w:val="18"/>
                <w:szCs w:val="18"/>
              </w:rPr>
            </w:pPr>
            <w:r>
              <w:rPr>
                <w:b/>
                <w:bCs/>
                <w:color w:val="000000"/>
                <w:sz w:val="18"/>
                <w:szCs w:val="18"/>
              </w:rPr>
              <w:t>1 535,2</w:t>
            </w:r>
          </w:p>
        </w:tc>
        <w:tc>
          <w:tcPr>
            <w:tcW w:w="1300" w:type="dxa"/>
            <w:tcBorders>
              <w:top w:val="nil"/>
              <w:left w:val="nil"/>
              <w:bottom w:val="nil"/>
              <w:right w:val="single" w:sz="8" w:space="0" w:color="auto"/>
            </w:tcBorders>
            <w:shd w:val="clear" w:color="auto" w:fill="auto"/>
            <w:noWrap/>
            <w:vAlign w:val="bottom"/>
            <w:hideMark/>
          </w:tcPr>
          <w:p w:rsidR="001A17F4" w:rsidRDefault="001A17F4" w:rsidP="002018B7">
            <w:pPr>
              <w:jc w:val="right"/>
              <w:rPr>
                <w:b/>
                <w:bCs/>
                <w:sz w:val="18"/>
                <w:szCs w:val="18"/>
              </w:rPr>
            </w:pPr>
            <w:r>
              <w:rPr>
                <w:b/>
                <w:bCs/>
                <w:sz w:val="18"/>
                <w:szCs w:val="18"/>
              </w:rPr>
              <w:t>48,3%</w:t>
            </w:r>
          </w:p>
        </w:tc>
      </w:tr>
      <w:tr w:rsidR="001A17F4" w:rsidRPr="00245EC9" w:rsidTr="002018B7">
        <w:trPr>
          <w:trHeight w:val="255"/>
        </w:trPr>
        <w:tc>
          <w:tcPr>
            <w:tcW w:w="4263" w:type="dxa"/>
            <w:tcBorders>
              <w:top w:val="nil"/>
              <w:left w:val="single" w:sz="8" w:space="0" w:color="auto"/>
              <w:bottom w:val="nil"/>
              <w:right w:val="nil"/>
            </w:tcBorders>
            <w:shd w:val="clear" w:color="auto" w:fill="auto"/>
            <w:noWrap/>
            <w:vAlign w:val="bottom"/>
            <w:hideMark/>
          </w:tcPr>
          <w:p w:rsidR="001A17F4" w:rsidRPr="00073EB2" w:rsidRDefault="001A17F4" w:rsidP="002018B7">
            <w:pPr>
              <w:rPr>
                <w:sz w:val="18"/>
                <w:szCs w:val="18"/>
              </w:rPr>
            </w:pPr>
            <w:r w:rsidRPr="00073EB2">
              <w:rPr>
                <w:sz w:val="18"/>
                <w:szCs w:val="18"/>
              </w:rPr>
              <w:t xml:space="preserve">  Данъчни приходи</w:t>
            </w:r>
          </w:p>
        </w:tc>
        <w:tc>
          <w:tcPr>
            <w:tcW w:w="992"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34 915,9</w:t>
            </w:r>
          </w:p>
        </w:tc>
        <w:tc>
          <w:tcPr>
            <w:tcW w:w="1087"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17 056,9</w:t>
            </w:r>
          </w:p>
        </w:tc>
        <w:tc>
          <w:tcPr>
            <w:tcW w:w="1252" w:type="dxa"/>
            <w:tcBorders>
              <w:top w:val="nil"/>
              <w:left w:val="nil"/>
              <w:bottom w:val="nil"/>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17 056,9</w:t>
            </w:r>
          </w:p>
        </w:tc>
        <w:tc>
          <w:tcPr>
            <w:tcW w:w="1199" w:type="dxa"/>
            <w:tcBorders>
              <w:top w:val="nil"/>
              <w:left w:val="nil"/>
              <w:bottom w:val="nil"/>
              <w:right w:val="nil"/>
            </w:tcBorders>
            <w:shd w:val="clear" w:color="auto" w:fill="auto"/>
            <w:noWrap/>
            <w:vAlign w:val="bottom"/>
            <w:hideMark/>
          </w:tcPr>
          <w:p w:rsidR="001A17F4" w:rsidRDefault="001A17F4" w:rsidP="002018B7">
            <w:pPr>
              <w:jc w:val="right"/>
              <w:rPr>
                <w:color w:val="000000"/>
                <w:sz w:val="18"/>
                <w:szCs w:val="18"/>
              </w:rPr>
            </w:pPr>
          </w:p>
        </w:tc>
        <w:tc>
          <w:tcPr>
            <w:tcW w:w="1300" w:type="dxa"/>
            <w:tcBorders>
              <w:top w:val="nil"/>
              <w:left w:val="nil"/>
              <w:bottom w:val="nil"/>
              <w:right w:val="single" w:sz="8" w:space="0" w:color="auto"/>
            </w:tcBorders>
            <w:shd w:val="clear" w:color="auto" w:fill="auto"/>
            <w:noWrap/>
            <w:vAlign w:val="bottom"/>
            <w:hideMark/>
          </w:tcPr>
          <w:p w:rsidR="001A17F4" w:rsidRDefault="001A17F4" w:rsidP="002018B7">
            <w:pPr>
              <w:jc w:val="right"/>
              <w:rPr>
                <w:sz w:val="18"/>
                <w:szCs w:val="18"/>
              </w:rPr>
            </w:pPr>
            <w:r>
              <w:rPr>
                <w:sz w:val="18"/>
                <w:szCs w:val="18"/>
              </w:rPr>
              <w:t>48,9%</w:t>
            </w:r>
          </w:p>
        </w:tc>
      </w:tr>
      <w:tr w:rsidR="001A17F4" w:rsidRPr="00245EC9" w:rsidTr="002018B7">
        <w:trPr>
          <w:trHeight w:val="255"/>
        </w:trPr>
        <w:tc>
          <w:tcPr>
            <w:tcW w:w="4263" w:type="dxa"/>
            <w:tcBorders>
              <w:top w:val="nil"/>
              <w:left w:val="single" w:sz="8" w:space="0" w:color="auto"/>
              <w:bottom w:val="nil"/>
              <w:right w:val="nil"/>
            </w:tcBorders>
            <w:shd w:val="clear" w:color="auto" w:fill="auto"/>
            <w:noWrap/>
            <w:vAlign w:val="bottom"/>
            <w:hideMark/>
          </w:tcPr>
          <w:p w:rsidR="001A17F4" w:rsidRPr="00073EB2" w:rsidRDefault="001A17F4" w:rsidP="002018B7">
            <w:pPr>
              <w:rPr>
                <w:sz w:val="18"/>
                <w:szCs w:val="18"/>
              </w:rPr>
            </w:pPr>
            <w:r w:rsidRPr="00073EB2">
              <w:rPr>
                <w:sz w:val="18"/>
                <w:szCs w:val="18"/>
              </w:rPr>
              <w:t xml:space="preserve">  Неданъчни приходи</w:t>
            </w:r>
          </w:p>
        </w:tc>
        <w:tc>
          <w:tcPr>
            <w:tcW w:w="992"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6 782,7</w:t>
            </w:r>
          </w:p>
        </w:tc>
        <w:tc>
          <w:tcPr>
            <w:tcW w:w="1087"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2 803,7</w:t>
            </w:r>
          </w:p>
        </w:tc>
        <w:tc>
          <w:tcPr>
            <w:tcW w:w="1252" w:type="dxa"/>
            <w:tcBorders>
              <w:top w:val="nil"/>
              <w:left w:val="nil"/>
              <w:bottom w:val="nil"/>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2 792,1</w:t>
            </w:r>
          </w:p>
        </w:tc>
        <w:tc>
          <w:tcPr>
            <w:tcW w:w="1199" w:type="dxa"/>
            <w:tcBorders>
              <w:top w:val="nil"/>
              <w:left w:val="nil"/>
              <w:bottom w:val="nil"/>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11,6</w:t>
            </w:r>
          </w:p>
        </w:tc>
        <w:tc>
          <w:tcPr>
            <w:tcW w:w="1300" w:type="dxa"/>
            <w:tcBorders>
              <w:top w:val="nil"/>
              <w:left w:val="nil"/>
              <w:bottom w:val="nil"/>
              <w:right w:val="single" w:sz="8" w:space="0" w:color="auto"/>
            </w:tcBorders>
            <w:shd w:val="clear" w:color="auto" w:fill="auto"/>
            <w:noWrap/>
            <w:vAlign w:val="bottom"/>
            <w:hideMark/>
          </w:tcPr>
          <w:p w:rsidR="001A17F4" w:rsidRDefault="001A17F4" w:rsidP="002018B7">
            <w:pPr>
              <w:jc w:val="right"/>
              <w:rPr>
                <w:sz w:val="18"/>
                <w:szCs w:val="18"/>
              </w:rPr>
            </w:pPr>
            <w:r>
              <w:rPr>
                <w:sz w:val="18"/>
                <w:szCs w:val="18"/>
              </w:rPr>
              <w:t>41,3%</w:t>
            </w:r>
          </w:p>
        </w:tc>
      </w:tr>
      <w:tr w:rsidR="001A17F4" w:rsidRPr="00245EC9" w:rsidTr="002018B7">
        <w:trPr>
          <w:trHeight w:val="255"/>
        </w:trPr>
        <w:tc>
          <w:tcPr>
            <w:tcW w:w="4263" w:type="dxa"/>
            <w:tcBorders>
              <w:top w:val="nil"/>
              <w:left w:val="single" w:sz="8" w:space="0" w:color="auto"/>
              <w:bottom w:val="nil"/>
              <w:right w:val="nil"/>
            </w:tcBorders>
            <w:shd w:val="clear" w:color="auto" w:fill="auto"/>
            <w:noWrap/>
            <w:vAlign w:val="bottom"/>
            <w:hideMark/>
          </w:tcPr>
          <w:p w:rsidR="001A17F4" w:rsidRPr="00073EB2" w:rsidRDefault="001A17F4" w:rsidP="002018B7">
            <w:pPr>
              <w:rPr>
                <w:sz w:val="18"/>
                <w:szCs w:val="18"/>
              </w:rPr>
            </w:pPr>
            <w:r w:rsidRPr="00073EB2">
              <w:rPr>
                <w:sz w:val="18"/>
                <w:szCs w:val="18"/>
              </w:rPr>
              <w:t xml:space="preserve">  Помощи и дарения</w:t>
            </w:r>
          </w:p>
        </w:tc>
        <w:tc>
          <w:tcPr>
            <w:tcW w:w="992"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2 694,2</w:t>
            </w:r>
          </w:p>
        </w:tc>
        <w:tc>
          <w:tcPr>
            <w:tcW w:w="1087"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1 570,2</w:t>
            </w:r>
          </w:p>
        </w:tc>
        <w:tc>
          <w:tcPr>
            <w:tcW w:w="1252" w:type="dxa"/>
            <w:tcBorders>
              <w:top w:val="nil"/>
              <w:left w:val="nil"/>
              <w:bottom w:val="nil"/>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46,6</w:t>
            </w:r>
          </w:p>
        </w:tc>
        <w:tc>
          <w:tcPr>
            <w:tcW w:w="1199" w:type="dxa"/>
            <w:tcBorders>
              <w:top w:val="nil"/>
              <w:left w:val="nil"/>
              <w:bottom w:val="single" w:sz="4" w:space="0" w:color="auto"/>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1 523,6</w:t>
            </w:r>
          </w:p>
        </w:tc>
        <w:tc>
          <w:tcPr>
            <w:tcW w:w="1300" w:type="dxa"/>
            <w:tcBorders>
              <w:top w:val="nil"/>
              <w:left w:val="nil"/>
              <w:bottom w:val="nil"/>
              <w:right w:val="single" w:sz="8" w:space="0" w:color="auto"/>
            </w:tcBorders>
            <w:shd w:val="clear" w:color="auto" w:fill="auto"/>
            <w:noWrap/>
            <w:vAlign w:val="bottom"/>
            <w:hideMark/>
          </w:tcPr>
          <w:p w:rsidR="001A17F4" w:rsidRDefault="001A17F4" w:rsidP="002018B7">
            <w:pPr>
              <w:jc w:val="right"/>
              <w:rPr>
                <w:sz w:val="18"/>
                <w:szCs w:val="18"/>
              </w:rPr>
            </w:pPr>
            <w:r>
              <w:rPr>
                <w:sz w:val="18"/>
                <w:szCs w:val="18"/>
              </w:rPr>
              <w:t>58,3%</w:t>
            </w:r>
          </w:p>
        </w:tc>
      </w:tr>
      <w:tr w:rsidR="001A17F4" w:rsidRPr="00245EC9" w:rsidTr="002018B7">
        <w:trPr>
          <w:trHeight w:val="480"/>
        </w:trPr>
        <w:tc>
          <w:tcPr>
            <w:tcW w:w="4263" w:type="dxa"/>
            <w:tcBorders>
              <w:top w:val="single" w:sz="4" w:space="0" w:color="auto"/>
              <w:left w:val="single" w:sz="8" w:space="0" w:color="auto"/>
              <w:bottom w:val="nil"/>
              <w:right w:val="nil"/>
            </w:tcBorders>
            <w:shd w:val="clear" w:color="auto" w:fill="auto"/>
            <w:vAlign w:val="bottom"/>
            <w:hideMark/>
          </w:tcPr>
          <w:p w:rsidR="001A17F4" w:rsidRPr="00073EB2" w:rsidRDefault="001A17F4" w:rsidP="002018B7">
            <w:pPr>
              <w:rPr>
                <w:b/>
                <w:bCs/>
                <w:sz w:val="18"/>
                <w:szCs w:val="18"/>
              </w:rPr>
            </w:pPr>
            <w:r w:rsidRPr="00073EB2">
              <w:rPr>
                <w:b/>
                <w:bCs/>
                <w:sz w:val="18"/>
                <w:szCs w:val="18"/>
              </w:rPr>
              <w:t>РАЗХОДИ И ВНОСКА ЗА ОБЩИЯ БЮДЖЕТ НА ЕС</w:t>
            </w:r>
          </w:p>
        </w:tc>
        <w:tc>
          <w:tcPr>
            <w:tcW w:w="992" w:type="dxa"/>
            <w:tcBorders>
              <w:top w:val="single" w:sz="4" w:space="0" w:color="auto"/>
              <w:left w:val="nil"/>
              <w:bottom w:val="nil"/>
              <w:right w:val="nil"/>
            </w:tcBorders>
            <w:shd w:val="clear" w:color="auto" w:fill="auto"/>
            <w:noWrap/>
            <w:vAlign w:val="bottom"/>
            <w:hideMark/>
          </w:tcPr>
          <w:p w:rsidR="001A17F4" w:rsidRDefault="001A17F4" w:rsidP="002018B7">
            <w:pPr>
              <w:jc w:val="right"/>
              <w:rPr>
                <w:b/>
                <w:bCs/>
                <w:sz w:val="18"/>
                <w:szCs w:val="18"/>
              </w:rPr>
            </w:pPr>
            <w:r>
              <w:rPr>
                <w:b/>
                <w:bCs/>
                <w:sz w:val="18"/>
                <w:szCs w:val="18"/>
              </w:rPr>
              <w:t>47 906,6</w:t>
            </w:r>
          </w:p>
        </w:tc>
        <w:tc>
          <w:tcPr>
            <w:tcW w:w="1087" w:type="dxa"/>
            <w:tcBorders>
              <w:top w:val="single" w:sz="4" w:space="0" w:color="auto"/>
              <w:left w:val="nil"/>
              <w:bottom w:val="nil"/>
              <w:right w:val="nil"/>
            </w:tcBorders>
            <w:shd w:val="clear" w:color="auto" w:fill="auto"/>
            <w:noWrap/>
            <w:vAlign w:val="bottom"/>
            <w:hideMark/>
          </w:tcPr>
          <w:p w:rsidR="001A17F4" w:rsidRDefault="001A17F4" w:rsidP="002018B7">
            <w:pPr>
              <w:jc w:val="right"/>
              <w:rPr>
                <w:b/>
                <w:bCs/>
                <w:sz w:val="18"/>
                <w:szCs w:val="18"/>
              </w:rPr>
            </w:pPr>
            <w:r>
              <w:rPr>
                <w:b/>
                <w:bCs/>
                <w:sz w:val="18"/>
                <w:szCs w:val="18"/>
              </w:rPr>
              <w:t>19 818,1</w:t>
            </w:r>
          </w:p>
        </w:tc>
        <w:tc>
          <w:tcPr>
            <w:tcW w:w="1252" w:type="dxa"/>
            <w:tcBorders>
              <w:top w:val="single" w:sz="4" w:space="0" w:color="auto"/>
              <w:left w:val="nil"/>
              <w:bottom w:val="nil"/>
              <w:right w:val="nil"/>
            </w:tcBorders>
            <w:shd w:val="clear" w:color="auto" w:fill="auto"/>
            <w:noWrap/>
            <w:vAlign w:val="bottom"/>
            <w:hideMark/>
          </w:tcPr>
          <w:p w:rsidR="001A17F4" w:rsidRDefault="001A17F4" w:rsidP="002018B7">
            <w:pPr>
              <w:jc w:val="right"/>
              <w:rPr>
                <w:b/>
                <w:bCs/>
                <w:color w:val="000000"/>
                <w:sz w:val="18"/>
                <w:szCs w:val="18"/>
              </w:rPr>
            </w:pPr>
            <w:r>
              <w:rPr>
                <w:b/>
                <w:bCs/>
                <w:color w:val="000000"/>
                <w:sz w:val="18"/>
                <w:szCs w:val="18"/>
              </w:rPr>
              <w:t>18 510,9</w:t>
            </w:r>
          </w:p>
        </w:tc>
        <w:tc>
          <w:tcPr>
            <w:tcW w:w="1199" w:type="dxa"/>
            <w:tcBorders>
              <w:top w:val="nil"/>
              <w:left w:val="nil"/>
              <w:bottom w:val="nil"/>
              <w:right w:val="nil"/>
            </w:tcBorders>
            <w:shd w:val="clear" w:color="auto" w:fill="auto"/>
            <w:noWrap/>
            <w:vAlign w:val="bottom"/>
            <w:hideMark/>
          </w:tcPr>
          <w:p w:rsidR="001A17F4" w:rsidRDefault="001A17F4" w:rsidP="002018B7">
            <w:pPr>
              <w:jc w:val="right"/>
              <w:rPr>
                <w:b/>
                <w:bCs/>
                <w:color w:val="000000"/>
                <w:sz w:val="18"/>
                <w:szCs w:val="18"/>
              </w:rPr>
            </w:pPr>
            <w:r>
              <w:rPr>
                <w:b/>
                <w:bCs/>
                <w:color w:val="000000"/>
                <w:sz w:val="18"/>
                <w:szCs w:val="18"/>
              </w:rPr>
              <w:t>1 307,3</w:t>
            </w:r>
          </w:p>
        </w:tc>
        <w:tc>
          <w:tcPr>
            <w:tcW w:w="1300" w:type="dxa"/>
            <w:tcBorders>
              <w:top w:val="single" w:sz="4" w:space="0" w:color="auto"/>
              <w:left w:val="nil"/>
              <w:bottom w:val="nil"/>
              <w:right w:val="single" w:sz="8" w:space="0" w:color="auto"/>
            </w:tcBorders>
            <w:shd w:val="clear" w:color="auto" w:fill="auto"/>
            <w:noWrap/>
            <w:vAlign w:val="bottom"/>
            <w:hideMark/>
          </w:tcPr>
          <w:p w:rsidR="001A17F4" w:rsidRDefault="001A17F4" w:rsidP="002018B7">
            <w:pPr>
              <w:jc w:val="right"/>
              <w:rPr>
                <w:b/>
                <w:bCs/>
                <w:sz w:val="18"/>
                <w:szCs w:val="18"/>
              </w:rPr>
            </w:pPr>
            <w:r>
              <w:rPr>
                <w:b/>
                <w:bCs/>
                <w:sz w:val="18"/>
                <w:szCs w:val="18"/>
              </w:rPr>
              <w:t>41,4%</w:t>
            </w:r>
          </w:p>
        </w:tc>
      </w:tr>
      <w:tr w:rsidR="001A17F4" w:rsidRPr="00245EC9" w:rsidTr="002018B7">
        <w:trPr>
          <w:trHeight w:val="255"/>
        </w:trPr>
        <w:tc>
          <w:tcPr>
            <w:tcW w:w="4263" w:type="dxa"/>
            <w:tcBorders>
              <w:top w:val="nil"/>
              <w:left w:val="single" w:sz="8" w:space="0" w:color="auto"/>
              <w:bottom w:val="nil"/>
              <w:right w:val="nil"/>
            </w:tcBorders>
            <w:shd w:val="clear" w:color="auto" w:fill="auto"/>
            <w:noWrap/>
            <w:vAlign w:val="bottom"/>
            <w:hideMark/>
          </w:tcPr>
          <w:p w:rsidR="001A17F4" w:rsidRPr="00073EB2" w:rsidRDefault="001A17F4" w:rsidP="002018B7">
            <w:pPr>
              <w:rPr>
                <w:sz w:val="18"/>
                <w:szCs w:val="18"/>
              </w:rPr>
            </w:pPr>
            <w:r w:rsidRPr="00073EB2">
              <w:rPr>
                <w:sz w:val="18"/>
                <w:szCs w:val="18"/>
              </w:rPr>
              <w:t xml:space="preserve">  Нелихвени</w:t>
            </w:r>
          </w:p>
        </w:tc>
        <w:tc>
          <w:tcPr>
            <w:tcW w:w="992"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45 564,0</w:t>
            </w:r>
          </w:p>
        </w:tc>
        <w:tc>
          <w:tcPr>
            <w:tcW w:w="1087"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18 766,1</w:t>
            </w:r>
          </w:p>
        </w:tc>
        <w:tc>
          <w:tcPr>
            <w:tcW w:w="1252"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17 458,9</w:t>
            </w:r>
          </w:p>
        </w:tc>
        <w:tc>
          <w:tcPr>
            <w:tcW w:w="1199"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1 307,3</w:t>
            </w:r>
          </w:p>
        </w:tc>
        <w:tc>
          <w:tcPr>
            <w:tcW w:w="1300" w:type="dxa"/>
            <w:tcBorders>
              <w:top w:val="nil"/>
              <w:left w:val="nil"/>
              <w:bottom w:val="nil"/>
              <w:right w:val="single" w:sz="8" w:space="0" w:color="auto"/>
            </w:tcBorders>
            <w:shd w:val="clear" w:color="auto" w:fill="auto"/>
            <w:noWrap/>
            <w:vAlign w:val="bottom"/>
            <w:hideMark/>
          </w:tcPr>
          <w:p w:rsidR="001A17F4" w:rsidRDefault="001A17F4" w:rsidP="002018B7">
            <w:pPr>
              <w:jc w:val="right"/>
              <w:rPr>
                <w:sz w:val="18"/>
                <w:szCs w:val="18"/>
              </w:rPr>
            </w:pPr>
            <w:r>
              <w:rPr>
                <w:sz w:val="18"/>
                <w:szCs w:val="18"/>
              </w:rPr>
              <w:t>41,2%</w:t>
            </w:r>
          </w:p>
        </w:tc>
      </w:tr>
      <w:tr w:rsidR="001A17F4" w:rsidRPr="00245EC9" w:rsidTr="002018B7">
        <w:trPr>
          <w:trHeight w:val="255"/>
        </w:trPr>
        <w:tc>
          <w:tcPr>
            <w:tcW w:w="4263" w:type="dxa"/>
            <w:tcBorders>
              <w:top w:val="nil"/>
              <w:left w:val="single" w:sz="8" w:space="0" w:color="auto"/>
              <w:bottom w:val="nil"/>
              <w:right w:val="nil"/>
            </w:tcBorders>
            <w:shd w:val="clear" w:color="auto" w:fill="auto"/>
            <w:noWrap/>
            <w:vAlign w:val="bottom"/>
            <w:hideMark/>
          </w:tcPr>
          <w:p w:rsidR="001A17F4" w:rsidRPr="00073EB2" w:rsidRDefault="001A17F4" w:rsidP="002018B7">
            <w:pPr>
              <w:rPr>
                <w:sz w:val="18"/>
                <w:szCs w:val="18"/>
              </w:rPr>
            </w:pPr>
            <w:r w:rsidRPr="00073EB2">
              <w:rPr>
                <w:sz w:val="18"/>
                <w:szCs w:val="18"/>
              </w:rPr>
              <w:t xml:space="preserve">    Текущи</w:t>
            </w:r>
          </w:p>
        </w:tc>
        <w:tc>
          <w:tcPr>
            <w:tcW w:w="992"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38 960,3</w:t>
            </w:r>
          </w:p>
        </w:tc>
        <w:tc>
          <w:tcPr>
            <w:tcW w:w="1087"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17 371,3</w:t>
            </w:r>
          </w:p>
        </w:tc>
        <w:tc>
          <w:tcPr>
            <w:tcW w:w="1252" w:type="dxa"/>
            <w:tcBorders>
              <w:top w:val="nil"/>
              <w:left w:val="nil"/>
              <w:bottom w:val="nil"/>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16 919,2</w:t>
            </w:r>
          </w:p>
        </w:tc>
        <w:tc>
          <w:tcPr>
            <w:tcW w:w="1199" w:type="dxa"/>
            <w:tcBorders>
              <w:top w:val="nil"/>
              <w:left w:val="nil"/>
              <w:bottom w:val="nil"/>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452,1</w:t>
            </w:r>
          </w:p>
        </w:tc>
        <w:tc>
          <w:tcPr>
            <w:tcW w:w="1300" w:type="dxa"/>
            <w:tcBorders>
              <w:top w:val="nil"/>
              <w:left w:val="nil"/>
              <w:bottom w:val="nil"/>
              <w:right w:val="single" w:sz="8" w:space="0" w:color="auto"/>
            </w:tcBorders>
            <w:shd w:val="clear" w:color="auto" w:fill="auto"/>
            <w:noWrap/>
            <w:vAlign w:val="bottom"/>
            <w:hideMark/>
          </w:tcPr>
          <w:p w:rsidR="001A17F4" w:rsidRDefault="001A17F4" w:rsidP="002018B7">
            <w:pPr>
              <w:jc w:val="right"/>
              <w:rPr>
                <w:sz w:val="18"/>
                <w:szCs w:val="18"/>
              </w:rPr>
            </w:pPr>
            <w:r>
              <w:rPr>
                <w:sz w:val="18"/>
                <w:szCs w:val="18"/>
              </w:rPr>
              <w:t>44,6%</w:t>
            </w:r>
          </w:p>
        </w:tc>
      </w:tr>
      <w:tr w:rsidR="001A17F4" w:rsidRPr="00245EC9" w:rsidTr="002018B7">
        <w:trPr>
          <w:trHeight w:val="255"/>
        </w:trPr>
        <w:tc>
          <w:tcPr>
            <w:tcW w:w="4263" w:type="dxa"/>
            <w:tcBorders>
              <w:top w:val="nil"/>
              <w:left w:val="single" w:sz="8" w:space="0" w:color="auto"/>
              <w:bottom w:val="nil"/>
              <w:right w:val="nil"/>
            </w:tcBorders>
            <w:shd w:val="clear" w:color="auto" w:fill="auto"/>
            <w:noWrap/>
            <w:vAlign w:val="bottom"/>
          </w:tcPr>
          <w:p w:rsidR="001A17F4" w:rsidRPr="00073EB2" w:rsidRDefault="001A17F4" w:rsidP="002018B7">
            <w:pPr>
              <w:rPr>
                <w:sz w:val="18"/>
                <w:szCs w:val="18"/>
              </w:rPr>
            </w:pPr>
            <w:r w:rsidRPr="00073EB2">
              <w:rPr>
                <w:sz w:val="18"/>
                <w:szCs w:val="18"/>
                <w:lang w:val="en-US"/>
              </w:rPr>
              <w:t xml:space="preserve">    </w:t>
            </w:r>
            <w:r w:rsidRPr="00073EB2">
              <w:rPr>
                <w:sz w:val="18"/>
                <w:szCs w:val="18"/>
              </w:rPr>
              <w:t xml:space="preserve">Предоставени </w:t>
            </w:r>
            <w:proofErr w:type="spellStart"/>
            <w:r w:rsidRPr="00073EB2">
              <w:rPr>
                <w:sz w:val="18"/>
                <w:szCs w:val="18"/>
              </w:rPr>
              <w:t>тек</w:t>
            </w:r>
            <w:proofErr w:type="spellEnd"/>
            <w:r w:rsidRPr="00073EB2">
              <w:rPr>
                <w:sz w:val="18"/>
                <w:szCs w:val="18"/>
              </w:rPr>
              <w:t xml:space="preserve">. и </w:t>
            </w:r>
            <w:proofErr w:type="spellStart"/>
            <w:r w:rsidRPr="00073EB2">
              <w:rPr>
                <w:sz w:val="18"/>
                <w:szCs w:val="18"/>
              </w:rPr>
              <w:t>капит</w:t>
            </w:r>
            <w:proofErr w:type="spellEnd"/>
            <w:r w:rsidRPr="00073EB2">
              <w:rPr>
                <w:sz w:val="18"/>
                <w:szCs w:val="18"/>
              </w:rPr>
              <w:t>. трансфери за чужбина</w:t>
            </w:r>
          </w:p>
        </w:tc>
        <w:tc>
          <w:tcPr>
            <w:tcW w:w="992" w:type="dxa"/>
            <w:tcBorders>
              <w:top w:val="nil"/>
              <w:left w:val="nil"/>
              <w:bottom w:val="nil"/>
              <w:right w:val="nil"/>
            </w:tcBorders>
            <w:shd w:val="clear" w:color="auto" w:fill="auto"/>
            <w:noWrap/>
            <w:vAlign w:val="bottom"/>
          </w:tcPr>
          <w:p w:rsidR="001A17F4" w:rsidRPr="00245EC9" w:rsidRDefault="001A17F4" w:rsidP="002018B7">
            <w:pPr>
              <w:jc w:val="right"/>
              <w:rPr>
                <w:color w:val="4F81BD" w:themeColor="accent1"/>
                <w:sz w:val="18"/>
                <w:szCs w:val="18"/>
              </w:rPr>
            </w:pPr>
            <w:r w:rsidRPr="00F17B97">
              <w:rPr>
                <w:sz w:val="18"/>
                <w:szCs w:val="18"/>
              </w:rPr>
              <w:t>29,5</w:t>
            </w:r>
          </w:p>
        </w:tc>
        <w:tc>
          <w:tcPr>
            <w:tcW w:w="1087" w:type="dxa"/>
            <w:tcBorders>
              <w:top w:val="nil"/>
              <w:left w:val="nil"/>
              <w:bottom w:val="nil"/>
              <w:right w:val="nil"/>
            </w:tcBorders>
            <w:shd w:val="clear" w:color="auto" w:fill="auto"/>
            <w:noWrap/>
            <w:vAlign w:val="bottom"/>
          </w:tcPr>
          <w:p w:rsidR="001A17F4" w:rsidRDefault="001A17F4" w:rsidP="002018B7">
            <w:pPr>
              <w:jc w:val="right"/>
              <w:rPr>
                <w:sz w:val="18"/>
                <w:szCs w:val="18"/>
              </w:rPr>
            </w:pPr>
            <w:r>
              <w:rPr>
                <w:sz w:val="18"/>
                <w:szCs w:val="18"/>
              </w:rPr>
              <w:t>14,5</w:t>
            </w:r>
          </w:p>
        </w:tc>
        <w:tc>
          <w:tcPr>
            <w:tcW w:w="1252" w:type="dxa"/>
            <w:tcBorders>
              <w:top w:val="nil"/>
              <w:left w:val="nil"/>
              <w:bottom w:val="nil"/>
              <w:right w:val="nil"/>
            </w:tcBorders>
            <w:shd w:val="clear" w:color="auto" w:fill="auto"/>
            <w:noWrap/>
            <w:vAlign w:val="bottom"/>
          </w:tcPr>
          <w:p w:rsidR="001A17F4" w:rsidRDefault="001A17F4" w:rsidP="002018B7">
            <w:pPr>
              <w:jc w:val="right"/>
              <w:rPr>
                <w:color w:val="000000"/>
                <w:sz w:val="18"/>
                <w:szCs w:val="18"/>
              </w:rPr>
            </w:pPr>
            <w:r>
              <w:rPr>
                <w:color w:val="000000"/>
                <w:sz w:val="18"/>
                <w:szCs w:val="18"/>
              </w:rPr>
              <w:t>4,6</w:t>
            </w:r>
          </w:p>
        </w:tc>
        <w:tc>
          <w:tcPr>
            <w:tcW w:w="1199" w:type="dxa"/>
            <w:tcBorders>
              <w:top w:val="nil"/>
              <w:left w:val="nil"/>
              <w:bottom w:val="nil"/>
              <w:right w:val="nil"/>
            </w:tcBorders>
            <w:shd w:val="clear" w:color="auto" w:fill="auto"/>
            <w:noWrap/>
            <w:vAlign w:val="bottom"/>
          </w:tcPr>
          <w:p w:rsidR="001A17F4" w:rsidRDefault="001A17F4" w:rsidP="002018B7">
            <w:pPr>
              <w:jc w:val="right"/>
              <w:rPr>
                <w:color w:val="000000"/>
                <w:sz w:val="18"/>
                <w:szCs w:val="18"/>
              </w:rPr>
            </w:pPr>
            <w:r>
              <w:rPr>
                <w:color w:val="000000"/>
                <w:sz w:val="18"/>
                <w:szCs w:val="18"/>
              </w:rPr>
              <w:t>9,8</w:t>
            </w:r>
          </w:p>
        </w:tc>
        <w:tc>
          <w:tcPr>
            <w:tcW w:w="1300" w:type="dxa"/>
            <w:tcBorders>
              <w:top w:val="nil"/>
              <w:left w:val="nil"/>
              <w:bottom w:val="nil"/>
              <w:right w:val="single" w:sz="8" w:space="0" w:color="auto"/>
            </w:tcBorders>
            <w:shd w:val="clear" w:color="auto" w:fill="auto"/>
            <w:noWrap/>
            <w:vAlign w:val="bottom"/>
          </w:tcPr>
          <w:p w:rsidR="001A17F4" w:rsidRDefault="001A17F4" w:rsidP="002018B7">
            <w:pPr>
              <w:jc w:val="right"/>
              <w:rPr>
                <w:sz w:val="18"/>
                <w:szCs w:val="18"/>
              </w:rPr>
            </w:pPr>
            <w:r>
              <w:rPr>
                <w:sz w:val="18"/>
                <w:szCs w:val="18"/>
              </w:rPr>
              <w:t>49,1%</w:t>
            </w:r>
          </w:p>
        </w:tc>
      </w:tr>
      <w:tr w:rsidR="001A17F4" w:rsidRPr="00245EC9" w:rsidTr="002018B7">
        <w:trPr>
          <w:trHeight w:val="255"/>
        </w:trPr>
        <w:tc>
          <w:tcPr>
            <w:tcW w:w="4263" w:type="dxa"/>
            <w:tcBorders>
              <w:top w:val="nil"/>
              <w:left w:val="single" w:sz="8" w:space="0" w:color="auto"/>
              <w:bottom w:val="nil"/>
              <w:right w:val="nil"/>
            </w:tcBorders>
            <w:shd w:val="clear" w:color="auto" w:fill="auto"/>
            <w:noWrap/>
            <w:vAlign w:val="bottom"/>
            <w:hideMark/>
          </w:tcPr>
          <w:p w:rsidR="001A17F4" w:rsidRPr="00073EB2" w:rsidRDefault="001A17F4" w:rsidP="002018B7">
            <w:pPr>
              <w:rPr>
                <w:sz w:val="18"/>
                <w:szCs w:val="18"/>
              </w:rPr>
            </w:pPr>
            <w:r w:rsidRPr="00073EB2">
              <w:rPr>
                <w:sz w:val="18"/>
                <w:szCs w:val="18"/>
              </w:rPr>
              <w:t xml:space="preserve">    Капиталови</w:t>
            </w:r>
          </w:p>
        </w:tc>
        <w:tc>
          <w:tcPr>
            <w:tcW w:w="992"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6 574,2</w:t>
            </w:r>
          </w:p>
        </w:tc>
        <w:tc>
          <w:tcPr>
            <w:tcW w:w="1087"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1 380,4</w:t>
            </w:r>
          </w:p>
        </w:tc>
        <w:tc>
          <w:tcPr>
            <w:tcW w:w="1252" w:type="dxa"/>
            <w:tcBorders>
              <w:top w:val="nil"/>
              <w:left w:val="nil"/>
              <w:bottom w:val="nil"/>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535,0</w:t>
            </w:r>
          </w:p>
        </w:tc>
        <w:tc>
          <w:tcPr>
            <w:tcW w:w="1199" w:type="dxa"/>
            <w:tcBorders>
              <w:top w:val="nil"/>
              <w:left w:val="nil"/>
              <w:bottom w:val="nil"/>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845,3</w:t>
            </w:r>
          </w:p>
        </w:tc>
        <w:tc>
          <w:tcPr>
            <w:tcW w:w="1300" w:type="dxa"/>
            <w:tcBorders>
              <w:top w:val="nil"/>
              <w:left w:val="nil"/>
              <w:bottom w:val="nil"/>
              <w:right w:val="single" w:sz="8" w:space="0" w:color="auto"/>
            </w:tcBorders>
            <w:shd w:val="clear" w:color="auto" w:fill="auto"/>
            <w:noWrap/>
            <w:vAlign w:val="bottom"/>
            <w:hideMark/>
          </w:tcPr>
          <w:p w:rsidR="001A17F4" w:rsidRDefault="001A17F4" w:rsidP="002018B7">
            <w:pPr>
              <w:jc w:val="right"/>
              <w:rPr>
                <w:sz w:val="18"/>
                <w:szCs w:val="18"/>
              </w:rPr>
            </w:pPr>
            <w:r>
              <w:rPr>
                <w:sz w:val="18"/>
                <w:szCs w:val="18"/>
              </w:rPr>
              <w:t>21,0%</w:t>
            </w:r>
          </w:p>
        </w:tc>
      </w:tr>
      <w:tr w:rsidR="001A17F4" w:rsidRPr="00245EC9" w:rsidTr="002018B7">
        <w:trPr>
          <w:trHeight w:val="255"/>
        </w:trPr>
        <w:tc>
          <w:tcPr>
            <w:tcW w:w="4263" w:type="dxa"/>
            <w:tcBorders>
              <w:top w:val="nil"/>
              <w:left w:val="single" w:sz="8" w:space="0" w:color="auto"/>
              <w:bottom w:val="nil"/>
              <w:right w:val="nil"/>
            </w:tcBorders>
            <w:shd w:val="clear" w:color="auto" w:fill="auto"/>
            <w:noWrap/>
            <w:vAlign w:val="bottom"/>
            <w:hideMark/>
          </w:tcPr>
          <w:p w:rsidR="001A17F4" w:rsidRPr="00073EB2" w:rsidRDefault="001A17F4" w:rsidP="002018B7">
            <w:pPr>
              <w:rPr>
                <w:sz w:val="18"/>
                <w:szCs w:val="18"/>
              </w:rPr>
            </w:pPr>
            <w:r w:rsidRPr="00073EB2">
              <w:rPr>
                <w:sz w:val="18"/>
                <w:szCs w:val="18"/>
              </w:rPr>
              <w:t xml:space="preserve">           в т.ч. нетен прираст на държавния резерв</w:t>
            </w:r>
          </w:p>
        </w:tc>
        <w:tc>
          <w:tcPr>
            <w:tcW w:w="992"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19,2</w:t>
            </w:r>
          </w:p>
        </w:tc>
        <w:tc>
          <w:tcPr>
            <w:tcW w:w="1087"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-9,8</w:t>
            </w:r>
          </w:p>
        </w:tc>
        <w:tc>
          <w:tcPr>
            <w:tcW w:w="1252" w:type="dxa"/>
            <w:tcBorders>
              <w:top w:val="nil"/>
              <w:left w:val="nil"/>
              <w:bottom w:val="nil"/>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-9,8</w:t>
            </w:r>
          </w:p>
        </w:tc>
        <w:tc>
          <w:tcPr>
            <w:tcW w:w="1199" w:type="dxa"/>
            <w:tcBorders>
              <w:top w:val="nil"/>
              <w:left w:val="nil"/>
              <w:bottom w:val="nil"/>
              <w:right w:val="nil"/>
            </w:tcBorders>
            <w:shd w:val="clear" w:color="auto" w:fill="auto"/>
            <w:noWrap/>
            <w:vAlign w:val="bottom"/>
          </w:tcPr>
          <w:p w:rsidR="001A17F4" w:rsidRDefault="001A17F4" w:rsidP="002018B7">
            <w:pPr>
              <w:jc w:val="right"/>
              <w:rPr>
                <w:color w:val="000000"/>
                <w:sz w:val="18"/>
                <w:szCs w:val="18"/>
              </w:rPr>
            </w:pPr>
          </w:p>
        </w:tc>
        <w:tc>
          <w:tcPr>
            <w:tcW w:w="1300" w:type="dxa"/>
            <w:tcBorders>
              <w:top w:val="nil"/>
              <w:left w:val="nil"/>
              <w:bottom w:val="nil"/>
              <w:right w:val="single" w:sz="8" w:space="0" w:color="auto"/>
            </w:tcBorders>
            <w:shd w:val="clear" w:color="auto" w:fill="auto"/>
            <w:noWrap/>
            <w:vAlign w:val="bottom"/>
          </w:tcPr>
          <w:p w:rsidR="001A17F4" w:rsidRDefault="001A17F4" w:rsidP="002018B7">
            <w:pPr>
              <w:jc w:val="right"/>
              <w:rPr>
                <w:sz w:val="18"/>
                <w:szCs w:val="18"/>
              </w:rPr>
            </w:pPr>
          </w:p>
        </w:tc>
      </w:tr>
      <w:tr w:rsidR="001A17F4" w:rsidRPr="00245EC9" w:rsidTr="002018B7">
        <w:trPr>
          <w:trHeight w:val="255"/>
        </w:trPr>
        <w:tc>
          <w:tcPr>
            <w:tcW w:w="4263" w:type="dxa"/>
            <w:tcBorders>
              <w:top w:val="nil"/>
              <w:left w:val="single" w:sz="8" w:space="0" w:color="auto"/>
              <w:bottom w:val="nil"/>
              <w:right w:val="nil"/>
            </w:tcBorders>
            <w:shd w:val="clear" w:color="auto" w:fill="auto"/>
            <w:noWrap/>
            <w:vAlign w:val="bottom"/>
            <w:hideMark/>
          </w:tcPr>
          <w:p w:rsidR="001A17F4" w:rsidRPr="00073EB2" w:rsidRDefault="001A17F4" w:rsidP="002018B7">
            <w:pPr>
              <w:rPr>
                <w:sz w:val="18"/>
                <w:szCs w:val="18"/>
              </w:rPr>
            </w:pPr>
            <w:r w:rsidRPr="00073EB2">
              <w:rPr>
                <w:sz w:val="18"/>
                <w:szCs w:val="18"/>
              </w:rPr>
              <w:t xml:space="preserve">  Лихвени</w:t>
            </w:r>
          </w:p>
        </w:tc>
        <w:tc>
          <w:tcPr>
            <w:tcW w:w="992"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724,9</w:t>
            </w:r>
          </w:p>
        </w:tc>
        <w:tc>
          <w:tcPr>
            <w:tcW w:w="1087"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363,4</w:t>
            </w:r>
          </w:p>
        </w:tc>
        <w:tc>
          <w:tcPr>
            <w:tcW w:w="1252" w:type="dxa"/>
            <w:tcBorders>
              <w:top w:val="nil"/>
              <w:left w:val="nil"/>
              <w:bottom w:val="nil"/>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363,4</w:t>
            </w:r>
          </w:p>
        </w:tc>
        <w:tc>
          <w:tcPr>
            <w:tcW w:w="1199" w:type="dxa"/>
            <w:tcBorders>
              <w:top w:val="nil"/>
              <w:left w:val="nil"/>
              <w:bottom w:val="nil"/>
              <w:right w:val="nil"/>
            </w:tcBorders>
            <w:shd w:val="clear" w:color="auto" w:fill="auto"/>
            <w:noWrap/>
            <w:vAlign w:val="bottom"/>
          </w:tcPr>
          <w:p w:rsidR="001A17F4" w:rsidRDefault="001A17F4" w:rsidP="002018B7">
            <w:pPr>
              <w:jc w:val="right"/>
              <w:rPr>
                <w:color w:val="000000"/>
                <w:sz w:val="18"/>
                <w:szCs w:val="18"/>
              </w:rPr>
            </w:pPr>
          </w:p>
        </w:tc>
        <w:tc>
          <w:tcPr>
            <w:tcW w:w="1300" w:type="dxa"/>
            <w:tcBorders>
              <w:top w:val="nil"/>
              <w:left w:val="nil"/>
              <w:bottom w:val="nil"/>
              <w:right w:val="single" w:sz="8" w:space="0" w:color="auto"/>
            </w:tcBorders>
            <w:shd w:val="clear" w:color="auto" w:fill="auto"/>
            <w:noWrap/>
            <w:vAlign w:val="bottom"/>
            <w:hideMark/>
          </w:tcPr>
          <w:p w:rsidR="001A17F4" w:rsidRDefault="001A17F4" w:rsidP="002018B7">
            <w:pPr>
              <w:jc w:val="right"/>
              <w:rPr>
                <w:sz w:val="18"/>
                <w:szCs w:val="18"/>
              </w:rPr>
            </w:pPr>
            <w:r>
              <w:rPr>
                <w:sz w:val="18"/>
                <w:szCs w:val="18"/>
              </w:rPr>
              <w:t>50,1%</w:t>
            </w:r>
          </w:p>
        </w:tc>
      </w:tr>
      <w:tr w:rsidR="001A17F4" w:rsidRPr="00245EC9" w:rsidTr="002018B7">
        <w:trPr>
          <w:trHeight w:val="255"/>
        </w:trPr>
        <w:tc>
          <w:tcPr>
            <w:tcW w:w="4263" w:type="dxa"/>
            <w:tcBorders>
              <w:top w:val="nil"/>
              <w:left w:val="single" w:sz="8" w:space="0" w:color="auto"/>
              <w:bottom w:val="nil"/>
              <w:right w:val="nil"/>
            </w:tcBorders>
            <w:shd w:val="clear" w:color="auto" w:fill="auto"/>
            <w:noWrap/>
            <w:vAlign w:val="bottom"/>
            <w:hideMark/>
          </w:tcPr>
          <w:p w:rsidR="001A17F4" w:rsidRPr="00073EB2" w:rsidRDefault="001A17F4" w:rsidP="002018B7">
            <w:pPr>
              <w:rPr>
                <w:sz w:val="18"/>
                <w:szCs w:val="18"/>
              </w:rPr>
            </w:pPr>
            <w:r w:rsidRPr="00073EB2">
              <w:rPr>
                <w:sz w:val="18"/>
                <w:szCs w:val="18"/>
              </w:rPr>
              <w:t xml:space="preserve">  Резерв за неотложни и непредвидени разходи</w:t>
            </w:r>
          </w:p>
        </w:tc>
        <w:tc>
          <w:tcPr>
            <w:tcW w:w="992" w:type="dxa"/>
            <w:tcBorders>
              <w:top w:val="nil"/>
              <w:left w:val="nil"/>
              <w:bottom w:val="nil"/>
              <w:right w:val="nil"/>
            </w:tcBorders>
            <w:shd w:val="clear" w:color="auto" w:fill="auto"/>
            <w:noWrap/>
            <w:vAlign w:val="bottom"/>
            <w:hideMark/>
          </w:tcPr>
          <w:p w:rsidR="001A17F4" w:rsidRDefault="001A17F4" w:rsidP="002018B7">
            <w:pPr>
              <w:jc w:val="right"/>
              <w:rPr>
                <w:sz w:val="18"/>
                <w:szCs w:val="18"/>
              </w:rPr>
            </w:pPr>
            <w:r>
              <w:rPr>
                <w:sz w:val="18"/>
                <w:szCs w:val="18"/>
              </w:rPr>
              <w:t>220,3</w:t>
            </w:r>
          </w:p>
        </w:tc>
        <w:tc>
          <w:tcPr>
            <w:tcW w:w="1087" w:type="dxa"/>
            <w:tcBorders>
              <w:top w:val="nil"/>
              <w:left w:val="nil"/>
              <w:bottom w:val="nil"/>
              <w:right w:val="nil"/>
            </w:tcBorders>
            <w:shd w:val="clear" w:color="auto" w:fill="auto"/>
            <w:noWrap/>
            <w:vAlign w:val="bottom"/>
            <w:hideMark/>
          </w:tcPr>
          <w:p w:rsidR="001A17F4" w:rsidRDefault="001A17F4" w:rsidP="002018B7">
            <w:pPr>
              <w:rPr>
                <w:sz w:val="18"/>
                <w:szCs w:val="18"/>
              </w:rPr>
            </w:pPr>
            <w:r>
              <w:rPr>
                <w:sz w:val="18"/>
                <w:szCs w:val="18"/>
              </w:rPr>
              <w:t> </w:t>
            </w:r>
          </w:p>
        </w:tc>
        <w:tc>
          <w:tcPr>
            <w:tcW w:w="1252" w:type="dxa"/>
            <w:tcBorders>
              <w:top w:val="nil"/>
              <w:left w:val="nil"/>
              <w:bottom w:val="nil"/>
              <w:right w:val="nil"/>
            </w:tcBorders>
            <w:shd w:val="clear" w:color="auto" w:fill="auto"/>
            <w:noWrap/>
            <w:vAlign w:val="bottom"/>
            <w:hideMark/>
          </w:tcPr>
          <w:p w:rsidR="001A17F4" w:rsidRDefault="001A17F4" w:rsidP="002018B7">
            <w:pPr>
              <w:rPr>
                <w:color w:val="000000"/>
                <w:sz w:val="18"/>
                <w:szCs w:val="18"/>
              </w:rPr>
            </w:pPr>
          </w:p>
        </w:tc>
        <w:tc>
          <w:tcPr>
            <w:tcW w:w="1199" w:type="dxa"/>
            <w:tcBorders>
              <w:top w:val="nil"/>
              <w:left w:val="nil"/>
              <w:bottom w:val="nil"/>
              <w:right w:val="nil"/>
            </w:tcBorders>
            <w:shd w:val="clear" w:color="auto" w:fill="auto"/>
            <w:noWrap/>
            <w:vAlign w:val="bottom"/>
          </w:tcPr>
          <w:p w:rsidR="001A17F4" w:rsidRDefault="001A17F4" w:rsidP="002018B7">
            <w:pPr>
              <w:rPr>
                <w:color w:val="000000"/>
                <w:sz w:val="18"/>
                <w:szCs w:val="18"/>
              </w:rPr>
            </w:pPr>
          </w:p>
        </w:tc>
        <w:tc>
          <w:tcPr>
            <w:tcW w:w="1300" w:type="dxa"/>
            <w:tcBorders>
              <w:top w:val="nil"/>
              <w:left w:val="nil"/>
              <w:bottom w:val="nil"/>
              <w:right w:val="single" w:sz="8" w:space="0" w:color="auto"/>
            </w:tcBorders>
            <w:shd w:val="clear" w:color="auto" w:fill="auto"/>
            <w:noWrap/>
            <w:vAlign w:val="bottom"/>
            <w:hideMark/>
          </w:tcPr>
          <w:p w:rsidR="001A17F4" w:rsidRDefault="001A17F4" w:rsidP="002018B7">
            <w:pPr>
              <w:rPr>
                <w:sz w:val="18"/>
                <w:szCs w:val="18"/>
              </w:rPr>
            </w:pPr>
            <w:r>
              <w:rPr>
                <w:sz w:val="18"/>
                <w:szCs w:val="18"/>
              </w:rPr>
              <w:t> </w:t>
            </w:r>
          </w:p>
        </w:tc>
      </w:tr>
      <w:tr w:rsidR="001A17F4" w:rsidRPr="00245EC9" w:rsidTr="002018B7">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1A17F4" w:rsidRPr="00073EB2" w:rsidRDefault="001A17F4" w:rsidP="002018B7">
            <w:pPr>
              <w:rPr>
                <w:sz w:val="18"/>
                <w:szCs w:val="18"/>
              </w:rPr>
            </w:pPr>
            <w:r w:rsidRPr="00073EB2">
              <w:rPr>
                <w:sz w:val="18"/>
                <w:szCs w:val="18"/>
              </w:rPr>
              <w:t xml:space="preserve">  Вноска за общия бюджет на ЕС</w:t>
            </w:r>
          </w:p>
        </w:tc>
        <w:tc>
          <w:tcPr>
            <w:tcW w:w="992" w:type="dxa"/>
            <w:tcBorders>
              <w:top w:val="nil"/>
              <w:left w:val="nil"/>
              <w:bottom w:val="single" w:sz="4" w:space="0" w:color="auto"/>
              <w:right w:val="nil"/>
            </w:tcBorders>
            <w:shd w:val="clear" w:color="auto" w:fill="auto"/>
            <w:noWrap/>
            <w:vAlign w:val="bottom"/>
            <w:hideMark/>
          </w:tcPr>
          <w:p w:rsidR="001A17F4" w:rsidRDefault="001A17F4" w:rsidP="002018B7">
            <w:pPr>
              <w:jc w:val="right"/>
              <w:rPr>
                <w:sz w:val="18"/>
                <w:szCs w:val="18"/>
              </w:rPr>
            </w:pPr>
            <w:r>
              <w:rPr>
                <w:sz w:val="18"/>
                <w:szCs w:val="18"/>
              </w:rPr>
              <w:t>1 397,4</w:t>
            </w:r>
          </w:p>
        </w:tc>
        <w:tc>
          <w:tcPr>
            <w:tcW w:w="1087" w:type="dxa"/>
            <w:tcBorders>
              <w:top w:val="nil"/>
              <w:left w:val="nil"/>
              <w:bottom w:val="single" w:sz="4" w:space="0" w:color="auto"/>
              <w:right w:val="nil"/>
            </w:tcBorders>
            <w:shd w:val="clear" w:color="auto" w:fill="auto"/>
            <w:noWrap/>
            <w:vAlign w:val="bottom"/>
            <w:hideMark/>
          </w:tcPr>
          <w:p w:rsidR="001A17F4" w:rsidRDefault="001A17F4" w:rsidP="002018B7">
            <w:pPr>
              <w:jc w:val="right"/>
              <w:rPr>
                <w:sz w:val="18"/>
                <w:szCs w:val="18"/>
              </w:rPr>
            </w:pPr>
            <w:r>
              <w:rPr>
                <w:sz w:val="18"/>
                <w:szCs w:val="18"/>
              </w:rPr>
              <w:t>688,6</w:t>
            </w:r>
          </w:p>
        </w:tc>
        <w:tc>
          <w:tcPr>
            <w:tcW w:w="1252" w:type="dxa"/>
            <w:tcBorders>
              <w:top w:val="nil"/>
              <w:left w:val="nil"/>
              <w:bottom w:val="single" w:sz="4" w:space="0" w:color="auto"/>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688,6</w:t>
            </w:r>
          </w:p>
        </w:tc>
        <w:tc>
          <w:tcPr>
            <w:tcW w:w="1199" w:type="dxa"/>
            <w:tcBorders>
              <w:top w:val="nil"/>
              <w:left w:val="nil"/>
              <w:bottom w:val="single" w:sz="4" w:space="0" w:color="auto"/>
              <w:right w:val="nil"/>
            </w:tcBorders>
            <w:shd w:val="clear" w:color="auto" w:fill="auto"/>
            <w:noWrap/>
            <w:vAlign w:val="bottom"/>
          </w:tcPr>
          <w:p w:rsidR="001A17F4" w:rsidRDefault="001A17F4" w:rsidP="002018B7">
            <w:pPr>
              <w:jc w:val="right"/>
              <w:rPr>
                <w:color w:val="000000"/>
                <w:sz w:val="18"/>
                <w:szCs w:val="18"/>
              </w:rPr>
            </w:pPr>
            <w:r>
              <w:rPr>
                <w:color w:val="000000"/>
                <w:sz w:val="18"/>
                <w:szCs w:val="18"/>
              </w:rPr>
              <w:t>0,</w:t>
            </w:r>
            <w:proofErr w:type="spellStart"/>
            <w:r>
              <w:rPr>
                <w:color w:val="000000"/>
                <w:sz w:val="18"/>
                <w:szCs w:val="18"/>
              </w:rPr>
              <w:t>0</w:t>
            </w:r>
            <w:proofErr w:type="spellEnd"/>
          </w:p>
        </w:tc>
        <w:tc>
          <w:tcPr>
            <w:tcW w:w="1300" w:type="dxa"/>
            <w:tcBorders>
              <w:top w:val="nil"/>
              <w:left w:val="nil"/>
              <w:bottom w:val="single" w:sz="4" w:space="0" w:color="auto"/>
              <w:right w:val="single" w:sz="8" w:space="0" w:color="auto"/>
            </w:tcBorders>
            <w:shd w:val="clear" w:color="auto" w:fill="auto"/>
            <w:noWrap/>
            <w:vAlign w:val="bottom"/>
            <w:hideMark/>
          </w:tcPr>
          <w:p w:rsidR="001A17F4" w:rsidRDefault="001A17F4" w:rsidP="002018B7">
            <w:pPr>
              <w:jc w:val="right"/>
              <w:rPr>
                <w:sz w:val="18"/>
                <w:szCs w:val="18"/>
              </w:rPr>
            </w:pPr>
            <w:r>
              <w:rPr>
                <w:sz w:val="18"/>
                <w:szCs w:val="18"/>
              </w:rPr>
              <w:t>49,3%</w:t>
            </w:r>
          </w:p>
        </w:tc>
      </w:tr>
      <w:tr w:rsidR="001A17F4" w:rsidRPr="00245EC9" w:rsidTr="002018B7">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1A17F4" w:rsidRPr="00073EB2" w:rsidRDefault="001A17F4" w:rsidP="002018B7">
            <w:pPr>
              <w:rPr>
                <w:sz w:val="18"/>
                <w:szCs w:val="18"/>
              </w:rPr>
            </w:pPr>
            <w:r w:rsidRPr="00073EB2">
              <w:rPr>
                <w:sz w:val="18"/>
                <w:szCs w:val="18"/>
              </w:rPr>
              <w:t>Трансфери</w:t>
            </w:r>
            <w:r w:rsidRPr="00073EB2">
              <w:rPr>
                <w:sz w:val="18"/>
                <w:szCs w:val="18"/>
                <w:lang w:val="en-US"/>
              </w:rPr>
              <w:t xml:space="preserve"> </w:t>
            </w:r>
            <w:r w:rsidRPr="00073EB2">
              <w:rPr>
                <w:sz w:val="18"/>
                <w:szCs w:val="18"/>
              </w:rPr>
              <w:t>-</w:t>
            </w:r>
            <w:r w:rsidRPr="00073EB2">
              <w:rPr>
                <w:sz w:val="18"/>
                <w:szCs w:val="18"/>
                <w:lang w:val="en-US"/>
              </w:rPr>
              <w:t xml:space="preserve"> </w:t>
            </w:r>
            <w:r w:rsidRPr="00073EB2">
              <w:rPr>
                <w:sz w:val="18"/>
                <w:szCs w:val="18"/>
              </w:rPr>
              <w:t>нето</w:t>
            </w:r>
          </w:p>
        </w:tc>
        <w:tc>
          <w:tcPr>
            <w:tcW w:w="992" w:type="dxa"/>
            <w:tcBorders>
              <w:top w:val="nil"/>
              <w:left w:val="nil"/>
              <w:bottom w:val="single" w:sz="4" w:space="0" w:color="auto"/>
              <w:right w:val="nil"/>
            </w:tcBorders>
            <w:shd w:val="clear" w:color="auto" w:fill="auto"/>
            <w:noWrap/>
            <w:vAlign w:val="bottom"/>
            <w:hideMark/>
          </w:tcPr>
          <w:p w:rsidR="001A17F4" w:rsidRDefault="001A17F4" w:rsidP="002018B7">
            <w:pPr>
              <w:rPr>
                <w:color w:val="538DD5"/>
                <w:sz w:val="18"/>
                <w:szCs w:val="18"/>
              </w:rPr>
            </w:pPr>
          </w:p>
        </w:tc>
        <w:tc>
          <w:tcPr>
            <w:tcW w:w="1087" w:type="dxa"/>
            <w:tcBorders>
              <w:top w:val="nil"/>
              <w:left w:val="nil"/>
              <w:bottom w:val="single" w:sz="4" w:space="0" w:color="auto"/>
              <w:right w:val="nil"/>
            </w:tcBorders>
            <w:shd w:val="clear" w:color="auto" w:fill="auto"/>
            <w:noWrap/>
            <w:vAlign w:val="bottom"/>
            <w:hideMark/>
          </w:tcPr>
          <w:p w:rsidR="001A17F4" w:rsidRDefault="001A17F4" w:rsidP="002018B7">
            <w:pPr>
              <w:jc w:val="right"/>
              <w:rPr>
                <w:b/>
                <w:bCs/>
                <w:sz w:val="18"/>
                <w:szCs w:val="18"/>
              </w:rPr>
            </w:pPr>
          </w:p>
        </w:tc>
        <w:tc>
          <w:tcPr>
            <w:tcW w:w="1252" w:type="dxa"/>
            <w:tcBorders>
              <w:top w:val="nil"/>
              <w:left w:val="nil"/>
              <w:bottom w:val="single" w:sz="4" w:space="0" w:color="auto"/>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-285,6</w:t>
            </w:r>
          </w:p>
        </w:tc>
        <w:tc>
          <w:tcPr>
            <w:tcW w:w="1199" w:type="dxa"/>
            <w:tcBorders>
              <w:top w:val="nil"/>
              <w:left w:val="nil"/>
              <w:bottom w:val="single" w:sz="4" w:space="0" w:color="auto"/>
              <w:right w:val="nil"/>
            </w:tcBorders>
            <w:shd w:val="clear" w:color="auto" w:fill="auto"/>
            <w:noWrap/>
            <w:vAlign w:val="bottom"/>
            <w:hideMark/>
          </w:tcPr>
          <w:p w:rsidR="001A17F4" w:rsidRDefault="001A17F4" w:rsidP="002018B7">
            <w:pPr>
              <w:jc w:val="right"/>
              <w:rPr>
                <w:color w:val="000000"/>
                <w:sz w:val="18"/>
                <w:szCs w:val="18"/>
              </w:rPr>
            </w:pPr>
            <w:r>
              <w:rPr>
                <w:color w:val="000000"/>
                <w:sz w:val="18"/>
                <w:szCs w:val="18"/>
              </w:rPr>
              <w:t>285,6</w:t>
            </w:r>
          </w:p>
        </w:tc>
        <w:tc>
          <w:tcPr>
            <w:tcW w:w="1300" w:type="dxa"/>
            <w:tcBorders>
              <w:top w:val="nil"/>
              <w:left w:val="nil"/>
              <w:bottom w:val="single" w:sz="4" w:space="0" w:color="auto"/>
              <w:right w:val="single" w:sz="8" w:space="0" w:color="auto"/>
            </w:tcBorders>
            <w:shd w:val="clear" w:color="auto" w:fill="auto"/>
            <w:noWrap/>
            <w:vAlign w:val="bottom"/>
            <w:hideMark/>
          </w:tcPr>
          <w:p w:rsidR="001A17F4" w:rsidRDefault="001A17F4" w:rsidP="002018B7">
            <w:pPr>
              <w:rPr>
                <w:b/>
                <w:bCs/>
                <w:sz w:val="18"/>
                <w:szCs w:val="18"/>
              </w:rPr>
            </w:pPr>
            <w:r>
              <w:rPr>
                <w:b/>
                <w:bCs/>
                <w:sz w:val="18"/>
                <w:szCs w:val="18"/>
              </w:rPr>
              <w:t> </w:t>
            </w:r>
          </w:p>
        </w:tc>
      </w:tr>
      <w:tr w:rsidR="001A17F4" w:rsidRPr="00245EC9" w:rsidTr="002018B7">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1A17F4" w:rsidRPr="00073EB2" w:rsidRDefault="001A17F4" w:rsidP="002018B7">
            <w:pPr>
              <w:rPr>
                <w:b/>
                <w:bCs/>
                <w:sz w:val="18"/>
                <w:szCs w:val="18"/>
              </w:rPr>
            </w:pPr>
            <w:r w:rsidRPr="00073EB2">
              <w:rPr>
                <w:b/>
                <w:bCs/>
                <w:sz w:val="18"/>
                <w:szCs w:val="18"/>
              </w:rPr>
              <w:t>БЮДЖЕТНО САЛДО</w:t>
            </w:r>
          </w:p>
        </w:tc>
        <w:tc>
          <w:tcPr>
            <w:tcW w:w="992" w:type="dxa"/>
            <w:tcBorders>
              <w:top w:val="nil"/>
              <w:left w:val="nil"/>
              <w:bottom w:val="single" w:sz="8" w:space="0" w:color="auto"/>
              <w:right w:val="nil"/>
            </w:tcBorders>
            <w:shd w:val="clear" w:color="000000" w:fill="D9D9D9"/>
            <w:noWrap/>
            <w:vAlign w:val="bottom"/>
            <w:hideMark/>
          </w:tcPr>
          <w:p w:rsidR="001A17F4" w:rsidRDefault="001A17F4" w:rsidP="002018B7">
            <w:pPr>
              <w:jc w:val="right"/>
              <w:rPr>
                <w:b/>
                <w:bCs/>
                <w:sz w:val="18"/>
                <w:szCs w:val="18"/>
              </w:rPr>
            </w:pPr>
            <w:r>
              <w:rPr>
                <w:b/>
                <w:bCs/>
                <w:sz w:val="18"/>
                <w:szCs w:val="18"/>
              </w:rPr>
              <w:t>-3 513,8</w:t>
            </w:r>
          </w:p>
        </w:tc>
        <w:tc>
          <w:tcPr>
            <w:tcW w:w="1087" w:type="dxa"/>
            <w:tcBorders>
              <w:top w:val="nil"/>
              <w:left w:val="nil"/>
              <w:bottom w:val="single" w:sz="8" w:space="0" w:color="auto"/>
              <w:right w:val="nil"/>
            </w:tcBorders>
            <w:shd w:val="clear" w:color="000000" w:fill="D9D9D9"/>
            <w:noWrap/>
            <w:vAlign w:val="bottom"/>
            <w:hideMark/>
          </w:tcPr>
          <w:p w:rsidR="001A17F4" w:rsidRDefault="001A17F4" w:rsidP="002018B7">
            <w:pPr>
              <w:jc w:val="right"/>
              <w:rPr>
                <w:b/>
                <w:bCs/>
                <w:sz w:val="18"/>
                <w:szCs w:val="18"/>
              </w:rPr>
            </w:pPr>
            <w:r>
              <w:rPr>
                <w:b/>
                <w:bCs/>
                <w:sz w:val="18"/>
                <w:szCs w:val="18"/>
              </w:rPr>
              <w:t>1 612,7</w:t>
            </w:r>
          </w:p>
        </w:tc>
        <w:tc>
          <w:tcPr>
            <w:tcW w:w="1252" w:type="dxa"/>
            <w:tcBorders>
              <w:top w:val="nil"/>
              <w:left w:val="nil"/>
              <w:bottom w:val="single" w:sz="8" w:space="0" w:color="auto"/>
              <w:right w:val="nil"/>
            </w:tcBorders>
            <w:shd w:val="clear" w:color="000000" w:fill="D9D9D9"/>
            <w:noWrap/>
            <w:vAlign w:val="bottom"/>
            <w:hideMark/>
          </w:tcPr>
          <w:p w:rsidR="001A17F4" w:rsidRDefault="001A17F4" w:rsidP="002018B7">
            <w:pPr>
              <w:jc w:val="right"/>
              <w:rPr>
                <w:b/>
                <w:bCs/>
                <w:color w:val="000000"/>
                <w:sz w:val="18"/>
                <w:szCs w:val="18"/>
              </w:rPr>
            </w:pPr>
            <w:r>
              <w:rPr>
                <w:b/>
                <w:bCs/>
                <w:color w:val="000000"/>
                <w:sz w:val="18"/>
                <w:szCs w:val="18"/>
              </w:rPr>
              <w:t>1 099,2</w:t>
            </w:r>
          </w:p>
        </w:tc>
        <w:tc>
          <w:tcPr>
            <w:tcW w:w="1199" w:type="dxa"/>
            <w:tcBorders>
              <w:top w:val="nil"/>
              <w:left w:val="nil"/>
              <w:bottom w:val="single" w:sz="8" w:space="0" w:color="auto"/>
              <w:right w:val="nil"/>
            </w:tcBorders>
            <w:shd w:val="clear" w:color="000000" w:fill="D9D9D9"/>
            <w:noWrap/>
            <w:vAlign w:val="bottom"/>
            <w:hideMark/>
          </w:tcPr>
          <w:p w:rsidR="001A17F4" w:rsidRDefault="001A17F4" w:rsidP="002018B7">
            <w:pPr>
              <w:jc w:val="right"/>
              <w:rPr>
                <w:b/>
                <w:bCs/>
                <w:color w:val="000000"/>
                <w:sz w:val="18"/>
                <w:szCs w:val="18"/>
              </w:rPr>
            </w:pPr>
            <w:r>
              <w:rPr>
                <w:b/>
                <w:bCs/>
                <w:color w:val="000000"/>
                <w:sz w:val="18"/>
                <w:szCs w:val="18"/>
              </w:rPr>
              <w:t>513,5</w:t>
            </w:r>
          </w:p>
        </w:tc>
        <w:tc>
          <w:tcPr>
            <w:tcW w:w="1300" w:type="dxa"/>
            <w:tcBorders>
              <w:top w:val="nil"/>
              <w:left w:val="nil"/>
              <w:bottom w:val="single" w:sz="8" w:space="0" w:color="auto"/>
              <w:right w:val="single" w:sz="8" w:space="0" w:color="auto"/>
            </w:tcBorders>
            <w:shd w:val="clear" w:color="000000" w:fill="D9D9D9"/>
            <w:noWrap/>
            <w:vAlign w:val="bottom"/>
            <w:hideMark/>
          </w:tcPr>
          <w:p w:rsidR="001A17F4" w:rsidRDefault="001A17F4" w:rsidP="002018B7">
            <w:pPr>
              <w:rPr>
                <w:b/>
                <w:bCs/>
                <w:sz w:val="18"/>
                <w:szCs w:val="18"/>
              </w:rPr>
            </w:pPr>
            <w:r>
              <w:rPr>
                <w:b/>
                <w:bCs/>
                <w:sz w:val="18"/>
                <w:szCs w:val="18"/>
              </w:rPr>
              <w:t> </w:t>
            </w:r>
          </w:p>
        </w:tc>
      </w:tr>
    </w:tbl>
    <w:p w:rsidR="001A17F4" w:rsidRPr="00245EC9" w:rsidRDefault="001A17F4" w:rsidP="001A17F4">
      <w:pPr>
        <w:ind w:left="360"/>
        <w:jc w:val="both"/>
        <w:rPr>
          <w:color w:val="4F81BD" w:themeColor="accent1"/>
          <w:sz w:val="22"/>
        </w:rPr>
      </w:pPr>
    </w:p>
    <w:p w:rsidR="001A17F4" w:rsidRPr="00245EC9" w:rsidRDefault="001A17F4" w:rsidP="001A17F4">
      <w:pPr>
        <w:numPr>
          <w:ilvl w:val="1"/>
          <w:numId w:val="11"/>
        </w:numPr>
        <w:tabs>
          <w:tab w:val="num" w:pos="426"/>
        </w:tabs>
        <w:ind w:left="0" w:firstLine="0"/>
        <w:jc w:val="both"/>
        <w:rPr>
          <w:rFonts w:eastAsia="Calibri"/>
          <w:color w:val="4F81BD" w:themeColor="accent1"/>
        </w:rPr>
      </w:pPr>
      <w:r w:rsidRPr="006F64DD">
        <w:rPr>
          <w:b/>
        </w:rPr>
        <w:t>Приходите, помощите и даренията по консолидираната фискална програма</w:t>
      </w:r>
      <w:r w:rsidRPr="006F64DD">
        <w:t xml:space="preserve"> (КФП) към края на</w:t>
      </w:r>
      <w:r w:rsidRPr="006F64DD">
        <w:rPr>
          <w:b/>
        </w:rPr>
        <w:t xml:space="preserve"> </w:t>
      </w:r>
      <w:r w:rsidRPr="006F64DD">
        <w:t xml:space="preserve">първото полугодие на 2020 г. са в размер на </w:t>
      </w:r>
      <w:r w:rsidRPr="006F64DD">
        <w:rPr>
          <w:b/>
          <w:bCs/>
        </w:rPr>
        <w:t>21 430,8</w:t>
      </w:r>
      <w:r w:rsidRPr="006F64DD">
        <w:rPr>
          <w:b/>
          <w:bCs/>
          <w:lang w:val="en-US"/>
        </w:rPr>
        <w:t> </w:t>
      </w:r>
      <w:r w:rsidRPr="006F64DD">
        <w:rPr>
          <w:b/>
        </w:rPr>
        <w:t>млн. лв.,</w:t>
      </w:r>
      <w:r w:rsidRPr="006F64DD">
        <w:t xml:space="preserve"> което представлява 48,3 % от годишните разчети към ЗДБРБ за 20</w:t>
      </w:r>
      <w:r w:rsidRPr="006F64DD">
        <w:rPr>
          <w:lang w:val="en-US"/>
        </w:rPr>
        <w:t>20</w:t>
      </w:r>
      <w:r w:rsidRPr="006F64DD">
        <w:t xml:space="preserve"> г. </w:t>
      </w:r>
      <w:r w:rsidRPr="006C1B10">
        <w:rPr>
          <w:rFonts w:eastAsia="Calibri"/>
        </w:rPr>
        <w:t>Съпоставени със същия период на предходната година</w:t>
      </w:r>
      <w:r w:rsidR="00A74918">
        <w:rPr>
          <w:rFonts w:eastAsia="Calibri"/>
        </w:rPr>
        <w:t>,</w:t>
      </w:r>
      <w:r w:rsidRPr="006C1B10">
        <w:rPr>
          <w:rFonts w:eastAsia="Calibri"/>
        </w:rPr>
        <w:t xml:space="preserve"> те намаляват номинално с </w:t>
      </w:r>
      <w:r w:rsidRPr="00564EC7">
        <w:rPr>
          <w:rFonts w:eastAsia="Calibri"/>
        </w:rPr>
        <w:t>855,1 млн. лв. При данъчните и неданъчните приходи се наблюдава спад с 1 274,1</w:t>
      </w:r>
      <w:r w:rsidRPr="00564EC7">
        <w:rPr>
          <w:b/>
          <w:bCs/>
          <w:lang w:val="en-US"/>
        </w:rPr>
        <w:t> </w:t>
      </w:r>
      <w:r w:rsidRPr="00564EC7">
        <w:rPr>
          <w:rFonts w:eastAsia="Calibri"/>
        </w:rPr>
        <w:t xml:space="preserve">млн. лв. (6,0 %), а постъпленията от помощи и дарения (основно </w:t>
      </w:r>
      <w:proofErr w:type="spellStart"/>
      <w:r w:rsidRPr="00564EC7">
        <w:rPr>
          <w:rFonts w:eastAsia="Calibri"/>
        </w:rPr>
        <w:t>грантове</w:t>
      </w:r>
      <w:proofErr w:type="spellEnd"/>
      <w:r w:rsidRPr="00564EC7">
        <w:rPr>
          <w:rFonts w:eastAsia="Calibri"/>
        </w:rPr>
        <w:t xml:space="preserve"> по програмите и фондовете на ЕС) са повече с 419,1 млн. лв. (36,4 %), сравнени с края на юни 2019 година</w:t>
      </w:r>
      <w:r w:rsidR="00B43287">
        <w:rPr>
          <w:rFonts w:eastAsia="Calibri"/>
        </w:rPr>
        <w:t>.</w:t>
      </w:r>
      <w:r w:rsidR="00B43287" w:rsidRPr="00B43287">
        <w:rPr>
          <w:rFonts w:eastAsia="Calibri"/>
        </w:rPr>
        <w:t xml:space="preserve"> </w:t>
      </w:r>
      <w:r w:rsidR="00ED3AA3">
        <w:rPr>
          <w:rFonts w:eastAsia="Calibri"/>
        </w:rPr>
        <w:t>Приходите се забавят в</w:t>
      </w:r>
      <w:r w:rsidR="00B43287" w:rsidRPr="00E52BC4">
        <w:rPr>
          <w:rFonts w:eastAsia="Calibri"/>
        </w:rPr>
        <w:t>следствие на негативните ефекти</w:t>
      </w:r>
      <w:r w:rsidR="00F251A5">
        <w:rPr>
          <w:rFonts w:eastAsia="Calibri"/>
        </w:rPr>
        <w:t xml:space="preserve"> от кризата</w:t>
      </w:r>
      <w:r w:rsidR="00B43287">
        <w:rPr>
          <w:rFonts w:eastAsia="Calibri"/>
        </w:rPr>
        <w:t xml:space="preserve"> </w:t>
      </w:r>
      <w:r w:rsidR="00B43287" w:rsidRPr="00E52BC4">
        <w:rPr>
          <w:rFonts w:eastAsia="Calibri"/>
        </w:rPr>
        <w:t>върху постъпленията при всички основни данъци</w:t>
      </w:r>
      <w:r w:rsidR="00B43287">
        <w:rPr>
          <w:rFonts w:eastAsia="Calibri"/>
        </w:rPr>
        <w:t xml:space="preserve">, породена от разрастването на пандемията с </w:t>
      </w:r>
      <w:r w:rsidR="00B43287" w:rsidRPr="00E52BC4">
        <w:rPr>
          <w:rFonts w:eastAsia="Calibri"/>
        </w:rPr>
        <w:t>COVID-19</w:t>
      </w:r>
      <w:r w:rsidRPr="00245EC9">
        <w:rPr>
          <w:rFonts w:eastAsia="Calibri"/>
          <w:color w:val="4F81BD" w:themeColor="accent1"/>
        </w:rPr>
        <w:t>.</w:t>
      </w:r>
    </w:p>
    <w:p w:rsidR="001A17F4" w:rsidRPr="000C2274" w:rsidRDefault="001A17F4" w:rsidP="001A17F4">
      <w:pPr>
        <w:spacing w:before="120"/>
        <w:jc w:val="both"/>
      </w:pPr>
      <w:r w:rsidRPr="00F91623">
        <w:t>Общата сума</w:t>
      </w:r>
      <w:r w:rsidRPr="00F91623">
        <w:rPr>
          <w:b/>
        </w:rPr>
        <w:t xml:space="preserve"> </w:t>
      </w:r>
      <w:r w:rsidRPr="00F91623">
        <w:t>на</w:t>
      </w:r>
      <w:r w:rsidRPr="00F91623">
        <w:rPr>
          <w:b/>
        </w:rPr>
        <w:t xml:space="preserve"> </w:t>
      </w:r>
      <w:r w:rsidRPr="00F91623">
        <w:rPr>
          <w:b/>
          <w:i/>
        </w:rPr>
        <w:t>данъчните постъпления</w:t>
      </w:r>
      <w:r w:rsidRPr="00F91623">
        <w:t xml:space="preserve"> (вкл. приходите от осигурителни вноски) са в размер на </w:t>
      </w:r>
      <w:r w:rsidRPr="00F91623">
        <w:rPr>
          <w:b/>
          <w:i/>
        </w:rPr>
        <w:t>17 056,9 млн. лв</w:t>
      </w:r>
      <w:r w:rsidRPr="00F91623">
        <w:rPr>
          <w:i/>
        </w:rPr>
        <w:t>.</w:t>
      </w:r>
      <w:r w:rsidRPr="00F91623">
        <w:t>, което представлява 79,6 % от общите постъпления по КФП за периода</w:t>
      </w:r>
      <w:r w:rsidRPr="00A70B50">
        <w:t>. Постъпленията в групата представляват 48,9 % от разчета за годината и намаляват ном</w:t>
      </w:r>
      <w:r w:rsidRPr="00395988">
        <w:t>инално с 629,</w:t>
      </w:r>
      <w:r w:rsidR="00A74918">
        <w:t>4</w:t>
      </w:r>
      <w:r w:rsidRPr="00395988">
        <w:t xml:space="preserve"> млн. лв. (3,6 %) спрямо отчетените към юни 2019 година. Приходите в частта на </w:t>
      </w:r>
      <w:r w:rsidRPr="00395988">
        <w:rPr>
          <w:i/>
        </w:rPr>
        <w:t xml:space="preserve">преките данъци </w:t>
      </w:r>
      <w:r w:rsidRPr="00395988">
        <w:t>възлизат на 3 169,6 млн. лв., което представлява 48,2 % от разчета за 2020 г. Съпоставени със същия период на 2019 г., преките данъци намаляват с 4,9 % (163,6 млн. лв.).</w:t>
      </w:r>
      <w:r w:rsidRPr="00395988">
        <w:rPr>
          <w:rFonts w:ascii="Arial" w:hAnsi="Arial" w:cs="Arial"/>
        </w:rPr>
        <w:t xml:space="preserve"> </w:t>
      </w:r>
      <w:r w:rsidRPr="004C6AC3">
        <w:t xml:space="preserve">Приходите от </w:t>
      </w:r>
      <w:r w:rsidRPr="004C6AC3">
        <w:rPr>
          <w:i/>
        </w:rPr>
        <w:t>косвени данъци</w:t>
      </w:r>
      <w:r w:rsidRPr="004C6AC3">
        <w:t xml:space="preserve"> са в размер на 7 879,9 млн. лв., което представлява 48,3 % от годишния разчет. Съпоставени с първото полугодие на 2019 г., косвените данъци намаляват </w:t>
      </w:r>
      <w:r w:rsidRPr="00517E0F">
        <w:t>със 7,</w:t>
      </w:r>
      <w:proofErr w:type="spellStart"/>
      <w:r w:rsidRPr="00517E0F">
        <w:t>7</w:t>
      </w:r>
      <w:proofErr w:type="spellEnd"/>
      <w:r w:rsidRPr="00517E0F">
        <w:t xml:space="preserve"> % (654,0 млн. лв.). Постъпленията от </w:t>
      </w:r>
      <w:r w:rsidRPr="00517E0F">
        <w:rPr>
          <w:i/>
        </w:rPr>
        <w:t>други данъци</w:t>
      </w:r>
      <w:r w:rsidRPr="00517E0F">
        <w:t xml:space="preserve"> (включват други </w:t>
      </w:r>
      <w:r w:rsidRPr="000C2274">
        <w:t xml:space="preserve">данъци по ЗКПО, имуществени данъци и др.) са 694,1 млн. лв., което представлява 57,4 %  от разчетите към ЗДБРБ за 2020 г. и сравнени със същия период на 2019 г. намаляват с 2,0 % </w:t>
      </w:r>
      <w:r w:rsidRPr="000C2274">
        <w:rPr>
          <w:lang w:val="en-US"/>
        </w:rPr>
        <w:t>(</w:t>
      </w:r>
      <w:r w:rsidRPr="000C2274">
        <w:t>14,0 млн. лв.</w:t>
      </w:r>
      <w:r w:rsidRPr="000C2274">
        <w:rPr>
          <w:lang w:val="en-US"/>
        </w:rPr>
        <w:t>)</w:t>
      </w:r>
      <w:r w:rsidRPr="000C2274">
        <w:t xml:space="preserve">. Приходите от </w:t>
      </w:r>
      <w:proofErr w:type="spellStart"/>
      <w:r w:rsidRPr="000C2274">
        <w:rPr>
          <w:b/>
          <w:i/>
        </w:rPr>
        <w:t>социалноосигурителни</w:t>
      </w:r>
      <w:proofErr w:type="spellEnd"/>
      <w:r w:rsidRPr="000C2274">
        <w:rPr>
          <w:b/>
          <w:i/>
        </w:rPr>
        <w:t xml:space="preserve"> и здравни </w:t>
      </w:r>
      <w:r w:rsidRPr="000C2274">
        <w:rPr>
          <w:b/>
          <w:i/>
        </w:rPr>
        <w:lastRenderedPageBreak/>
        <w:t>вноски</w:t>
      </w:r>
      <w:r w:rsidRPr="000C2274">
        <w:rPr>
          <w:b/>
        </w:rPr>
        <w:t xml:space="preserve"> </w:t>
      </w:r>
      <w:r w:rsidRPr="000C2274">
        <w:t xml:space="preserve">към 30.06.2020 г. са в размер на 5 313,4 млн. лв. или 49,2 % от планираните за годината, като спрямо същия период на предходната година нарастват с 202,1 млн. лева. (4,0 %). </w:t>
      </w:r>
    </w:p>
    <w:p w:rsidR="001A17F4" w:rsidRPr="00D7008C" w:rsidRDefault="001A17F4" w:rsidP="001A17F4">
      <w:pPr>
        <w:spacing w:before="120"/>
        <w:jc w:val="both"/>
      </w:pPr>
      <w:r w:rsidRPr="00C93AB3">
        <w:rPr>
          <w:b/>
          <w:bCs/>
          <w:i/>
          <w:iCs/>
        </w:rPr>
        <w:t>Неданъчните приходи</w:t>
      </w:r>
      <w:r w:rsidRPr="00C93AB3">
        <w:rPr>
          <w:b/>
          <w:bCs/>
          <w:iCs/>
        </w:rPr>
        <w:t xml:space="preserve"> </w:t>
      </w:r>
      <w:r w:rsidRPr="00C93AB3">
        <w:t xml:space="preserve">са в размер на </w:t>
      </w:r>
      <w:r w:rsidRPr="00C93AB3">
        <w:rPr>
          <w:b/>
          <w:i/>
        </w:rPr>
        <w:t xml:space="preserve">2 803,7 </w:t>
      </w:r>
      <w:r w:rsidRPr="00C93AB3">
        <w:rPr>
          <w:b/>
          <w:bCs/>
          <w:i/>
        </w:rPr>
        <w:t>млн. лв.</w:t>
      </w:r>
      <w:r w:rsidRPr="00C93AB3">
        <w:rPr>
          <w:b/>
          <w:bCs/>
        </w:rPr>
        <w:t>,</w:t>
      </w:r>
      <w:r w:rsidRPr="00C93AB3">
        <w:rPr>
          <w:b/>
          <w:i/>
        </w:rPr>
        <w:t xml:space="preserve"> </w:t>
      </w:r>
      <w:r w:rsidRPr="00C93AB3">
        <w:t>което представлява</w:t>
      </w:r>
      <w:r w:rsidRPr="00C93AB3">
        <w:rPr>
          <w:i/>
        </w:rPr>
        <w:t xml:space="preserve"> </w:t>
      </w:r>
      <w:r w:rsidRPr="00C93AB3">
        <w:t>41,3 %</w:t>
      </w:r>
      <w:r w:rsidRPr="00C93AB3">
        <w:rPr>
          <w:b/>
          <w:i/>
        </w:rPr>
        <w:t xml:space="preserve"> </w:t>
      </w:r>
      <w:r w:rsidRPr="00C93AB3">
        <w:t>от</w:t>
      </w:r>
      <w:r w:rsidRPr="00C93AB3">
        <w:rPr>
          <w:b/>
          <w:i/>
        </w:rPr>
        <w:t xml:space="preserve"> </w:t>
      </w:r>
      <w:r w:rsidRPr="00D7008C">
        <w:t xml:space="preserve">годишните разчети. </w:t>
      </w:r>
    </w:p>
    <w:p w:rsidR="001A17F4" w:rsidRPr="00D7008C" w:rsidRDefault="001A17F4" w:rsidP="001A17F4">
      <w:pPr>
        <w:spacing w:before="120" w:after="120"/>
        <w:jc w:val="both"/>
      </w:pPr>
      <w:r w:rsidRPr="00D7008C">
        <w:t xml:space="preserve">Постъпленията от </w:t>
      </w:r>
      <w:r w:rsidRPr="00D7008C">
        <w:rPr>
          <w:b/>
          <w:i/>
        </w:rPr>
        <w:t>помощи</w:t>
      </w:r>
      <w:r w:rsidRPr="00D7008C">
        <w:t xml:space="preserve"> </w:t>
      </w:r>
      <w:r w:rsidRPr="00D7008C">
        <w:rPr>
          <w:b/>
          <w:i/>
        </w:rPr>
        <w:t xml:space="preserve">и дарения </w:t>
      </w:r>
      <w:r w:rsidRPr="00D7008C">
        <w:t xml:space="preserve">от страната и чужбина (основно помощи от фондовете на ЕС) към юни 2020 г. са в размер на </w:t>
      </w:r>
      <w:r w:rsidRPr="00D7008C">
        <w:rPr>
          <w:b/>
        </w:rPr>
        <w:t>1 570,2 млн. лв.</w:t>
      </w:r>
      <w:r w:rsidRPr="00D7008C">
        <w:t xml:space="preserve"> </w:t>
      </w:r>
    </w:p>
    <w:p w:rsidR="001A17F4" w:rsidRPr="00D7008C" w:rsidRDefault="001A17F4" w:rsidP="001A17F4">
      <w:pPr>
        <w:numPr>
          <w:ilvl w:val="0"/>
          <w:numId w:val="34"/>
        </w:numPr>
        <w:tabs>
          <w:tab w:val="left" w:pos="426"/>
        </w:tabs>
        <w:spacing w:before="120" w:after="120"/>
        <w:ind w:left="0" w:firstLine="0"/>
        <w:contextualSpacing/>
        <w:jc w:val="both"/>
        <w:rPr>
          <w:szCs w:val="20"/>
        </w:rPr>
      </w:pPr>
      <w:r w:rsidRPr="00D7008C">
        <w:rPr>
          <w:b/>
          <w:szCs w:val="20"/>
        </w:rPr>
        <w:t xml:space="preserve">Разходите по консолидираната фискална програма </w:t>
      </w:r>
      <w:r w:rsidRPr="00D7008C">
        <w:rPr>
          <w:szCs w:val="20"/>
        </w:rPr>
        <w:t>(вкл. вноската на Република България в общия бюджет на ЕС) към 30.06.2020 г.</w:t>
      </w:r>
      <w:r w:rsidRPr="00D7008C">
        <w:rPr>
          <w:b/>
          <w:szCs w:val="20"/>
        </w:rPr>
        <w:t xml:space="preserve"> са в размер на </w:t>
      </w:r>
      <w:r w:rsidRPr="00D7008C">
        <w:rPr>
          <w:rFonts w:eastAsia="Calibri"/>
          <w:b/>
        </w:rPr>
        <w:t>19 818,1 млн. лв.</w:t>
      </w:r>
      <w:r w:rsidRPr="00D7008C">
        <w:rPr>
          <w:rFonts w:eastAsia="Calibri"/>
        </w:rPr>
        <w:t>, което е 41,4 % от годишните разчети. За сравнение</w:t>
      </w:r>
      <w:r w:rsidR="002C734D">
        <w:rPr>
          <w:rFonts w:eastAsia="Calibri"/>
        </w:rPr>
        <w:t>,</w:t>
      </w:r>
      <w:r w:rsidRPr="00D7008C">
        <w:rPr>
          <w:rFonts w:eastAsia="Calibri"/>
        </w:rPr>
        <w:t xml:space="preserve"> разходите по КФП към юни 2019 г. бяха в размер на 19 062,5 млн. лева. Номиналното нарастване, съпоставено със същия период на предходната година, се дължи основно на по-високия размер на социалните плащания (базов ефект от увеличението на пенсиите от юли 2019 г.), на разходите за персонал и други</w:t>
      </w:r>
      <w:r w:rsidRPr="00D7008C">
        <w:t>.</w:t>
      </w:r>
    </w:p>
    <w:p w:rsidR="001A17F4" w:rsidRPr="00245EC9" w:rsidRDefault="001A17F4" w:rsidP="001A17F4">
      <w:pPr>
        <w:spacing w:before="240" w:after="120"/>
        <w:jc w:val="both"/>
        <w:rPr>
          <w:color w:val="4F81BD" w:themeColor="accent1"/>
        </w:rPr>
      </w:pPr>
      <w:r w:rsidRPr="00ED7ADC">
        <w:rPr>
          <w:b/>
          <w:i/>
        </w:rPr>
        <w:t>Нелихвените разходи</w:t>
      </w:r>
      <w:r w:rsidRPr="00ED7ADC">
        <w:t xml:space="preserve"> са в размер на 18 766,1 млн. лв., което представлява 41,2 % от годишния разчет. </w:t>
      </w:r>
      <w:r w:rsidRPr="00ED7ADC">
        <w:rPr>
          <w:i/>
        </w:rPr>
        <w:t>Текущите нелихвени разходи</w:t>
      </w:r>
      <w:r w:rsidRPr="00ED7ADC">
        <w:t xml:space="preserve"> са в размер на 17 371,3 млн. лева. </w:t>
      </w:r>
      <w:r w:rsidRPr="00ED7ADC">
        <w:rPr>
          <w:i/>
        </w:rPr>
        <w:t>Капиталовите разходи</w:t>
      </w:r>
      <w:r w:rsidRPr="00ED7ADC">
        <w:t xml:space="preserve"> (вкл. нетния прираст на държавния резерв) възлизат на 1 380,4 млн. лева. </w:t>
      </w:r>
      <w:r w:rsidRPr="00ED7ADC">
        <w:rPr>
          <w:i/>
        </w:rPr>
        <w:t>Предоставените текущи и капиталови трансфери за чужбина</w:t>
      </w:r>
      <w:r w:rsidRPr="00ED7ADC">
        <w:t xml:space="preserve"> са в размер на 14,5 млн. лева. </w:t>
      </w:r>
      <w:r w:rsidRPr="00ED7ADC">
        <w:rPr>
          <w:b/>
          <w:i/>
        </w:rPr>
        <w:t>Лихвените плащания</w:t>
      </w:r>
      <w:r w:rsidRPr="00ED7ADC">
        <w:t xml:space="preserve"> са в размер на 363,4 млн. лв. (50,1 % от планираните за 2020 година)</w:t>
      </w:r>
      <w:r w:rsidRPr="00245EC9">
        <w:rPr>
          <w:color w:val="4F81BD" w:themeColor="accent1"/>
        </w:rPr>
        <w:t>.</w:t>
      </w:r>
    </w:p>
    <w:p w:rsidR="001A17F4" w:rsidRPr="00E91829" w:rsidRDefault="001A17F4" w:rsidP="001A17F4">
      <w:pPr>
        <w:numPr>
          <w:ilvl w:val="0"/>
          <w:numId w:val="34"/>
        </w:numPr>
        <w:tabs>
          <w:tab w:val="left" w:pos="426"/>
        </w:tabs>
        <w:ind w:left="0" w:firstLine="0"/>
        <w:contextualSpacing/>
        <w:jc w:val="both"/>
        <w:rPr>
          <w:szCs w:val="20"/>
        </w:rPr>
      </w:pPr>
      <w:r w:rsidRPr="00E91829">
        <w:rPr>
          <w:b/>
          <w:szCs w:val="20"/>
        </w:rPr>
        <w:t>Частта от вноската на Република България в общия бюджет на ЕС</w:t>
      </w:r>
      <w:r w:rsidRPr="00E91829">
        <w:rPr>
          <w:szCs w:val="20"/>
        </w:rPr>
        <w:t xml:space="preserve">, изплатена към 30.06.2020 г. от централния бюджет, възлиза на </w:t>
      </w:r>
      <w:r w:rsidRPr="00E91829">
        <w:rPr>
          <w:b/>
        </w:rPr>
        <w:t xml:space="preserve">688,6 </w:t>
      </w:r>
      <w:r w:rsidRPr="00E91829">
        <w:rPr>
          <w:szCs w:val="20"/>
        </w:rPr>
        <w:t xml:space="preserve">млн. лв., което е в изпълнение на действащото към момента законодателство в областта на собствените ресурси на ЕС - Решение на Съвета 2014/335/ЕС, </w:t>
      </w:r>
      <w:proofErr w:type="spellStart"/>
      <w:r w:rsidRPr="00E91829">
        <w:rPr>
          <w:szCs w:val="20"/>
        </w:rPr>
        <w:t>Евратом</w:t>
      </w:r>
      <w:proofErr w:type="spellEnd"/>
      <w:r w:rsidRPr="00E91829">
        <w:rPr>
          <w:szCs w:val="20"/>
        </w:rPr>
        <w:t xml:space="preserve"> относно системата на собствените ресурси на Европейския съюз, Регламент (ЕС, </w:t>
      </w:r>
      <w:proofErr w:type="spellStart"/>
      <w:r w:rsidRPr="00E91829">
        <w:rPr>
          <w:szCs w:val="20"/>
        </w:rPr>
        <w:t>Евратом</w:t>
      </w:r>
      <w:proofErr w:type="spellEnd"/>
      <w:r w:rsidRPr="00E91829">
        <w:rPr>
          <w:szCs w:val="20"/>
        </w:rPr>
        <w:t xml:space="preserve">) № 608/2014 на Съвета от 26 май 2014 г. за определяне на мерки за прилагане на системата на собствените ресурси на ЕС и Регламент (EС, </w:t>
      </w:r>
      <w:proofErr w:type="spellStart"/>
      <w:r w:rsidRPr="00E91829">
        <w:rPr>
          <w:szCs w:val="20"/>
        </w:rPr>
        <w:t>Евратом</w:t>
      </w:r>
      <w:proofErr w:type="spellEnd"/>
      <w:r w:rsidRPr="00E91829">
        <w:rPr>
          <w:szCs w:val="20"/>
        </w:rPr>
        <w:t xml:space="preserve">)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w:t>
      </w:r>
      <w:proofErr w:type="spellStart"/>
      <w:r w:rsidRPr="00E91829">
        <w:rPr>
          <w:szCs w:val="20"/>
        </w:rPr>
        <w:t>Евратом</w:t>
      </w:r>
      <w:proofErr w:type="spellEnd"/>
      <w:r w:rsidRPr="00E91829">
        <w:rPr>
          <w:szCs w:val="20"/>
        </w:rPr>
        <w:t>) 2016/804 на Съвета от 17 май 2016 г., в т.ч.:</w:t>
      </w:r>
    </w:p>
    <w:p w:rsidR="001A17F4" w:rsidRPr="00A46FB8" w:rsidRDefault="001A17F4" w:rsidP="001A17F4">
      <w:pPr>
        <w:numPr>
          <w:ilvl w:val="0"/>
          <w:numId w:val="13"/>
        </w:numPr>
        <w:tabs>
          <w:tab w:val="clear" w:pos="1500"/>
          <w:tab w:val="num" w:pos="720"/>
        </w:tabs>
        <w:spacing w:before="120"/>
        <w:ind w:left="709" w:hanging="284"/>
        <w:jc w:val="both"/>
      </w:pPr>
      <w:r w:rsidRPr="00A46FB8">
        <w:t>ресурс на база брутен национален доход – 457,3 млн. лв.;</w:t>
      </w:r>
    </w:p>
    <w:p w:rsidR="001A17F4" w:rsidRPr="00A46FB8" w:rsidRDefault="001A17F4" w:rsidP="001A17F4">
      <w:pPr>
        <w:numPr>
          <w:ilvl w:val="0"/>
          <w:numId w:val="13"/>
        </w:numPr>
        <w:tabs>
          <w:tab w:val="clear" w:pos="1500"/>
          <w:tab w:val="num" w:pos="720"/>
        </w:tabs>
        <w:ind w:left="709" w:hanging="283"/>
        <w:jc w:val="both"/>
      </w:pPr>
      <w:r w:rsidRPr="00A46FB8">
        <w:t>ресурс на база данък върху добавената стойност – 104,5 млн. лв.;</w:t>
      </w:r>
    </w:p>
    <w:p w:rsidR="001A17F4" w:rsidRPr="00A46FB8" w:rsidRDefault="001A17F4" w:rsidP="001A17F4">
      <w:pPr>
        <w:numPr>
          <w:ilvl w:val="0"/>
          <w:numId w:val="13"/>
        </w:numPr>
        <w:tabs>
          <w:tab w:val="clear" w:pos="1500"/>
          <w:tab w:val="num" w:pos="720"/>
        </w:tabs>
        <w:ind w:left="709" w:hanging="283"/>
        <w:jc w:val="both"/>
      </w:pPr>
      <w:r w:rsidRPr="00A46FB8">
        <w:t>корекция за Обединеното кралство – 37,4 млн. лв.;</w:t>
      </w:r>
    </w:p>
    <w:p w:rsidR="001A17F4" w:rsidRPr="00A46FB8" w:rsidRDefault="001A17F4" w:rsidP="001A17F4">
      <w:pPr>
        <w:numPr>
          <w:ilvl w:val="0"/>
          <w:numId w:val="13"/>
        </w:numPr>
        <w:tabs>
          <w:tab w:val="clear" w:pos="1500"/>
          <w:tab w:val="num" w:pos="720"/>
        </w:tabs>
        <w:ind w:left="709" w:hanging="283"/>
        <w:jc w:val="both"/>
      </w:pPr>
      <w:r w:rsidRPr="00A46FB8">
        <w:t>традиционни собствени ресурси (мита) – 84,7 млн. лв.;</w:t>
      </w:r>
    </w:p>
    <w:p w:rsidR="001A17F4" w:rsidRPr="00A46FB8" w:rsidRDefault="001A17F4" w:rsidP="001A17F4">
      <w:pPr>
        <w:numPr>
          <w:ilvl w:val="0"/>
          <w:numId w:val="13"/>
        </w:numPr>
        <w:tabs>
          <w:tab w:val="clear" w:pos="1500"/>
        </w:tabs>
        <w:ind w:left="709" w:hanging="283"/>
        <w:jc w:val="both"/>
      </w:pPr>
      <w:r w:rsidRPr="00A46FB8">
        <w:t>участие във финансиране на брутното намаление за Нидерландия, Швеция и Дания – 4,7 млн. лв.</w:t>
      </w:r>
    </w:p>
    <w:p w:rsidR="00A4681D" w:rsidRPr="0054674B" w:rsidRDefault="001A17F4" w:rsidP="00A4681D">
      <w:pPr>
        <w:spacing w:before="120" w:after="120"/>
        <w:jc w:val="both"/>
      </w:pPr>
      <w:r w:rsidRPr="00A17586">
        <w:rPr>
          <w:b/>
        </w:rPr>
        <w:t>Бюджетното салдо</w:t>
      </w:r>
      <w:r w:rsidRPr="00A17586">
        <w:rPr>
          <w:bCs/>
        </w:rPr>
        <w:t xml:space="preserve"> по консолидираната фискална програма </w:t>
      </w:r>
      <w:r w:rsidRPr="00A17586">
        <w:t>към март</w:t>
      </w:r>
      <w:r w:rsidRPr="00A17586">
        <w:rPr>
          <w:bCs/>
        </w:rPr>
        <w:t xml:space="preserve"> 2020 г. е </w:t>
      </w:r>
      <w:r w:rsidRPr="00A17586">
        <w:rPr>
          <w:b/>
          <w:bCs/>
        </w:rPr>
        <w:t>положително</w:t>
      </w:r>
      <w:r w:rsidRPr="00A17586">
        <w:rPr>
          <w:bCs/>
        </w:rPr>
        <w:t xml:space="preserve"> в размер на </w:t>
      </w:r>
      <w:r w:rsidRPr="00A17586">
        <w:rPr>
          <w:b/>
          <w:bCs/>
        </w:rPr>
        <w:t xml:space="preserve">1 612,7 </w:t>
      </w:r>
      <w:r w:rsidRPr="00A17586">
        <w:rPr>
          <w:b/>
        </w:rPr>
        <w:t>млн. лв.</w:t>
      </w:r>
      <w:r w:rsidRPr="00A17586">
        <w:t xml:space="preserve"> </w:t>
      </w:r>
      <w:r w:rsidRPr="008E0076">
        <w:t xml:space="preserve">и </w:t>
      </w:r>
      <w:r w:rsidRPr="008E0076">
        <w:rPr>
          <w:bCs/>
        </w:rPr>
        <w:t xml:space="preserve">се формира от </w:t>
      </w:r>
      <w:r w:rsidRPr="008E0076">
        <w:t>превишение на приходите над разходите по националния бюджет в размер на 1 099,2 млн. лв. и по европейските средства в размер на 513,5 млн. лева.</w:t>
      </w:r>
    </w:p>
    <w:p w:rsidR="001A17F4" w:rsidRPr="00DD62FF" w:rsidRDefault="001A17F4" w:rsidP="001A17F4">
      <w:pPr>
        <w:numPr>
          <w:ilvl w:val="0"/>
          <w:numId w:val="9"/>
        </w:numPr>
        <w:tabs>
          <w:tab w:val="num" w:pos="0"/>
          <w:tab w:val="left" w:pos="426"/>
          <w:tab w:val="left" w:pos="720"/>
        </w:tabs>
        <w:spacing w:before="240" w:after="60"/>
        <w:ind w:left="0" w:firstLine="0"/>
        <w:jc w:val="both"/>
      </w:pPr>
      <w:r w:rsidRPr="00DD62FF">
        <w:rPr>
          <w:b/>
          <w:bCs/>
        </w:rPr>
        <w:t>Общият размер на касовите постъпления от ЕС</w:t>
      </w:r>
      <w:r w:rsidRPr="00DD62FF">
        <w:rPr>
          <w:bCs/>
        </w:rPr>
        <w:t xml:space="preserve"> (от Структурните и </w:t>
      </w:r>
      <w:proofErr w:type="spellStart"/>
      <w:r w:rsidRPr="00DD62FF">
        <w:rPr>
          <w:bCs/>
        </w:rPr>
        <w:t>Кохезионния</w:t>
      </w:r>
      <w:proofErr w:type="spellEnd"/>
      <w:r w:rsidRPr="00DD62FF">
        <w:rPr>
          <w:bCs/>
        </w:rPr>
        <w:t xml:space="preserve"> фондове, от</w:t>
      </w:r>
      <w:r w:rsidRPr="00DD62FF">
        <w:t xml:space="preserve"> ЕЗФРСР и ЕФР</w:t>
      </w:r>
      <w:r w:rsidRPr="00DD62FF">
        <w:rPr>
          <w:bCs/>
        </w:rPr>
        <w:t xml:space="preserve">, от средства за директни плащания към земеделските производители и плащания по пазарни мерки и др.) за първото полугодие на 2020 г. е </w:t>
      </w:r>
      <w:r w:rsidRPr="00DD62FF">
        <w:rPr>
          <w:b/>
          <w:bCs/>
        </w:rPr>
        <w:t>2 989,0 млн. лв.</w:t>
      </w:r>
      <w:r w:rsidRPr="00DD62FF">
        <w:rPr>
          <w:b/>
        </w:rPr>
        <w:t xml:space="preserve"> </w:t>
      </w:r>
      <w:r w:rsidRPr="00DD62FF">
        <w:rPr>
          <w:b/>
          <w:bCs/>
        </w:rPr>
        <w:t xml:space="preserve">Нетните постъпления от ЕС към 30.06.2020 г. </w:t>
      </w:r>
      <w:r w:rsidRPr="00DD62FF">
        <w:rPr>
          <w:bCs/>
        </w:rPr>
        <w:t xml:space="preserve">(касови постъпления от ЕС, намалени с вноската в общия бюджет на ЕС) са положителни в размер на </w:t>
      </w:r>
      <w:r w:rsidRPr="00DD62FF">
        <w:rPr>
          <w:b/>
          <w:bCs/>
        </w:rPr>
        <w:t>2 300,5 млн. лева</w:t>
      </w:r>
      <w:r w:rsidRPr="00DD62FF">
        <w:t>.</w:t>
      </w:r>
    </w:p>
    <w:p w:rsidR="001A17F4" w:rsidRPr="00245EC9" w:rsidRDefault="001A17F4" w:rsidP="001A17F4">
      <w:pPr>
        <w:numPr>
          <w:ilvl w:val="2"/>
          <w:numId w:val="17"/>
        </w:numPr>
        <w:tabs>
          <w:tab w:val="left" w:pos="426"/>
        </w:tabs>
        <w:spacing w:before="120" w:after="120"/>
        <w:ind w:left="0" w:firstLine="0"/>
        <w:jc w:val="both"/>
        <w:rPr>
          <w:color w:val="4F81BD" w:themeColor="accent1"/>
          <w:sz w:val="8"/>
          <w:szCs w:val="8"/>
        </w:rPr>
      </w:pPr>
      <w:r w:rsidRPr="00932E89">
        <w:rPr>
          <w:b/>
        </w:rPr>
        <w:t>Фискалният резерв</w:t>
      </w:r>
      <w:r w:rsidRPr="00932E89">
        <w:rPr>
          <w:b/>
          <w:bCs/>
          <w:vertAlign w:val="superscript"/>
          <w:lang w:eastAsia="bg-BG"/>
        </w:rPr>
        <w:footnoteReference w:id="6"/>
      </w:r>
      <w:r w:rsidRPr="00932E89">
        <w:rPr>
          <w:bCs/>
          <w:lang w:eastAsia="bg-BG"/>
        </w:rPr>
        <w:t xml:space="preserve"> към </w:t>
      </w:r>
      <w:r w:rsidRPr="00932E89">
        <w:rPr>
          <w:bCs/>
        </w:rPr>
        <w:t xml:space="preserve">30.06.2020 г. е </w:t>
      </w:r>
      <w:r w:rsidRPr="00932E89">
        <w:rPr>
          <w:b/>
          <w:bCs/>
        </w:rPr>
        <w:t>9,89 млрд. лв</w:t>
      </w:r>
      <w:r w:rsidRPr="00932E89">
        <w:rPr>
          <w:bCs/>
        </w:rPr>
        <w:t xml:space="preserve">., в т.ч. 9,84 млрд. лв. депозити на </w:t>
      </w:r>
      <w:r w:rsidRPr="0055027C">
        <w:rPr>
          <w:bCs/>
        </w:rPr>
        <w:t>фискалния резерв в БНБ и банки и 0,05 млрд. лв</w:t>
      </w:r>
      <w:r w:rsidRPr="00DF5BB0">
        <w:rPr>
          <w:bCs/>
        </w:rPr>
        <w:t>. вземания от фондовете на Европейския съюз за сертифицирани разходи, аванси и други</w:t>
      </w:r>
      <w:r w:rsidRPr="00245EC9">
        <w:rPr>
          <w:bCs/>
          <w:color w:val="4F81BD" w:themeColor="accent1"/>
          <w:lang w:eastAsia="bg-BG"/>
        </w:rPr>
        <w:t>.</w:t>
      </w:r>
      <w:r w:rsidRPr="00245EC9">
        <w:rPr>
          <w:bCs/>
          <w:color w:val="4F81BD" w:themeColor="accent1"/>
        </w:rPr>
        <w:t xml:space="preserve"> </w:t>
      </w:r>
    </w:p>
    <w:p w:rsidR="001A17F4" w:rsidRPr="00245EC9" w:rsidRDefault="001A17F4" w:rsidP="001A17F4">
      <w:pPr>
        <w:tabs>
          <w:tab w:val="left" w:pos="426"/>
        </w:tabs>
        <w:spacing w:before="120" w:after="120"/>
        <w:jc w:val="both"/>
        <w:rPr>
          <w:color w:val="4F81BD" w:themeColor="accent1"/>
          <w:sz w:val="8"/>
          <w:szCs w:val="8"/>
        </w:rPr>
      </w:pPr>
    </w:p>
    <w:p w:rsidR="001A17F4" w:rsidRPr="002710A3" w:rsidRDefault="001A17F4" w:rsidP="001A17F4">
      <w:pPr>
        <w:keepNext/>
        <w:numPr>
          <w:ilvl w:val="0"/>
          <w:numId w:val="10"/>
        </w:numPr>
        <w:ind w:right="-108"/>
        <w:jc w:val="both"/>
        <w:outlineLvl w:val="0"/>
        <w:rPr>
          <w:b/>
          <w:bCs/>
        </w:rPr>
      </w:pPr>
      <w:r w:rsidRPr="002710A3">
        <w:rPr>
          <w:b/>
          <w:bCs/>
        </w:rPr>
        <w:lastRenderedPageBreak/>
        <w:t>Изпълнение на държавния бюджет</w:t>
      </w:r>
      <w:r w:rsidRPr="002710A3">
        <w:rPr>
          <w:b/>
          <w:sz w:val="20"/>
          <w:szCs w:val="20"/>
          <w:vertAlign w:val="superscript"/>
        </w:rPr>
        <w:footnoteReference w:id="7"/>
      </w:r>
      <w:r w:rsidRPr="002710A3">
        <w:rPr>
          <w:b/>
          <w:bCs/>
        </w:rPr>
        <w:t xml:space="preserve"> към </w:t>
      </w:r>
      <w:r>
        <w:rPr>
          <w:b/>
          <w:bCs/>
        </w:rPr>
        <w:t>юни</w:t>
      </w:r>
      <w:r w:rsidRPr="002710A3">
        <w:rPr>
          <w:b/>
          <w:bCs/>
        </w:rPr>
        <w:t xml:space="preserve"> 20</w:t>
      </w:r>
      <w:r w:rsidRPr="002710A3">
        <w:rPr>
          <w:b/>
          <w:bCs/>
          <w:lang w:val="en-US"/>
        </w:rPr>
        <w:t>20</w:t>
      </w:r>
      <w:r w:rsidRPr="002710A3">
        <w:rPr>
          <w:b/>
          <w:bCs/>
        </w:rPr>
        <w:t xml:space="preserve"> г.</w:t>
      </w:r>
    </w:p>
    <w:p w:rsidR="001A17F4" w:rsidRPr="00D0299D" w:rsidRDefault="001A17F4" w:rsidP="001A17F4">
      <w:pPr>
        <w:tabs>
          <w:tab w:val="left" w:pos="1080"/>
        </w:tabs>
        <w:spacing w:before="120"/>
        <w:jc w:val="both"/>
        <w:rPr>
          <w:lang w:val="en-US"/>
        </w:rPr>
      </w:pPr>
      <w:r w:rsidRPr="00D0299D">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1A17F4" w:rsidRPr="00245EC9" w:rsidRDefault="001A17F4" w:rsidP="001A17F4">
      <w:pPr>
        <w:tabs>
          <w:tab w:val="left" w:pos="1080"/>
        </w:tabs>
        <w:spacing w:before="120"/>
        <w:jc w:val="both"/>
        <w:rPr>
          <w:color w:val="4F81BD" w:themeColor="accent1"/>
          <w:sz w:val="2"/>
          <w:szCs w:val="2"/>
        </w:rPr>
      </w:pPr>
    </w:p>
    <w:p w:rsidR="001A17F4" w:rsidRPr="00D0299D" w:rsidRDefault="001A17F4" w:rsidP="001A17F4">
      <w:pPr>
        <w:ind w:right="-242"/>
        <w:rPr>
          <w:b/>
          <w:bCs/>
          <w:sz w:val="20"/>
          <w:szCs w:val="20"/>
          <w:lang w:eastAsia="bg-BG"/>
        </w:rPr>
      </w:pPr>
      <w:r w:rsidRPr="00D0299D">
        <w:rPr>
          <w:b/>
          <w:bCs/>
          <w:sz w:val="20"/>
          <w:szCs w:val="20"/>
          <w:lang w:eastAsia="bg-BG"/>
        </w:rPr>
        <w:t xml:space="preserve">            Таблица</w:t>
      </w:r>
      <w:r w:rsidRPr="00D0299D">
        <w:rPr>
          <w:b/>
          <w:bCs/>
          <w:sz w:val="20"/>
          <w:szCs w:val="20"/>
          <w:vertAlign w:val="superscript"/>
          <w:lang w:eastAsia="bg-BG"/>
        </w:rPr>
        <w:footnoteReference w:id="8"/>
      </w:r>
      <w:r w:rsidRPr="00D0299D">
        <w:rPr>
          <w:b/>
          <w:bCs/>
          <w:sz w:val="20"/>
          <w:szCs w:val="20"/>
          <w:lang w:eastAsia="bg-BG"/>
        </w:rPr>
        <w:t xml:space="preserve">  №2      </w:t>
      </w:r>
      <w:r w:rsidRPr="00D0299D">
        <w:rPr>
          <w:b/>
          <w:bCs/>
          <w:sz w:val="20"/>
          <w:szCs w:val="20"/>
          <w:lang w:eastAsia="bg-BG"/>
        </w:rPr>
        <w:tab/>
      </w:r>
      <w:r w:rsidRPr="00D0299D">
        <w:rPr>
          <w:b/>
          <w:bCs/>
          <w:sz w:val="20"/>
          <w:szCs w:val="20"/>
          <w:lang w:eastAsia="bg-BG"/>
        </w:rPr>
        <w:tab/>
        <w:t xml:space="preserve">                                          </w:t>
      </w:r>
      <w:r w:rsidRPr="00D0299D">
        <w:rPr>
          <w:b/>
          <w:bCs/>
          <w:sz w:val="20"/>
          <w:szCs w:val="20"/>
          <w:lang w:eastAsia="bg-BG"/>
        </w:rPr>
        <w:tab/>
      </w:r>
      <w:r w:rsidRPr="00D0299D">
        <w:rPr>
          <w:b/>
          <w:bCs/>
          <w:sz w:val="20"/>
          <w:szCs w:val="20"/>
          <w:lang w:eastAsia="bg-BG"/>
        </w:rPr>
        <w:tab/>
      </w:r>
      <w:r w:rsidRPr="00D0299D">
        <w:rPr>
          <w:b/>
          <w:bCs/>
          <w:sz w:val="20"/>
          <w:szCs w:val="20"/>
          <w:lang w:eastAsia="bg-BG"/>
        </w:rPr>
        <w:tab/>
      </w:r>
      <w:r w:rsidRPr="00D0299D">
        <w:rPr>
          <w:b/>
          <w:bCs/>
          <w:sz w:val="20"/>
          <w:szCs w:val="20"/>
          <w:lang w:eastAsia="bg-BG"/>
        </w:rPr>
        <w:tab/>
        <w:t xml:space="preserve">  (млн. лв.)</w:t>
      </w:r>
    </w:p>
    <w:p w:rsidR="001A17F4" w:rsidRPr="00245EC9" w:rsidRDefault="001A17F4" w:rsidP="001A17F4">
      <w:pPr>
        <w:ind w:right="-242"/>
        <w:rPr>
          <w:b/>
          <w:bCs/>
          <w:color w:val="4F81BD" w:themeColor="accent1"/>
          <w:sz w:val="6"/>
          <w:szCs w:val="6"/>
          <w:lang w:eastAsia="bg-BG"/>
        </w:rPr>
      </w:pPr>
    </w:p>
    <w:tbl>
      <w:tblPr>
        <w:tblW w:w="8642" w:type="dxa"/>
        <w:jc w:val="center"/>
        <w:tblCellMar>
          <w:left w:w="70" w:type="dxa"/>
          <w:right w:w="70" w:type="dxa"/>
        </w:tblCellMar>
        <w:tblLook w:val="0000" w:firstRow="0" w:lastRow="0" w:firstColumn="0" w:lastColumn="0" w:noHBand="0" w:noVBand="0"/>
      </w:tblPr>
      <w:tblGrid>
        <w:gridCol w:w="4853"/>
        <w:gridCol w:w="1276"/>
        <w:gridCol w:w="1209"/>
        <w:gridCol w:w="1304"/>
      </w:tblGrid>
      <w:tr w:rsidR="001A17F4" w:rsidRPr="00245EC9" w:rsidTr="002018B7">
        <w:trPr>
          <w:trHeight w:val="520"/>
          <w:jc w:val="center"/>
        </w:trPr>
        <w:tc>
          <w:tcPr>
            <w:tcW w:w="4853" w:type="dxa"/>
            <w:tcBorders>
              <w:top w:val="single" w:sz="8" w:space="0" w:color="auto"/>
              <w:left w:val="single" w:sz="8" w:space="0" w:color="auto"/>
              <w:bottom w:val="nil"/>
              <w:right w:val="single" w:sz="8" w:space="0" w:color="auto"/>
            </w:tcBorders>
            <w:shd w:val="clear" w:color="auto" w:fill="auto"/>
            <w:noWrap/>
            <w:vAlign w:val="center"/>
          </w:tcPr>
          <w:p w:rsidR="001A17F4" w:rsidRPr="00BE0030" w:rsidRDefault="001A17F4" w:rsidP="002018B7">
            <w:pPr>
              <w:jc w:val="center"/>
              <w:rPr>
                <w:b/>
                <w:bCs/>
                <w:sz w:val="18"/>
                <w:szCs w:val="18"/>
              </w:rPr>
            </w:pPr>
            <w:r w:rsidRPr="00BE0030">
              <w:rPr>
                <w:b/>
                <w:bCs/>
                <w:sz w:val="18"/>
                <w:szCs w:val="18"/>
              </w:rPr>
              <w:t>ПОКАЗАТЕЛИ</w:t>
            </w:r>
          </w:p>
        </w:tc>
        <w:tc>
          <w:tcPr>
            <w:tcW w:w="1276" w:type="dxa"/>
            <w:tcBorders>
              <w:top w:val="single" w:sz="8" w:space="0" w:color="auto"/>
              <w:left w:val="nil"/>
              <w:bottom w:val="nil"/>
              <w:right w:val="nil"/>
            </w:tcBorders>
            <w:shd w:val="clear" w:color="auto" w:fill="auto"/>
            <w:vAlign w:val="center"/>
          </w:tcPr>
          <w:p w:rsidR="001A17F4" w:rsidRPr="00BE0030" w:rsidRDefault="001A17F4" w:rsidP="002018B7">
            <w:pPr>
              <w:jc w:val="center"/>
              <w:rPr>
                <w:b/>
                <w:bCs/>
                <w:sz w:val="18"/>
                <w:szCs w:val="18"/>
              </w:rPr>
            </w:pPr>
            <w:r w:rsidRPr="00BE0030">
              <w:rPr>
                <w:b/>
                <w:bCs/>
                <w:sz w:val="18"/>
                <w:szCs w:val="18"/>
              </w:rPr>
              <w:t>ЗДБРБ     20</w:t>
            </w:r>
            <w:r w:rsidRPr="00BE0030">
              <w:rPr>
                <w:b/>
                <w:bCs/>
                <w:sz w:val="18"/>
                <w:szCs w:val="18"/>
                <w:lang w:val="en-US"/>
              </w:rPr>
              <w:t>20</w:t>
            </w:r>
            <w:r w:rsidRPr="00BE0030">
              <w:rPr>
                <w:b/>
                <w:bCs/>
                <w:sz w:val="18"/>
                <w:szCs w:val="18"/>
              </w:rPr>
              <w:t xml:space="preserve"> г.</w:t>
            </w:r>
            <w:r w:rsidRPr="00BE0030">
              <w:rPr>
                <w:b/>
                <w:bCs/>
                <w:sz w:val="18"/>
                <w:szCs w:val="18"/>
                <w:vertAlign w:val="superscript"/>
              </w:rPr>
              <w:footnoteReference w:id="9"/>
            </w:r>
          </w:p>
        </w:tc>
        <w:tc>
          <w:tcPr>
            <w:tcW w:w="1209" w:type="dxa"/>
            <w:tcBorders>
              <w:top w:val="single" w:sz="8" w:space="0" w:color="auto"/>
              <w:left w:val="nil"/>
              <w:bottom w:val="nil"/>
              <w:right w:val="nil"/>
            </w:tcBorders>
            <w:shd w:val="clear" w:color="auto" w:fill="auto"/>
            <w:vAlign w:val="center"/>
          </w:tcPr>
          <w:p w:rsidR="001A17F4" w:rsidRPr="00D0299D" w:rsidRDefault="001A17F4" w:rsidP="002018B7">
            <w:pPr>
              <w:jc w:val="center"/>
              <w:rPr>
                <w:b/>
                <w:bCs/>
                <w:sz w:val="18"/>
                <w:szCs w:val="18"/>
              </w:rPr>
            </w:pPr>
            <w:r w:rsidRPr="00D0299D">
              <w:rPr>
                <w:b/>
                <w:bCs/>
                <w:sz w:val="18"/>
                <w:szCs w:val="18"/>
              </w:rPr>
              <w:t xml:space="preserve">Отчет </w:t>
            </w:r>
          </w:p>
          <w:p w:rsidR="001A17F4" w:rsidRPr="00D0299D" w:rsidRDefault="001A17F4" w:rsidP="002018B7">
            <w:pPr>
              <w:jc w:val="center"/>
              <w:rPr>
                <w:b/>
                <w:bCs/>
                <w:sz w:val="18"/>
                <w:szCs w:val="18"/>
              </w:rPr>
            </w:pPr>
            <w:r w:rsidRPr="00D0299D">
              <w:rPr>
                <w:b/>
                <w:bCs/>
                <w:sz w:val="18"/>
                <w:szCs w:val="18"/>
              </w:rPr>
              <w:t>юни</w:t>
            </w:r>
            <w:r w:rsidRPr="00D0299D">
              <w:rPr>
                <w:b/>
                <w:bCs/>
                <w:sz w:val="18"/>
                <w:szCs w:val="18"/>
                <w:lang w:val="en-US"/>
              </w:rPr>
              <w:t xml:space="preserve"> </w:t>
            </w:r>
            <w:r w:rsidRPr="00D0299D">
              <w:rPr>
                <w:b/>
                <w:bCs/>
                <w:sz w:val="18"/>
                <w:szCs w:val="18"/>
              </w:rPr>
              <w:t>2020 г.</w:t>
            </w:r>
          </w:p>
        </w:tc>
        <w:tc>
          <w:tcPr>
            <w:tcW w:w="1304" w:type="dxa"/>
            <w:tcBorders>
              <w:top w:val="single" w:sz="8" w:space="0" w:color="auto"/>
              <w:left w:val="nil"/>
              <w:bottom w:val="nil"/>
              <w:right w:val="single" w:sz="8" w:space="0" w:color="auto"/>
            </w:tcBorders>
            <w:shd w:val="clear" w:color="auto" w:fill="auto"/>
            <w:vAlign w:val="center"/>
          </w:tcPr>
          <w:p w:rsidR="001A17F4" w:rsidRPr="00D0299D" w:rsidRDefault="001A17F4" w:rsidP="002018B7">
            <w:pPr>
              <w:jc w:val="center"/>
              <w:rPr>
                <w:b/>
                <w:bCs/>
                <w:sz w:val="18"/>
                <w:szCs w:val="18"/>
              </w:rPr>
            </w:pPr>
            <w:r w:rsidRPr="00D0299D">
              <w:rPr>
                <w:b/>
                <w:bCs/>
                <w:sz w:val="18"/>
                <w:szCs w:val="18"/>
              </w:rPr>
              <w:t>Изпълнение спрямо    закон 2020 г.</w:t>
            </w:r>
          </w:p>
        </w:tc>
      </w:tr>
      <w:tr w:rsidR="001A17F4" w:rsidRPr="00D0299D" w:rsidTr="002018B7">
        <w:trPr>
          <w:trHeight w:val="92"/>
          <w:jc w:val="center"/>
        </w:trPr>
        <w:tc>
          <w:tcPr>
            <w:tcW w:w="4853" w:type="dxa"/>
            <w:tcBorders>
              <w:top w:val="single" w:sz="4" w:space="0" w:color="auto"/>
              <w:left w:val="single" w:sz="8" w:space="0" w:color="auto"/>
              <w:bottom w:val="single" w:sz="4" w:space="0" w:color="auto"/>
              <w:right w:val="single" w:sz="8" w:space="0" w:color="auto"/>
            </w:tcBorders>
            <w:shd w:val="clear" w:color="auto" w:fill="auto"/>
            <w:noWrap/>
            <w:vAlign w:val="bottom"/>
          </w:tcPr>
          <w:p w:rsidR="001A17F4" w:rsidRPr="00D0299D" w:rsidRDefault="001A17F4" w:rsidP="002018B7">
            <w:pPr>
              <w:rPr>
                <w:b/>
                <w:bCs/>
                <w:sz w:val="18"/>
                <w:szCs w:val="18"/>
              </w:rPr>
            </w:pPr>
            <w:r w:rsidRPr="00D0299D">
              <w:rPr>
                <w:b/>
                <w:bCs/>
                <w:sz w:val="18"/>
                <w:szCs w:val="18"/>
              </w:rPr>
              <w:t>Общо приходи,  помощи и дарения</w:t>
            </w:r>
          </w:p>
        </w:tc>
        <w:tc>
          <w:tcPr>
            <w:tcW w:w="1276" w:type="dxa"/>
            <w:tcBorders>
              <w:top w:val="single" w:sz="4" w:space="0" w:color="auto"/>
              <w:left w:val="nil"/>
              <w:bottom w:val="single" w:sz="8" w:space="0" w:color="auto"/>
              <w:right w:val="nil"/>
            </w:tcBorders>
            <w:shd w:val="clear" w:color="auto" w:fill="auto"/>
            <w:noWrap/>
            <w:vAlign w:val="bottom"/>
          </w:tcPr>
          <w:p w:rsidR="001A17F4" w:rsidRPr="00D0299D" w:rsidRDefault="001A17F4" w:rsidP="002018B7">
            <w:pPr>
              <w:jc w:val="right"/>
              <w:rPr>
                <w:b/>
                <w:bCs/>
                <w:sz w:val="18"/>
                <w:szCs w:val="18"/>
              </w:rPr>
            </w:pPr>
            <w:r w:rsidRPr="00D0299D">
              <w:rPr>
                <w:b/>
                <w:bCs/>
                <w:sz w:val="18"/>
                <w:szCs w:val="18"/>
              </w:rPr>
              <w:t>26 040,8</w:t>
            </w:r>
          </w:p>
        </w:tc>
        <w:tc>
          <w:tcPr>
            <w:tcW w:w="1209" w:type="dxa"/>
            <w:tcBorders>
              <w:top w:val="single" w:sz="4" w:space="0" w:color="auto"/>
              <w:left w:val="nil"/>
              <w:bottom w:val="single" w:sz="8" w:space="0" w:color="auto"/>
              <w:right w:val="nil"/>
            </w:tcBorders>
            <w:shd w:val="clear" w:color="auto" w:fill="auto"/>
            <w:noWrap/>
            <w:vAlign w:val="bottom"/>
          </w:tcPr>
          <w:p w:rsidR="001A17F4" w:rsidRPr="00D0299D" w:rsidRDefault="001A17F4" w:rsidP="002018B7">
            <w:pPr>
              <w:jc w:val="right"/>
              <w:rPr>
                <w:b/>
                <w:bCs/>
                <w:sz w:val="18"/>
                <w:szCs w:val="18"/>
              </w:rPr>
            </w:pPr>
            <w:r w:rsidRPr="00D0299D">
              <w:rPr>
                <w:b/>
                <w:bCs/>
                <w:sz w:val="18"/>
                <w:szCs w:val="18"/>
              </w:rPr>
              <w:t>12 159,5</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1A17F4" w:rsidRPr="00D0299D" w:rsidRDefault="001A17F4" w:rsidP="002018B7">
            <w:pPr>
              <w:jc w:val="right"/>
              <w:rPr>
                <w:b/>
                <w:bCs/>
                <w:sz w:val="18"/>
                <w:szCs w:val="18"/>
              </w:rPr>
            </w:pPr>
            <w:r w:rsidRPr="00D0299D">
              <w:rPr>
                <w:b/>
                <w:bCs/>
                <w:sz w:val="18"/>
                <w:szCs w:val="18"/>
              </w:rPr>
              <w:t>46,7%</w:t>
            </w:r>
          </w:p>
        </w:tc>
      </w:tr>
      <w:tr w:rsidR="001A17F4" w:rsidRPr="00D0299D" w:rsidTr="002018B7">
        <w:trPr>
          <w:trHeight w:val="80"/>
          <w:jc w:val="center"/>
        </w:trPr>
        <w:tc>
          <w:tcPr>
            <w:tcW w:w="4853" w:type="dxa"/>
            <w:tcBorders>
              <w:top w:val="single" w:sz="4" w:space="0" w:color="auto"/>
              <w:left w:val="single" w:sz="8" w:space="0" w:color="auto"/>
              <w:bottom w:val="nil"/>
              <w:right w:val="single" w:sz="8"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-Данъчни приходи</w:t>
            </w:r>
          </w:p>
        </w:tc>
        <w:tc>
          <w:tcPr>
            <w:tcW w:w="1276" w:type="dxa"/>
            <w:tcBorders>
              <w:top w:val="single" w:sz="8" w:space="0" w:color="auto"/>
              <w:left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23 026,0</w:t>
            </w:r>
          </w:p>
        </w:tc>
        <w:tc>
          <w:tcPr>
            <w:tcW w:w="1209" w:type="dxa"/>
            <w:tcBorders>
              <w:top w:val="single" w:sz="8" w:space="0" w:color="auto"/>
              <w:left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11 153,5</w:t>
            </w:r>
          </w:p>
        </w:tc>
        <w:tc>
          <w:tcPr>
            <w:tcW w:w="1304" w:type="dxa"/>
            <w:tcBorders>
              <w:top w:val="single" w:sz="8" w:space="0" w:color="auto"/>
              <w:left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48,4%</w:t>
            </w:r>
          </w:p>
        </w:tc>
      </w:tr>
      <w:tr w:rsidR="001A17F4" w:rsidRPr="00D0299D" w:rsidTr="002018B7">
        <w:trPr>
          <w:trHeight w:val="80"/>
          <w:jc w:val="center"/>
        </w:trPr>
        <w:tc>
          <w:tcPr>
            <w:tcW w:w="4853" w:type="dxa"/>
            <w:tcBorders>
              <w:left w:val="single" w:sz="8" w:space="0" w:color="auto"/>
              <w:right w:val="single" w:sz="8"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Корпоративни данъци</w:t>
            </w:r>
          </w:p>
        </w:tc>
        <w:tc>
          <w:tcPr>
            <w:tcW w:w="1276"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2 487,4</w:t>
            </w:r>
          </w:p>
        </w:tc>
        <w:tc>
          <w:tcPr>
            <w:tcW w:w="1209"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1 089,5</w:t>
            </w:r>
          </w:p>
        </w:tc>
        <w:tc>
          <w:tcPr>
            <w:tcW w:w="1304" w:type="dxa"/>
            <w:tcBorders>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43,8%</w:t>
            </w:r>
          </w:p>
        </w:tc>
      </w:tr>
      <w:tr w:rsidR="001A17F4" w:rsidRPr="00D0299D" w:rsidTr="002018B7">
        <w:trPr>
          <w:trHeight w:val="165"/>
          <w:jc w:val="center"/>
        </w:trPr>
        <w:tc>
          <w:tcPr>
            <w:tcW w:w="4853" w:type="dxa"/>
            <w:tcBorders>
              <w:left w:val="single" w:sz="8" w:space="0" w:color="auto"/>
              <w:right w:val="single" w:sz="8"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ДДФЛ</w:t>
            </w:r>
          </w:p>
        </w:tc>
        <w:tc>
          <w:tcPr>
            <w:tcW w:w="1276"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4 074,6</w:t>
            </w:r>
          </w:p>
        </w:tc>
        <w:tc>
          <w:tcPr>
            <w:tcW w:w="1209"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2 072,3</w:t>
            </w:r>
          </w:p>
        </w:tc>
        <w:tc>
          <w:tcPr>
            <w:tcW w:w="1304" w:type="dxa"/>
            <w:tcBorders>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50,9%</w:t>
            </w:r>
          </w:p>
        </w:tc>
      </w:tr>
      <w:tr w:rsidR="001A17F4" w:rsidRPr="00D0299D" w:rsidTr="002018B7">
        <w:trPr>
          <w:trHeight w:val="165"/>
          <w:jc w:val="center"/>
        </w:trPr>
        <w:tc>
          <w:tcPr>
            <w:tcW w:w="4853" w:type="dxa"/>
            <w:tcBorders>
              <w:left w:val="single" w:sz="8" w:space="0" w:color="auto"/>
              <w:right w:val="single" w:sz="8"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ДДС</w:t>
            </w:r>
          </w:p>
        </w:tc>
        <w:tc>
          <w:tcPr>
            <w:tcW w:w="1276"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10 640,4</w:t>
            </w:r>
          </w:p>
        </w:tc>
        <w:tc>
          <w:tcPr>
            <w:tcW w:w="1209"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5 206,5</w:t>
            </w:r>
          </w:p>
        </w:tc>
        <w:tc>
          <w:tcPr>
            <w:tcW w:w="1304" w:type="dxa"/>
            <w:tcBorders>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48,9%</w:t>
            </w:r>
          </w:p>
        </w:tc>
      </w:tr>
      <w:tr w:rsidR="001A17F4" w:rsidRPr="00D0299D" w:rsidTr="002018B7">
        <w:trPr>
          <w:trHeight w:val="165"/>
          <w:jc w:val="center"/>
        </w:trPr>
        <w:tc>
          <w:tcPr>
            <w:tcW w:w="4853" w:type="dxa"/>
            <w:tcBorders>
              <w:left w:val="single" w:sz="8" w:space="0" w:color="auto"/>
              <w:right w:val="single" w:sz="8"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Акцизи </w:t>
            </w:r>
          </w:p>
        </w:tc>
        <w:tc>
          <w:tcPr>
            <w:tcW w:w="1276"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5 450,0</w:t>
            </w:r>
          </w:p>
        </w:tc>
        <w:tc>
          <w:tcPr>
            <w:tcW w:w="1209"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2 546,4</w:t>
            </w:r>
          </w:p>
        </w:tc>
        <w:tc>
          <w:tcPr>
            <w:tcW w:w="1304" w:type="dxa"/>
            <w:tcBorders>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46,7%</w:t>
            </w:r>
          </w:p>
        </w:tc>
      </w:tr>
      <w:tr w:rsidR="001A17F4" w:rsidRPr="00D0299D" w:rsidTr="002018B7">
        <w:trPr>
          <w:trHeight w:val="165"/>
          <w:jc w:val="center"/>
        </w:trPr>
        <w:tc>
          <w:tcPr>
            <w:tcW w:w="4853" w:type="dxa"/>
            <w:tcBorders>
              <w:left w:val="single" w:sz="8" w:space="0" w:color="auto"/>
              <w:right w:val="single" w:sz="8"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44,2</w:t>
            </w:r>
          </w:p>
        </w:tc>
        <w:tc>
          <w:tcPr>
            <w:tcW w:w="1209"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22,8</w:t>
            </w:r>
          </w:p>
        </w:tc>
        <w:tc>
          <w:tcPr>
            <w:tcW w:w="1304" w:type="dxa"/>
            <w:tcBorders>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51,5%</w:t>
            </w:r>
          </w:p>
        </w:tc>
      </w:tr>
      <w:tr w:rsidR="001A17F4" w:rsidRPr="00D0299D" w:rsidTr="002018B7">
        <w:trPr>
          <w:trHeight w:val="165"/>
          <w:jc w:val="center"/>
        </w:trPr>
        <w:tc>
          <w:tcPr>
            <w:tcW w:w="4853" w:type="dxa"/>
            <w:tcBorders>
              <w:left w:val="single" w:sz="8" w:space="0" w:color="auto"/>
              <w:right w:val="single" w:sz="8"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Мита и митнически такси</w:t>
            </w:r>
          </w:p>
        </w:tc>
        <w:tc>
          <w:tcPr>
            <w:tcW w:w="1276"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187,4</w:t>
            </w:r>
          </w:p>
        </w:tc>
        <w:tc>
          <w:tcPr>
            <w:tcW w:w="1209"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104,2</w:t>
            </w:r>
          </w:p>
        </w:tc>
        <w:tc>
          <w:tcPr>
            <w:tcW w:w="1304" w:type="dxa"/>
            <w:tcBorders>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55,6%</w:t>
            </w:r>
          </w:p>
        </w:tc>
      </w:tr>
      <w:tr w:rsidR="001A17F4" w:rsidRPr="00D0299D" w:rsidTr="002018B7">
        <w:trPr>
          <w:trHeight w:val="165"/>
          <w:jc w:val="center"/>
        </w:trPr>
        <w:tc>
          <w:tcPr>
            <w:tcW w:w="4853" w:type="dxa"/>
            <w:tcBorders>
              <w:left w:val="single" w:sz="8" w:space="0" w:color="auto"/>
              <w:right w:val="single" w:sz="8"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Други данъци</w:t>
            </w:r>
          </w:p>
        </w:tc>
        <w:tc>
          <w:tcPr>
            <w:tcW w:w="1276"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142,1</w:t>
            </w:r>
          </w:p>
        </w:tc>
        <w:tc>
          <w:tcPr>
            <w:tcW w:w="1209"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111,9</w:t>
            </w:r>
          </w:p>
        </w:tc>
        <w:tc>
          <w:tcPr>
            <w:tcW w:w="1304" w:type="dxa"/>
            <w:tcBorders>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78,7%</w:t>
            </w:r>
          </w:p>
        </w:tc>
      </w:tr>
      <w:tr w:rsidR="001A17F4" w:rsidRPr="00D0299D" w:rsidTr="002018B7">
        <w:trPr>
          <w:trHeight w:val="165"/>
          <w:jc w:val="center"/>
        </w:trPr>
        <w:tc>
          <w:tcPr>
            <w:tcW w:w="4853" w:type="dxa"/>
            <w:tcBorders>
              <w:left w:val="single" w:sz="8" w:space="0" w:color="auto"/>
              <w:right w:val="single" w:sz="8"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-Неданъчни приходи</w:t>
            </w:r>
          </w:p>
        </w:tc>
        <w:tc>
          <w:tcPr>
            <w:tcW w:w="1276"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3 014,8</w:t>
            </w:r>
          </w:p>
        </w:tc>
        <w:tc>
          <w:tcPr>
            <w:tcW w:w="1209"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991,3</w:t>
            </w:r>
          </w:p>
        </w:tc>
        <w:tc>
          <w:tcPr>
            <w:tcW w:w="1304" w:type="dxa"/>
            <w:tcBorders>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32,9%</w:t>
            </w:r>
          </w:p>
        </w:tc>
      </w:tr>
      <w:tr w:rsidR="001A17F4" w:rsidRPr="00D0299D" w:rsidTr="002018B7">
        <w:trPr>
          <w:trHeight w:val="165"/>
          <w:jc w:val="center"/>
        </w:trPr>
        <w:tc>
          <w:tcPr>
            <w:tcW w:w="4853" w:type="dxa"/>
            <w:tcBorders>
              <w:left w:val="single" w:sz="8" w:space="0" w:color="auto"/>
              <w:right w:val="single" w:sz="8"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-Помощи и дарения</w:t>
            </w:r>
          </w:p>
        </w:tc>
        <w:tc>
          <w:tcPr>
            <w:tcW w:w="1276"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0,</w:t>
            </w:r>
            <w:proofErr w:type="spellStart"/>
            <w:r w:rsidRPr="00D0299D">
              <w:rPr>
                <w:sz w:val="18"/>
                <w:szCs w:val="18"/>
              </w:rPr>
              <w:t>0</w:t>
            </w:r>
            <w:proofErr w:type="spellEnd"/>
          </w:p>
        </w:tc>
        <w:tc>
          <w:tcPr>
            <w:tcW w:w="1209" w:type="dxa"/>
            <w:tcBorders>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14,6</w:t>
            </w:r>
          </w:p>
        </w:tc>
        <w:tc>
          <w:tcPr>
            <w:tcW w:w="1304" w:type="dxa"/>
            <w:tcBorders>
              <w:left w:val="nil"/>
              <w:bottom w:val="nil"/>
              <w:right w:val="single" w:sz="8" w:space="0" w:color="auto"/>
            </w:tcBorders>
            <w:shd w:val="clear" w:color="auto" w:fill="auto"/>
            <w:noWrap/>
            <w:vAlign w:val="bottom"/>
          </w:tcPr>
          <w:p w:rsidR="001A17F4" w:rsidRPr="00D0299D" w:rsidRDefault="001A17F4" w:rsidP="002018B7">
            <w:pPr>
              <w:rPr>
                <w:sz w:val="18"/>
                <w:szCs w:val="18"/>
              </w:rPr>
            </w:pPr>
            <w:r w:rsidRPr="00D0299D">
              <w:rPr>
                <w:sz w:val="18"/>
                <w:szCs w:val="18"/>
              </w:rPr>
              <w:t> </w:t>
            </w:r>
          </w:p>
        </w:tc>
      </w:tr>
      <w:tr w:rsidR="001A17F4" w:rsidRPr="00D0299D" w:rsidTr="002018B7">
        <w:trPr>
          <w:trHeight w:val="199"/>
          <w:jc w:val="center"/>
        </w:trPr>
        <w:tc>
          <w:tcPr>
            <w:tcW w:w="4853" w:type="dxa"/>
            <w:tcBorders>
              <w:top w:val="single" w:sz="4" w:space="0" w:color="auto"/>
              <w:left w:val="single" w:sz="4" w:space="0" w:color="auto"/>
              <w:bottom w:val="nil"/>
              <w:right w:val="single" w:sz="4" w:space="0" w:color="auto"/>
            </w:tcBorders>
            <w:shd w:val="clear" w:color="auto" w:fill="auto"/>
            <w:noWrap/>
            <w:vAlign w:val="bottom"/>
          </w:tcPr>
          <w:p w:rsidR="001A17F4" w:rsidRPr="00D0299D" w:rsidRDefault="001A17F4" w:rsidP="002018B7">
            <w:pPr>
              <w:rPr>
                <w:b/>
                <w:bCs/>
                <w:sz w:val="18"/>
                <w:szCs w:val="18"/>
              </w:rPr>
            </w:pPr>
            <w:r w:rsidRPr="00D0299D">
              <w:rPr>
                <w:b/>
                <w:bCs/>
                <w:sz w:val="18"/>
                <w:szCs w:val="18"/>
              </w:rPr>
              <w:t xml:space="preserve"> Разходи,трансфери и вноска в бюджета на ЕС</w:t>
            </w:r>
          </w:p>
        </w:tc>
        <w:tc>
          <w:tcPr>
            <w:tcW w:w="1276" w:type="dxa"/>
            <w:tcBorders>
              <w:top w:val="single" w:sz="4" w:space="0" w:color="auto"/>
              <w:left w:val="nil"/>
              <w:bottom w:val="nil"/>
              <w:right w:val="nil"/>
            </w:tcBorders>
            <w:shd w:val="clear" w:color="auto" w:fill="auto"/>
            <w:noWrap/>
            <w:vAlign w:val="bottom"/>
          </w:tcPr>
          <w:p w:rsidR="001A17F4" w:rsidRPr="00D0299D" w:rsidRDefault="001A17F4" w:rsidP="002018B7">
            <w:pPr>
              <w:jc w:val="right"/>
              <w:rPr>
                <w:b/>
                <w:bCs/>
                <w:sz w:val="18"/>
                <w:szCs w:val="18"/>
              </w:rPr>
            </w:pPr>
            <w:r w:rsidRPr="00D0299D">
              <w:rPr>
                <w:b/>
                <w:bCs/>
                <w:sz w:val="18"/>
                <w:szCs w:val="18"/>
              </w:rPr>
              <w:t>29 492,3</w:t>
            </w:r>
          </w:p>
        </w:tc>
        <w:tc>
          <w:tcPr>
            <w:tcW w:w="1209" w:type="dxa"/>
            <w:tcBorders>
              <w:top w:val="single" w:sz="4" w:space="0" w:color="auto"/>
              <w:left w:val="nil"/>
              <w:bottom w:val="nil"/>
              <w:right w:val="nil"/>
            </w:tcBorders>
            <w:shd w:val="clear" w:color="auto" w:fill="auto"/>
            <w:noWrap/>
            <w:vAlign w:val="bottom"/>
          </w:tcPr>
          <w:p w:rsidR="001A17F4" w:rsidRPr="00D0299D" w:rsidRDefault="001A17F4" w:rsidP="002018B7">
            <w:pPr>
              <w:jc w:val="right"/>
              <w:rPr>
                <w:b/>
                <w:bCs/>
                <w:sz w:val="18"/>
                <w:szCs w:val="18"/>
              </w:rPr>
            </w:pPr>
            <w:r w:rsidRPr="00D0299D">
              <w:rPr>
                <w:b/>
                <w:bCs/>
                <w:sz w:val="18"/>
                <w:szCs w:val="18"/>
              </w:rPr>
              <w:t>12 221,4</w:t>
            </w:r>
          </w:p>
        </w:tc>
        <w:tc>
          <w:tcPr>
            <w:tcW w:w="1304" w:type="dxa"/>
            <w:tcBorders>
              <w:top w:val="single" w:sz="4" w:space="0" w:color="auto"/>
              <w:left w:val="nil"/>
              <w:bottom w:val="nil"/>
              <w:right w:val="single" w:sz="8" w:space="0" w:color="auto"/>
            </w:tcBorders>
            <w:shd w:val="clear" w:color="auto" w:fill="auto"/>
            <w:noWrap/>
            <w:vAlign w:val="bottom"/>
          </w:tcPr>
          <w:p w:rsidR="001A17F4" w:rsidRPr="00D0299D" w:rsidRDefault="001A17F4" w:rsidP="002018B7">
            <w:pPr>
              <w:jc w:val="right"/>
              <w:rPr>
                <w:b/>
                <w:bCs/>
                <w:sz w:val="18"/>
                <w:szCs w:val="18"/>
              </w:rPr>
            </w:pPr>
            <w:r w:rsidRPr="00D0299D">
              <w:rPr>
                <w:b/>
                <w:bCs/>
                <w:sz w:val="18"/>
                <w:szCs w:val="18"/>
              </w:rPr>
              <w:t>41,4%</w:t>
            </w:r>
          </w:p>
        </w:tc>
      </w:tr>
      <w:tr w:rsidR="001A17F4" w:rsidRPr="00D0299D" w:rsidTr="002018B7">
        <w:trPr>
          <w:trHeight w:val="101"/>
          <w:jc w:val="center"/>
        </w:trPr>
        <w:tc>
          <w:tcPr>
            <w:tcW w:w="4853" w:type="dxa"/>
            <w:tcBorders>
              <w:top w:val="nil"/>
              <w:left w:val="single" w:sz="4" w:space="0" w:color="auto"/>
              <w:bottom w:val="nil"/>
              <w:right w:val="single" w:sz="4" w:space="0" w:color="auto"/>
            </w:tcBorders>
            <w:shd w:val="clear" w:color="auto" w:fill="auto"/>
            <w:noWrap/>
            <w:vAlign w:val="bottom"/>
          </w:tcPr>
          <w:p w:rsidR="001A17F4" w:rsidRPr="00D0299D" w:rsidRDefault="001A17F4" w:rsidP="002018B7">
            <w:pPr>
              <w:rPr>
                <w:b/>
                <w:i/>
                <w:sz w:val="18"/>
                <w:szCs w:val="18"/>
              </w:rPr>
            </w:pPr>
            <w:r w:rsidRPr="00D0299D">
              <w:rPr>
                <w:b/>
                <w:i/>
                <w:sz w:val="18"/>
                <w:szCs w:val="18"/>
              </w:rPr>
              <w:t xml:space="preserve">   -Нелихвени разходи</w:t>
            </w:r>
          </w:p>
        </w:tc>
        <w:tc>
          <w:tcPr>
            <w:tcW w:w="1276"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13 653,6</w:t>
            </w:r>
          </w:p>
        </w:tc>
        <w:tc>
          <w:tcPr>
            <w:tcW w:w="1209"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4 830,2</w:t>
            </w:r>
          </w:p>
        </w:tc>
        <w:tc>
          <w:tcPr>
            <w:tcW w:w="1304" w:type="dxa"/>
            <w:tcBorders>
              <w:top w:val="nil"/>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35,4%</w:t>
            </w:r>
          </w:p>
        </w:tc>
      </w:tr>
      <w:tr w:rsidR="001A17F4" w:rsidRPr="00D0299D" w:rsidTr="002018B7">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Текущи </w:t>
            </w:r>
          </w:p>
        </w:tc>
        <w:tc>
          <w:tcPr>
            <w:tcW w:w="1276"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10 717,6</w:t>
            </w:r>
          </w:p>
        </w:tc>
        <w:tc>
          <w:tcPr>
            <w:tcW w:w="1209"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4 589,2</w:t>
            </w:r>
          </w:p>
        </w:tc>
        <w:tc>
          <w:tcPr>
            <w:tcW w:w="1304" w:type="dxa"/>
            <w:tcBorders>
              <w:top w:val="nil"/>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42,8%</w:t>
            </w:r>
          </w:p>
        </w:tc>
      </w:tr>
      <w:tr w:rsidR="001A17F4" w:rsidRPr="00D0299D" w:rsidTr="002018B7">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Предоставени </w:t>
            </w:r>
            <w:proofErr w:type="spellStart"/>
            <w:r w:rsidRPr="00D0299D">
              <w:rPr>
                <w:sz w:val="18"/>
                <w:szCs w:val="18"/>
              </w:rPr>
              <w:t>тек</w:t>
            </w:r>
            <w:proofErr w:type="spellEnd"/>
            <w:r w:rsidRPr="00D0299D">
              <w:rPr>
                <w:sz w:val="18"/>
                <w:szCs w:val="18"/>
              </w:rPr>
              <w:t xml:space="preserve">. и </w:t>
            </w:r>
            <w:proofErr w:type="spellStart"/>
            <w:r w:rsidRPr="00D0299D">
              <w:rPr>
                <w:sz w:val="18"/>
                <w:szCs w:val="18"/>
              </w:rPr>
              <w:t>капит</w:t>
            </w:r>
            <w:proofErr w:type="spellEnd"/>
            <w:r w:rsidRPr="00D0299D">
              <w:rPr>
                <w:sz w:val="18"/>
                <w:szCs w:val="18"/>
              </w:rPr>
              <w:t>. трансфери за чужбина</w:t>
            </w:r>
          </w:p>
        </w:tc>
        <w:tc>
          <w:tcPr>
            <w:tcW w:w="1276"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28,5</w:t>
            </w:r>
          </w:p>
        </w:tc>
        <w:tc>
          <w:tcPr>
            <w:tcW w:w="1209"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4,5</w:t>
            </w:r>
          </w:p>
        </w:tc>
        <w:tc>
          <w:tcPr>
            <w:tcW w:w="1304" w:type="dxa"/>
            <w:tcBorders>
              <w:top w:val="nil"/>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15,8%</w:t>
            </w:r>
          </w:p>
        </w:tc>
      </w:tr>
      <w:tr w:rsidR="001A17F4" w:rsidRPr="00D0299D" w:rsidTr="002018B7">
        <w:trPr>
          <w:trHeight w:val="179"/>
          <w:jc w:val="center"/>
        </w:trPr>
        <w:tc>
          <w:tcPr>
            <w:tcW w:w="4853" w:type="dxa"/>
            <w:tcBorders>
              <w:top w:val="nil"/>
              <w:left w:val="single" w:sz="4" w:space="0" w:color="auto"/>
              <w:bottom w:val="nil"/>
              <w:right w:val="single" w:sz="4"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Капиталови</w:t>
            </w:r>
          </w:p>
        </w:tc>
        <w:tc>
          <w:tcPr>
            <w:tcW w:w="1276"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2 907,6</w:t>
            </w:r>
          </w:p>
        </w:tc>
        <w:tc>
          <w:tcPr>
            <w:tcW w:w="1209"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236,5</w:t>
            </w:r>
          </w:p>
        </w:tc>
        <w:tc>
          <w:tcPr>
            <w:tcW w:w="1304" w:type="dxa"/>
            <w:tcBorders>
              <w:top w:val="nil"/>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8,1%</w:t>
            </w:r>
          </w:p>
        </w:tc>
      </w:tr>
      <w:tr w:rsidR="001A17F4" w:rsidRPr="00D0299D" w:rsidTr="002018B7">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1A17F4" w:rsidRPr="00D0299D" w:rsidRDefault="001A17F4" w:rsidP="002018B7">
            <w:pPr>
              <w:rPr>
                <w:b/>
                <w:i/>
                <w:sz w:val="18"/>
                <w:szCs w:val="18"/>
              </w:rPr>
            </w:pPr>
            <w:r w:rsidRPr="00D0299D">
              <w:rPr>
                <w:b/>
                <w:i/>
                <w:sz w:val="18"/>
                <w:szCs w:val="18"/>
              </w:rPr>
              <w:t xml:space="preserve">   -Лихви</w:t>
            </w:r>
          </w:p>
        </w:tc>
        <w:tc>
          <w:tcPr>
            <w:tcW w:w="1276"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691,6</w:t>
            </w:r>
          </w:p>
        </w:tc>
        <w:tc>
          <w:tcPr>
            <w:tcW w:w="1209"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344,2</w:t>
            </w:r>
          </w:p>
        </w:tc>
        <w:tc>
          <w:tcPr>
            <w:tcW w:w="1304" w:type="dxa"/>
            <w:tcBorders>
              <w:top w:val="nil"/>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49,8%</w:t>
            </w:r>
          </w:p>
        </w:tc>
      </w:tr>
      <w:tr w:rsidR="001A17F4" w:rsidRPr="00D0299D" w:rsidTr="002018B7">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433,0</w:t>
            </w:r>
          </w:p>
        </w:tc>
        <w:tc>
          <w:tcPr>
            <w:tcW w:w="1209"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lang w:val="en-US"/>
              </w:rPr>
              <w:t>279</w:t>
            </w:r>
            <w:r w:rsidRPr="00D0299D">
              <w:rPr>
                <w:sz w:val="18"/>
                <w:szCs w:val="18"/>
              </w:rPr>
              <w:t>,0</w:t>
            </w:r>
          </w:p>
        </w:tc>
        <w:tc>
          <w:tcPr>
            <w:tcW w:w="1304" w:type="dxa"/>
            <w:tcBorders>
              <w:top w:val="nil"/>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64,4%</w:t>
            </w:r>
          </w:p>
        </w:tc>
      </w:tr>
      <w:tr w:rsidR="001A17F4" w:rsidRPr="00D0299D" w:rsidTr="002018B7">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1A17F4" w:rsidRPr="00D0299D" w:rsidRDefault="001A17F4" w:rsidP="002018B7">
            <w:pPr>
              <w:rPr>
                <w:sz w:val="18"/>
                <w:szCs w:val="18"/>
              </w:rPr>
            </w:pPr>
            <w:r w:rsidRPr="00D0299D">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258,6</w:t>
            </w:r>
          </w:p>
        </w:tc>
        <w:tc>
          <w:tcPr>
            <w:tcW w:w="1209"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65,2</w:t>
            </w:r>
          </w:p>
        </w:tc>
        <w:tc>
          <w:tcPr>
            <w:tcW w:w="1304" w:type="dxa"/>
            <w:tcBorders>
              <w:top w:val="nil"/>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25,2%</w:t>
            </w:r>
          </w:p>
        </w:tc>
      </w:tr>
      <w:tr w:rsidR="001A17F4" w:rsidRPr="00D0299D" w:rsidTr="002018B7">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1A17F4" w:rsidRPr="00D0299D" w:rsidRDefault="001A17F4" w:rsidP="002018B7">
            <w:pPr>
              <w:rPr>
                <w:b/>
                <w:i/>
                <w:sz w:val="18"/>
                <w:szCs w:val="18"/>
              </w:rPr>
            </w:pPr>
            <w:r w:rsidRPr="00D0299D">
              <w:rPr>
                <w:b/>
                <w:i/>
                <w:sz w:val="18"/>
                <w:szCs w:val="18"/>
              </w:rPr>
              <w:t xml:space="preserve"> - Резерв за непредвидени и неотложни разходи</w:t>
            </w:r>
            <w:r w:rsidRPr="00D0299D">
              <w:rPr>
                <w:b/>
                <w:bCs/>
                <w:sz w:val="20"/>
                <w:szCs w:val="20"/>
                <w:vertAlign w:val="superscript"/>
              </w:rPr>
              <w:footnoteReference w:id="10"/>
            </w:r>
            <w:r w:rsidRPr="00D0299D">
              <w:rPr>
                <w:b/>
                <w:i/>
                <w:sz w:val="18"/>
                <w:szCs w:val="18"/>
              </w:rPr>
              <w:tab/>
            </w:r>
          </w:p>
        </w:tc>
        <w:tc>
          <w:tcPr>
            <w:tcW w:w="1276"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81,1</w:t>
            </w:r>
          </w:p>
        </w:tc>
        <w:tc>
          <w:tcPr>
            <w:tcW w:w="1209"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p>
        </w:tc>
        <w:tc>
          <w:tcPr>
            <w:tcW w:w="1304" w:type="dxa"/>
            <w:tcBorders>
              <w:top w:val="nil"/>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p>
        </w:tc>
      </w:tr>
      <w:tr w:rsidR="001A17F4" w:rsidRPr="00D0299D" w:rsidTr="002018B7">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1A17F4" w:rsidRPr="00D0299D" w:rsidRDefault="001A17F4" w:rsidP="002018B7">
            <w:pPr>
              <w:rPr>
                <w:b/>
                <w:i/>
                <w:sz w:val="18"/>
                <w:szCs w:val="18"/>
              </w:rPr>
            </w:pPr>
            <w:r w:rsidRPr="00D0299D">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13 668,5</w:t>
            </w:r>
          </w:p>
        </w:tc>
        <w:tc>
          <w:tcPr>
            <w:tcW w:w="1209" w:type="dxa"/>
            <w:tcBorders>
              <w:top w:val="nil"/>
              <w:left w:val="nil"/>
              <w:bottom w:val="nil"/>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6 358,4</w:t>
            </w:r>
          </w:p>
        </w:tc>
        <w:tc>
          <w:tcPr>
            <w:tcW w:w="1304" w:type="dxa"/>
            <w:tcBorders>
              <w:top w:val="nil"/>
              <w:left w:val="nil"/>
              <w:bottom w:val="nil"/>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46,5%</w:t>
            </w:r>
          </w:p>
        </w:tc>
      </w:tr>
      <w:tr w:rsidR="001A17F4" w:rsidRPr="00D0299D" w:rsidTr="002018B7">
        <w:trPr>
          <w:trHeight w:val="80"/>
          <w:jc w:val="center"/>
        </w:trPr>
        <w:tc>
          <w:tcPr>
            <w:tcW w:w="4853" w:type="dxa"/>
            <w:tcBorders>
              <w:top w:val="nil"/>
              <w:left w:val="single" w:sz="4" w:space="0" w:color="auto"/>
              <w:bottom w:val="single" w:sz="4" w:space="0" w:color="auto"/>
              <w:right w:val="single" w:sz="4" w:space="0" w:color="auto"/>
            </w:tcBorders>
            <w:shd w:val="clear" w:color="auto" w:fill="auto"/>
            <w:noWrap/>
            <w:vAlign w:val="bottom"/>
          </w:tcPr>
          <w:p w:rsidR="001A17F4" w:rsidRPr="00D0299D" w:rsidRDefault="001A17F4" w:rsidP="002018B7">
            <w:pPr>
              <w:rPr>
                <w:b/>
                <w:bCs/>
                <w:i/>
                <w:sz w:val="18"/>
                <w:szCs w:val="18"/>
              </w:rPr>
            </w:pPr>
            <w:r w:rsidRPr="00D0299D">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1 397,4</w:t>
            </w:r>
          </w:p>
        </w:tc>
        <w:tc>
          <w:tcPr>
            <w:tcW w:w="1209" w:type="dxa"/>
            <w:tcBorders>
              <w:top w:val="nil"/>
              <w:left w:val="nil"/>
              <w:bottom w:val="single" w:sz="4" w:space="0" w:color="auto"/>
              <w:right w:val="nil"/>
            </w:tcBorders>
            <w:shd w:val="clear" w:color="auto" w:fill="auto"/>
            <w:noWrap/>
            <w:vAlign w:val="bottom"/>
          </w:tcPr>
          <w:p w:rsidR="001A17F4" w:rsidRPr="00D0299D" w:rsidRDefault="001A17F4" w:rsidP="002018B7">
            <w:pPr>
              <w:jc w:val="right"/>
              <w:rPr>
                <w:sz w:val="18"/>
                <w:szCs w:val="18"/>
              </w:rPr>
            </w:pPr>
            <w:r w:rsidRPr="00D0299D">
              <w:rPr>
                <w:sz w:val="18"/>
                <w:szCs w:val="18"/>
              </w:rPr>
              <w:t>688,6</w:t>
            </w:r>
          </w:p>
        </w:tc>
        <w:tc>
          <w:tcPr>
            <w:tcW w:w="1304" w:type="dxa"/>
            <w:tcBorders>
              <w:top w:val="nil"/>
              <w:left w:val="nil"/>
              <w:bottom w:val="single" w:sz="4" w:space="0" w:color="auto"/>
              <w:right w:val="single" w:sz="8" w:space="0" w:color="auto"/>
            </w:tcBorders>
            <w:shd w:val="clear" w:color="auto" w:fill="auto"/>
            <w:noWrap/>
            <w:vAlign w:val="bottom"/>
          </w:tcPr>
          <w:p w:rsidR="001A17F4" w:rsidRPr="00D0299D" w:rsidRDefault="001A17F4" w:rsidP="002018B7">
            <w:pPr>
              <w:jc w:val="right"/>
              <w:rPr>
                <w:sz w:val="18"/>
                <w:szCs w:val="18"/>
              </w:rPr>
            </w:pPr>
            <w:r w:rsidRPr="00D0299D">
              <w:rPr>
                <w:sz w:val="18"/>
                <w:szCs w:val="18"/>
              </w:rPr>
              <w:t>49,3%</w:t>
            </w:r>
          </w:p>
        </w:tc>
      </w:tr>
      <w:tr w:rsidR="001A17F4" w:rsidRPr="00D0299D" w:rsidTr="002018B7">
        <w:trPr>
          <w:trHeight w:val="70"/>
          <w:jc w:val="center"/>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17F4" w:rsidRPr="00D0299D" w:rsidRDefault="001A17F4" w:rsidP="002018B7">
            <w:pPr>
              <w:rPr>
                <w:b/>
                <w:bCs/>
                <w:sz w:val="18"/>
                <w:szCs w:val="18"/>
              </w:rPr>
            </w:pPr>
            <w:r w:rsidRPr="00D0299D">
              <w:rPr>
                <w:b/>
                <w:bCs/>
                <w:sz w:val="18"/>
                <w:szCs w:val="18"/>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rsidR="001A17F4" w:rsidRPr="00D0299D" w:rsidRDefault="001A17F4" w:rsidP="002018B7">
            <w:pPr>
              <w:jc w:val="right"/>
              <w:rPr>
                <w:b/>
                <w:bCs/>
                <w:sz w:val="18"/>
                <w:szCs w:val="18"/>
              </w:rPr>
            </w:pPr>
            <w:r w:rsidRPr="00D0299D">
              <w:rPr>
                <w:b/>
                <w:bCs/>
                <w:sz w:val="18"/>
                <w:szCs w:val="18"/>
              </w:rPr>
              <w:t>-3 451,5</w:t>
            </w:r>
          </w:p>
        </w:tc>
        <w:tc>
          <w:tcPr>
            <w:tcW w:w="1209" w:type="dxa"/>
            <w:tcBorders>
              <w:top w:val="single" w:sz="4" w:space="0" w:color="auto"/>
              <w:left w:val="nil"/>
              <w:bottom w:val="single" w:sz="8" w:space="0" w:color="auto"/>
              <w:right w:val="nil"/>
            </w:tcBorders>
            <w:shd w:val="clear" w:color="auto" w:fill="auto"/>
            <w:noWrap/>
            <w:vAlign w:val="bottom"/>
          </w:tcPr>
          <w:p w:rsidR="001A17F4" w:rsidRPr="00D0299D" w:rsidRDefault="001A17F4" w:rsidP="002018B7">
            <w:pPr>
              <w:jc w:val="right"/>
              <w:rPr>
                <w:b/>
                <w:bCs/>
                <w:sz w:val="18"/>
                <w:szCs w:val="18"/>
              </w:rPr>
            </w:pPr>
            <w:r w:rsidRPr="00D0299D">
              <w:rPr>
                <w:b/>
                <w:bCs/>
                <w:sz w:val="18"/>
                <w:szCs w:val="18"/>
              </w:rPr>
              <w:t>-62,0</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1A17F4" w:rsidRPr="00D0299D" w:rsidRDefault="001A17F4" w:rsidP="002018B7">
            <w:pPr>
              <w:jc w:val="right"/>
              <w:rPr>
                <w:b/>
                <w:bCs/>
                <w:sz w:val="18"/>
                <w:szCs w:val="18"/>
              </w:rPr>
            </w:pPr>
          </w:p>
        </w:tc>
      </w:tr>
    </w:tbl>
    <w:p w:rsidR="001A17F4" w:rsidRPr="00245EC9" w:rsidRDefault="001A17F4" w:rsidP="001A17F4">
      <w:pPr>
        <w:spacing w:after="120"/>
        <w:ind w:left="360"/>
        <w:jc w:val="both"/>
        <w:rPr>
          <w:b/>
          <w:color w:val="4F81BD" w:themeColor="accent1"/>
          <w:sz w:val="6"/>
          <w:lang w:val="en-US"/>
        </w:rPr>
      </w:pPr>
    </w:p>
    <w:p w:rsidR="001A17F4" w:rsidRPr="00245EC9" w:rsidRDefault="001A17F4" w:rsidP="001A17F4">
      <w:pPr>
        <w:spacing w:after="120"/>
        <w:ind w:left="360"/>
        <w:jc w:val="both"/>
        <w:rPr>
          <w:b/>
          <w:color w:val="4F81BD" w:themeColor="accent1"/>
          <w:sz w:val="6"/>
          <w:lang w:val="en-US"/>
        </w:rPr>
      </w:pPr>
    </w:p>
    <w:p w:rsidR="001A17F4" w:rsidRPr="008B7867" w:rsidRDefault="001A17F4" w:rsidP="001A17F4">
      <w:pPr>
        <w:pStyle w:val="BodyTextIndent"/>
        <w:numPr>
          <w:ilvl w:val="0"/>
          <w:numId w:val="2"/>
        </w:numPr>
        <w:jc w:val="both"/>
        <w:rPr>
          <w:b/>
        </w:rPr>
      </w:pPr>
      <w:r w:rsidRPr="008B7867">
        <w:rPr>
          <w:b/>
          <w:bCs/>
        </w:rPr>
        <w:t xml:space="preserve">Приходи по държавния бюджет </w:t>
      </w:r>
    </w:p>
    <w:p w:rsidR="001A17F4" w:rsidRPr="00D53CAE" w:rsidRDefault="001A17F4" w:rsidP="001A17F4">
      <w:pPr>
        <w:spacing w:after="120"/>
        <w:jc w:val="both"/>
        <w:rPr>
          <w:bCs/>
        </w:rPr>
      </w:pPr>
      <w:r w:rsidRPr="00D53CAE">
        <w:rPr>
          <w:bCs/>
        </w:rPr>
        <w:t>Общият размер на</w:t>
      </w:r>
      <w:r w:rsidRPr="00D53CAE">
        <w:rPr>
          <w:b/>
          <w:bCs/>
        </w:rPr>
        <w:t xml:space="preserve"> приходите, помощите и даренията по държавния бюджет</w:t>
      </w:r>
      <w:r w:rsidRPr="00D53CAE">
        <w:rPr>
          <w:bCs/>
        </w:rPr>
        <w:t xml:space="preserve"> към юни</w:t>
      </w:r>
      <w:r w:rsidRPr="00D53CAE">
        <w:t xml:space="preserve"> </w:t>
      </w:r>
      <w:r w:rsidRPr="00D53CAE">
        <w:rPr>
          <w:bCs/>
        </w:rPr>
        <w:t>2020 г. е</w:t>
      </w:r>
      <w:r w:rsidRPr="00D53CAE">
        <w:rPr>
          <w:b/>
          <w:bCs/>
        </w:rPr>
        <w:t xml:space="preserve"> 12 159,5 млн. лв.</w:t>
      </w:r>
      <w:r w:rsidRPr="00D53CAE">
        <w:rPr>
          <w:bCs/>
        </w:rPr>
        <w:t>, което представлява 46,7 % изпълнение на разчетите по ЗДБРБ за 2020 година.</w:t>
      </w:r>
    </w:p>
    <w:p w:rsidR="001A17F4" w:rsidRPr="00840947" w:rsidRDefault="001A17F4" w:rsidP="001A17F4">
      <w:pPr>
        <w:numPr>
          <w:ilvl w:val="0"/>
          <w:numId w:val="3"/>
        </w:numPr>
        <w:tabs>
          <w:tab w:val="num" w:pos="720"/>
        </w:tabs>
        <w:ind w:left="0" w:firstLine="180"/>
        <w:jc w:val="both"/>
        <w:rPr>
          <w:b/>
          <w:bCs/>
        </w:rPr>
      </w:pPr>
      <w:r w:rsidRPr="00840947">
        <w:rPr>
          <w:bCs/>
        </w:rPr>
        <w:t xml:space="preserve"> </w:t>
      </w:r>
      <w:r w:rsidRPr="00840947">
        <w:rPr>
          <w:b/>
          <w:bCs/>
        </w:rPr>
        <w:t>Данъчни приходи</w:t>
      </w:r>
    </w:p>
    <w:p w:rsidR="001A17F4" w:rsidRPr="001A2A51" w:rsidRDefault="001A17F4" w:rsidP="001A17F4">
      <w:pPr>
        <w:jc w:val="both"/>
        <w:rPr>
          <w:bCs/>
          <w:color w:val="0070C0"/>
          <w:sz w:val="4"/>
          <w:szCs w:val="4"/>
        </w:rPr>
      </w:pPr>
    </w:p>
    <w:p w:rsidR="001A17F4" w:rsidRPr="00840947" w:rsidRDefault="001A17F4" w:rsidP="001A17F4">
      <w:pPr>
        <w:jc w:val="both"/>
      </w:pPr>
      <w:r w:rsidRPr="00840947">
        <w:rPr>
          <w:bCs/>
        </w:rPr>
        <w:t>Размерът на</w:t>
      </w:r>
      <w:r w:rsidRPr="00840947">
        <w:rPr>
          <w:b/>
          <w:bCs/>
        </w:rPr>
        <w:t xml:space="preserve"> данъчните постъпления по държавния бюджет</w:t>
      </w:r>
      <w:r w:rsidRPr="00840947">
        <w:rPr>
          <w:bCs/>
        </w:rPr>
        <w:t xml:space="preserve"> към юни</w:t>
      </w:r>
      <w:r w:rsidRPr="00840947">
        <w:t xml:space="preserve"> </w:t>
      </w:r>
      <w:r w:rsidRPr="00840947">
        <w:rPr>
          <w:bCs/>
        </w:rPr>
        <w:t xml:space="preserve">2020 г. </w:t>
      </w:r>
      <w:r w:rsidRPr="00840947">
        <w:t xml:space="preserve">е </w:t>
      </w:r>
      <w:r w:rsidRPr="00840947">
        <w:rPr>
          <w:b/>
        </w:rPr>
        <w:t>11 153,5 млн. лв</w:t>
      </w:r>
      <w:r w:rsidRPr="00840947">
        <w:t>., което представлява 48,4 % изпълнение на годишните разчети. В сравнение със същия период на 2019 г. постъпленията в групата намаляват с 818,4 млн. лв. (6,8</w:t>
      </w:r>
      <w:r w:rsidRPr="00840947">
        <w:rPr>
          <w:b/>
          <w:bCs/>
        </w:rPr>
        <w:t> </w:t>
      </w:r>
      <w:r w:rsidRPr="00840947">
        <w:t xml:space="preserve">%). </w:t>
      </w:r>
    </w:p>
    <w:p w:rsidR="001A17F4" w:rsidRPr="001A2A51" w:rsidRDefault="001A17F4" w:rsidP="001A17F4">
      <w:pPr>
        <w:jc w:val="both"/>
        <w:rPr>
          <w:color w:val="0070C0"/>
          <w:sz w:val="10"/>
        </w:rPr>
      </w:pPr>
    </w:p>
    <w:p w:rsidR="001A17F4" w:rsidRPr="00840947" w:rsidRDefault="001A17F4" w:rsidP="001A17F4">
      <w:pPr>
        <w:numPr>
          <w:ilvl w:val="0"/>
          <w:numId w:val="4"/>
        </w:numPr>
        <w:tabs>
          <w:tab w:val="clear" w:pos="1440"/>
          <w:tab w:val="num" w:pos="540"/>
        </w:tabs>
        <w:spacing w:after="120"/>
        <w:ind w:left="0" w:firstLine="181"/>
        <w:jc w:val="both"/>
        <w:rPr>
          <w:b/>
          <w:bCs/>
        </w:rPr>
      </w:pPr>
      <w:r w:rsidRPr="00840947">
        <w:rPr>
          <w:b/>
          <w:bCs/>
        </w:rPr>
        <w:t>Преки данъци</w:t>
      </w:r>
    </w:p>
    <w:p w:rsidR="000701A7" w:rsidRDefault="000701A7" w:rsidP="000701A7">
      <w:pPr>
        <w:spacing w:after="120"/>
        <w:jc w:val="both"/>
        <w:rPr>
          <w:lang w:val="en-US"/>
        </w:rPr>
      </w:pPr>
      <w:r w:rsidRPr="00840947">
        <w:t>Приходите в групата на</w:t>
      </w:r>
      <w:r w:rsidRPr="00840947">
        <w:rPr>
          <w:b/>
        </w:rPr>
        <w:t xml:space="preserve"> преките данъци</w:t>
      </w:r>
      <w:r w:rsidRPr="00840947">
        <w:t xml:space="preserve"> са в размер на</w:t>
      </w:r>
      <w:r w:rsidRPr="00840947">
        <w:rPr>
          <w:b/>
        </w:rPr>
        <w:t> 3 161,8 млн. лв</w:t>
      </w:r>
      <w:r w:rsidRPr="00840947">
        <w:t>. или 48,2 % от планираните за годината, като съпоставени със същия период на предходната година намаляват със 161,2 млн. лв.</w:t>
      </w:r>
      <w:r w:rsidRPr="0020691D">
        <w:t xml:space="preserve"> (4,9 %). Приходите от</w:t>
      </w:r>
      <w:r w:rsidRPr="0020691D">
        <w:rPr>
          <w:b/>
        </w:rPr>
        <w:t xml:space="preserve"> </w:t>
      </w:r>
      <w:r w:rsidRPr="005C4DE5">
        <w:rPr>
          <w:b/>
          <w:bCs/>
          <w:i/>
        </w:rPr>
        <w:t>корпоративни данъци</w:t>
      </w:r>
      <w:r w:rsidRPr="0020691D">
        <w:t xml:space="preserve"> </w:t>
      </w:r>
      <w:r w:rsidRPr="0020691D">
        <w:rPr>
          <w:bCs/>
        </w:rPr>
        <w:t xml:space="preserve">към юни </w:t>
      </w:r>
      <w:r w:rsidRPr="0020691D">
        <w:t>2020</w:t>
      </w:r>
      <w:r w:rsidRPr="0020691D">
        <w:rPr>
          <w:b/>
        </w:rPr>
        <w:t> </w:t>
      </w:r>
      <w:r w:rsidRPr="0020691D">
        <w:t>г. са в размер на 1 089,5 млн. лв. или 43,8 % от годишния план.</w:t>
      </w:r>
      <w:r w:rsidRPr="001A2A51">
        <w:rPr>
          <w:color w:val="0070C0"/>
        </w:rPr>
        <w:t xml:space="preserve"> </w:t>
      </w:r>
      <w:r w:rsidRPr="00C32AA5">
        <w:t>Спрямо първите шест месеца на предходната година постъпленията намаляват с 249,9 млн. лв. (18,7 %).</w:t>
      </w:r>
      <w:r w:rsidRPr="001A2A51">
        <w:rPr>
          <w:color w:val="0070C0"/>
        </w:rPr>
        <w:t xml:space="preserve"> </w:t>
      </w:r>
      <w:r w:rsidRPr="002543D0">
        <w:t>Изоставането в изпълнението при тази група данъци е основно при корпоративния данък от нефинансови предприятия, ко</w:t>
      </w:r>
      <w:r>
        <w:t>йто намалява</w:t>
      </w:r>
      <w:r w:rsidRPr="002543D0">
        <w:t xml:space="preserve"> с 21,1 % на годишна база</w:t>
      </w:r>
      <w:r w:rsidRPr="00592CDF">
        <w:rPr>
          <w:lang w:val="en-US"/>
        </w:rPr>
        <w:t>.</w:t>
      </w:r>
      <w:r w:rsidRPr="005C4DE5">
        <w:t xml:space="preserve"> </w:t>
      </w:r>
      <w:r w:rsidRPr="00DD7B89">
        <w:t xml:space="preserve">Приходите от </w:t>
      </w:r>
      <w:r w:rsidRPr="00C11DAD">
        <w:t>нефинансови предприятия</w:t>
      </w:r>
      <w:r w:rsidRPr="00DD7B89">
        <w:t xml:space="preserve"> формират основната част от постъпленията от корпоративен данък и </w:t>
      </w:r>
      <w:r w:rsidRPr="00EE2D93">
        <w:t>представляват</w:t>
      </w:r>
      <w:r w:rsidRPr="00EE2D93">
        <w:rPr>
          <w:color w:val="0070C0"/>
        </w:rPr>
        <w:t xml:space="preserve"> </w:t>
      </w:r>
      <w:r w:rsidRPr="00EE2D93">
        <w:t>90,8 %</w:t>
      </w:r>
      <w:r w:rsidRPr="00EE2D93">
        <w:rPr>
          <w:color w:val="0070C0"/>
        </w:rPr>
        <w:t xml:space="preserve"> </w:t>
      </w:r>
      <w:r w:rsidRPr="00EE2D93">
        <w:t>от общата</w:t>
      </w:r>
      <w:r w:rsidRPr="00DD7B89">
        <w:t xml:space="preserve"> сума за отчетния период.</w:t>
      </w:r>
      <w:r>
        <w:t xml:space="preserve"> </w:t>
      </w:r>
      <w:r w:rsidRPr="00592CDF">
        <w:t>Приходите</w:t>
      </w:r>
      <w:r w:rsidRPr="00C32AA5">
        <w:t xml:space="preserve"> от данък върху дивидентите, ликвидационните дялове и доходите на местни и чуждестранни юридически лица се повишават с 4,3 млн. лв. (12,8 %) спрямо периода януари-юни 2019 година.</w:t>
      </w:r>
      <w:r w:rsidRPr="001A2A51">
        <w:rPr>
          <w:color w:val="0070C0"/>
        </w:rPr>
        <w:t xml:space="preserve"> </w:t>
      </w:r>
    </w:p>
    <w:p w:rsidR="002734B2" w:rsidRDefault="002734B2" w:rsidP="002734B2">
      <w:pPr>
        <w:spacing w:after="120"/>
        <w:jc w:val="both"/>
        <w:rPr>
          <w:lang w:val="en-US"/>
        </w:rPr>
      </w:pPr>
      <w:r w:rsidRPr="002734B2">
        <w:lastRenderedPageBreak/>
        <w:t>След изтичане на удължения краен срок (от 31 март на 30 юни 2020 г.) за подаване на годишна данъчна декларация за 2019 г. по Закона за корпоративното подоходно облагане (ЗКПО) и за внасяне на корпоративния данък се отчита известно компенсиране на</w:t>
      </w:r>
      <w:r>
        <w:t xml:space="preserve"> изоставането от предходните месеци, но постъпленията все още са по-ниски от отчетените за същия период на предходната година. Влияние върху размера на постъпленията за периода оказва</w:t>
      </w:r>
      <w:r w:rsidRPr="009927DE">
        <w:t xml:space="preserve"> и възможността за промяна на </w:t>
      </w:r>
      <w:r>
        <w:t xml:space="preserve">размера на </w:t>
      </w:r>
      <w:r w:rsidRPr="009927DE">
        <w:t>авансовите вноски по реда на чл. 88 от ЗКПО и на тримесечни авансови вноски по чл. 87а, ал. 2 и 3 от ЗКПО, което също влияе на размера на постъпленията за 2020 година.</w:t>
      </w:r>
    </w:p>
    <w:p w:rsidR="000701A7" w:rsidRPr="001A2A51" w:rsidRDefault="000701A7" w:rsidP="000701A7">
      <w:pPr>
        <w:spacing w:after="120"/>
        <w:jc w:val="both"/>
        <w:rPr>
          <w:color w:val="0070C0"/>
        </w:rPr>
      </w:pPr>
      <w:r w:rsidRPr="00EC1D54">
        <w:t>Приходите от</w:t>
      </w:r>
      <w:r w:rsidRPr="00EC1D54">
        <w:rPr>
          <w:b/>
        </w:rPr>
        <w:t xml:space="preserve"> данъци върху доходите на физически лица </w:t>
      </w:r>
      <w:r w:rsidRPr="00EC1D54">
        <w:t xml:space="preserve">са в размер на </w:t>
      </w:r>
      <w:r w:rsidRPr="00EC1D54">
        <w:rPr>
          <w:b/>
        </w:rPr>
        <w:t>2 072,3 млн. лв.</w:t>
      </w:r>
      <w:r w:rsidRPr="00EC1D54">
        <w:t xml:space="preserve"> или 50,9 % от заложените в разчета за годината.</w:t>
      </w:r>
      <w:r w:rsidRPr="001A2A51">
        <w:rPr>
          <w:color w:val="0070C0"/>
        </w:rPr>
        <w:t xml:space="preserve"> </w:t>
      </w:r>
      <w:r w:rsidRPr="004225FF">
        <w:t>Тези приходи са с 88,7 млн. лв. повече (4,5 %), спрямо същия период на предходната година. Върху размера на данъчните постъпле</w:t>
      </w:r>
      <w:r>
        <w:t>ния от ДДФЛ основно влияние има</w:t>
      </w:r>
      <w:r w:rsidRPr="004225FF">
        <w:t xml:space="preserve"> развитието на пазара на труда и предприетите законодателни и административни мерки в областта на трудовото, социалното и данъчното законодателство. За повишаване на приходите от ДДФЛ влияние оказват и предприетите мерки за намаляване на недекларирания труд, мерките за повишаване на събираемостта на задължения за минали периоди и информационните кампании, провеждани от НАП.</w:t>
      </w:r>
      <w:r w:rsidRPr="001A2A51">
        <w:rPr>
          <w:color w:val="0070C0"/>
        </w:rPr>
        <w:t xml:space="preserve"> </w:t>
      </w:r>
      <w:r>
        <w:t xml:space="preserve">След въвеждането на извънредното положение на 13.03.2020 г. и впоследствие на извънредната епидемична обстановка, влияние върху приходите от ДДФЛ започват да оказват предприетите мерки от правителството в отговор на разрастването на епидемията от </w:t>
      </w:r>
      <w:r>
        <w:rPr>
          <w:lang w:val="en-US"/>
        </w:rPr>
        <w:t>COVID-19</w:t>
      </w:r>
      <w:r>
        <w:t xml:space="preserve">. </w:t>
      </w:r>
      <w:r w:rsidR="00A12DAA" w:rsidRPr="001D4060">
        <w:t xml:space="preserve">От една страна, наложените ограничителни мерки в определени икономически дейности </w:t>
      </w:r>
      <w:r w:rsidR="00463AAA">
        <w:t>водят</w:t>
      </w:r>
      <w:r w:rsidR="00A12DAA" w:rsidRPr="001D4060">
        <w:t xml:space="preserve"> до по-ниски приходи от ДДФЛ в държавния бюджет, поради намален обем или преустановяване на работата на предприятията. От друга страна, приетите от правителството мерки за </w:t>
      </w:r>
      <w:r w:rsidR="00463AAA">
        <w:t>облекчаване</w:t>
      </w:r>
      <w:r w:rsidR="00A12DAA" w:rsidRPr="001D4060">
        <w:t xml:space="preserve"> на отрицателните последици за бизнеса и заетостта ока</w:t>
      </w:r>
      <w:r w:rsidR="00463AAA">
        <w:t>зват</w:t>
      </w:r>
      <w:r w:rsidR="00A12DAA" w:rsidRPr="001D4060">
        <w:t xml:space="preserve"> положително влияние върху приходите от ДДФЛ</w:t>
      </w:r>
      <w:r w:rsidR="00A12DAA">
        <w:rPr>
          <w:lang w:val="en-US"/>
        </w:rPr>
        <w:t>.</w:t>
      </w:r>
    </w:p>
    <w:p w:rsidR="000701A7" w:rsidRPr="001A2A51" w:rsidRDefault="000701A7" w:rsidP="000701A7">
      <w:pPr>
        <w:spacing w:after="120"/>
        <w:jc w:val="both"/>
        <w:rPr>
          <w:color w:val="0070C0"/>
        </w:rPr>
      </w:pPr>
      <w:r w:rsidRPr="00B67CBB">
        <w:rPr>
          <w:i/>
        </w:rPr>
        <w:t>По трудови правоотношения</w:t>
      </w:r>
      <w:r w:rsidRPr="00B67CBB">
        <w:t xml:space="preserve"> приходите от данъка </w:t>
      </w:r>
      <w:r w:rsidRPr="00B67CBB">
        <w:rPr>
          <w:bCs/>
        </w:rPr>
        <w:t xml:space="preserve">към юни </w:t>
      </w:r>
      <w:r w:rsidRPr="00B67CBB">
        <w:t xml:space="preserve">2020 г. са 1 684,1 млн. лв., 49,9 % от годишните разчети. </w:t>
      </w:r>
      <w:r w:rsidRPr="00963394">
        <w:t>Тези приходи са със 113,3 млн. лв. повече (7,2 %), в сравнение със същия период на предходната година.</w:t>
      </w:r>
      <w:r w:rsidRPr="001A2A51">
        <w:rPr>
          <w:color w:val="0070C0"/>
        </w:rPr>
        <w:t xml:space="preserve"> </w:t>
      </w:r>
      <w:r w:rsidRPr="00A64ECC">
        <w:t>Върху размера на постъпленията влияние оказват: увеличението на минималната работна заплата за страната от 01.</w:t>
      </w:r>
      <w:proofErr w:type="spellStart"/>
      <w:r w:rsidRPr="00A64ECC">
        <w:t>01</w:t>
      </w:r>
      <w:proofErr w:type="spellEnd"/>
      <w:r w:rsidRPr="00A64ECC">
        <w:t>.2020 г.; увеличението на минималните осигурителни прагове за 2020 г.; промените в броя на наетите лица и заплащането на труда, промени</w:t>
      </w:r>
      <w:r w:rsidRPr="00117EEF">
        <w:t xml:space="preserve">те в нивото на безработица и приетите от правителството мерки за преодоляване разпространението и за лечение на COVID-19 и мерките за минимизиране на отрицателните последици за бизнеса и заетостта, които включват: увеличение на средствата за извънреден труд (медицински персонал, полицейски органи,  </w:t>
      </w:r>
      <w:proofErr w:type="spellStart"/>
      <w:r w:rsidRPr="00117EEF">
        <w:t>органи</w:t>
      </w:r>
      <w:proofErr w:type="spellEnd"/>
      <w:r w:rsidRPr="00117EEF">
        <w:t xml:space="preserve"> по пожарна безопасност и защита на населението), </w:t>
      </w:r>
      <w:r>
        <w:t xml:space="preserve">допълнителни възнаграждения на медицинския и немедицинския персонал, ангажиран с пациенти, заболели с </w:t>
      </w:r>
      <w:proofErr w:type="spellStart"/>
      <w:r>
        <w:t>коронавирус</w:t>
      </w:r>
      <w:proofErr w:type="spellEnd"/>
      <w:r>
        <w:t xml:space="preserve"> и рискови пациенти; мярката „60/40”, чрез която държавата поема изплащането на 60 на сто от осигурителния доход и дължимите осигурителни вноски за сметка на осигурителя; възможността през 2020 г. средства от фонд "Безработица" на ДОО да се разходват и за мерки, свързани със заетостта; увеличение на минималния месечен осигурителен доход за работещите в секторите „Хотелиерство“ и „Ресторантьорство“</w:t>
      </w:r>
      <w:r w:rsidRPr="001A2A51">
        <w:rPr>
          <w:color w:val="0070C0"/>
        </w:rPr>
        <w:t>.</w:t>
      </w:r>
    </w:p>
    <w:p w:rsidR="000701A7" w:rsidRPr="00D15CD4" w:rsidRDefault="000701A7" w:rsidP="000701A7">
      <w:pPr>
        <w:spacing w:after="120"/>
        <w:jc w:val="both"/>
      </w:pPr>
      <w:r w:rsidRPr="00D13C60">
        <w:rPr>
          <w:i/>
        </w:rPr>
        <w:t xml:space="preserve">По </w:t>
      </w:r>
      <w:proofErr w:type="spellStart"/>
      <w:r w:rsidRPr="00D13C60">
        <w:rPr>
          <w:i/>
        </w:rPr>
        <w:t>извънтрудови</w:t>
      </w:r>
      <w:proofErr w:type="spellEnd"/>
      <w:r w:rsidRPr="00D13C60">
        <w:rPr>
          <w:i/>
        </w:rPr>
        <w:t xml:space="preserve"> правоотношения (свободни професии, граждански договори и др.)</w:t>
      </w:r>
      <w:r w:rsidRPr="00D13C60">
        <w:t xml:space="preserve"> приходите от данъка </w:t>
      </w:r>
      <w:r w:rsidRPr="00D13C60">
        <w:rPr>
          <w:bCs/>
        </w:rPr>
        <w:t xml:space="preserve">към юни </w:t>
      </w:r>
      <w:r w:rsidRPr="00D13C60">
        <w:t>2020 г. са в размер на 214,2 млн. лв., което е 57,7 % от годишния разчет. За отчетния период на 2020 г. са постъпили с 27,2 млн. лв. по-малко приходи (11,3 %) спрямо края на юни 2019 година.</w:t>
      </w:r>
      <w:r w:rsidRPr="001A2A51">
        <w:rPr>
          <w:color w:val="0070C0"/>
        </w:rPr>
        <w:t xml:space="preserve"> </w:t>
      </w:r>
      <w:r w:rsidRPr="00355BFB">
        <w:t>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w:t>
      </w:r>
    </w:p>
    <w:p w:rsidR="000701A7" w:rsidRPr="0031337E" w:rsidRDefault="000701A7" w:rsidP="000701A7">
      <w:pPr>
        <w:spacing w:after="120"/>
        <w:jc w:val="both"/>
      </w:pPr>
      <w:r w:rsidRPr="0031337E">
        <w:rPr>
          <w:i/>
        </w:rPr>
        <w:t xml:space="preserve">Окончателен данък на местните и чуждестранни физически лица по чл. 37 и 38 от ЗДДФЛ </w:t>
      </w:r>
      <w:r w:rsidRPr="0031337E">
        <w:t xml:space="preserve">и </w:t>
      </w:r>
      <w:r w:rsidRPr="0031337E">
        <w:rPr>
          <w:i/>
        </w:rPr>
        <w:t>данък върху дивидентите и ликвидационните дялове на физически лица</w:t>
      </w:r>
      <w:r w:rsidRPr="0031337E">
        <w:t xml:space="preserve"> - постъпленията от тези данъци са в размер на 170,6 млн. лв., 52,4 % от годишния разчет. За отчетния период са постъпили с 2,9 млн. лв. повече (1,7 %) спрямо края на юни 2019 година.</w:t>
      </w:r>
    </w:p>
    <w:p w:rsidR="000701A7" w:rsidRPr="005D1229" w:rsidRDefault="000701A7" w:rsidP="000701A7">
      <w:pPr>
        <w:spacing w:after="120"/>
        <w:jc w:val="both"/>
      </w:pPr>
      <w:r w:rsidRPr="005D1229">
        <w:t xml:space="preserve">Постъпленията от </w:t>
      </w:r>
      <w:r w:rsidRPr="005D1229">
        <w:rPr>
          <w:i/>
        </w:rPr>
        <w:t xml:space="preserve">окончателния данък върху приходите от лихви от депозити на физическите лица </w:t>
      </w:r>
      <w:r w:rsidRPr="005D1229">
        <w:t>са в размер на 3,4 млн. лева.</w:t>
      </w:r>
    </w:p>
    <w:p w:rsidR="000701A7" w:rsidRPr="0022671F" w:rsidRDefault="000701A7" w:rsidP="000701A7">
      <w:pPr>
        <w:numPr>
          <w:ilvl w:val="0"/>
          <w:numId w:val="4"/>
        </w:numPr>
        <w:tabs>
          <w:tab w:val="clear" w:pos="1440"/>
          <w:tab w:val="num" w:pos="540"/>
        </w:tabs>
        <w:ind w:left="0" w:firstLine="180"/>
        <w:jc w:val="both"/>
        <w:rPr>
          <w:b/>
          <w:bCs/>
        </w:rPr>
      </w:pPr>
      <w:r w:rsidRPr="0022671F">
        <w:rPr>
          <w:b/>
          <w:bCs/>
        </w:rPr>
        <w:lastRenderedPageBreak/>
        <w:t>Косвени данъци</w:t>
      </w:r>
    </w:p>
    <w:p w:rsidR="000701A7" w:rsidRPr="001A2A51" w:rsidRDefault="000701A7" w:rsidP="000701A7">
      <w:pPr>
        <w:jc w:val="both"/>
        <w:rPr>
          <w:b/>
          <w:bCs/>
          <w:color w:val="0070C0"/>
          <w:sz w:val="4"/>
          <w:szCs w:val="4"/>
        </w:rPr>
      </w:pPr>
    </w:p>
    <w:p w:rsidR="000701A7" w:rsidRPr="0022671F" w:rsidRDefault="000701A7" w:rsidP="000701A7">
      <w:pPr>
        <w:spacing w:after="120"/>
        <w:jc w:val="both"/>
      </w:pPr>
      <w:r w:rsidRPr="0022671F">
        <w:t xml:space="preserve">Приходите от </w:t>
      </w:r>
      <w:r w:rsidRPr="0022671F">
        <w:rPr>
          <w:b/>
        </w:rPr>
        <w:t>косвени данъци</w:t>
      </w:r>
      <w:r w:rsidRPr="0022671F">
        <w:t xml:space="preserve"> </w:t>
      </w:r>
      <w:r w:rsidRPr="0022671F">
        <w:rPr>
          <w:bCs/>
        </w:rPr>
        <w:t xml:space="preserve">към юни </w:t>
      </w:r>
      <w:r w:rsidRPr="0022671F">
        <w:t xml:space="preserve">2020 г. са в размер на </w:t>
      </w:r>
      <w:r w:rsidRPr="0022671F">
        <w:rPr>
          <w:b/>
        </w:rPr>
        <w:t>7 879,9 млн. лв</w:t>
      </w:r>
      <w:r w:rsidRPr="0022671F">
        <w:t xml:space="preserve">. или 48,3 % от годишния разчет. </w:t>
      </w:r>
    </w:p>
    <w:p w:rsidR="000701A7" w:rsidRPr="0012460C" w:rsidRDefault="000701A7" w:rsidP="000701A7">
      <w:pPr>
        <w:spacing w:after="120"/>
        <w:jc w:val="both"/>
      </w:pPr>
      <w:r w:rsidRPr="0022671F">
        <w:rPr>
          <w:b/>
        </w:rPr>
        <w:t>Приходите от ДДС</w:t>
      </w:r>
      <w:r w:rsidRPr="0022671F">
        <w:t xml:space="preserve"> са в размер на </w:t>
      </w:r>
      <w:r w:rsidRPr="0022671F">
        <w:rPr>
          <w:b/>
        </w:rPr>
        <w:t>5 206,5</w:t>
      </w:r>
      <w:r w:rsidRPr="0022671F">
        <w:t xml:space="preserve"> </w:t>
      </w:r>
      <w:r w:rsidRPr="0022671F">
        <w:rPr>
          <w:b/>
        </w:rPr>
        <w:t>млн. лв.,</w:t>
      </w:r>
      <w:r w:rsidRPr="0022671F">
        <w:t xml:space="preserve"> което представлява 48,9 % от планираните със ЗДБРБ за 2020 година. Съпоставено с края на юни 2019 г., приходите от ДДС намаляват с 342,5 млн. лв. (6,2 %)</w:t>
      </w:r>
      <w:r w:rsidRPr="001A2A51">
        <w:rPr>
          <w:color w:val="0070C0"/>
        </w:rPr>
        <w:t xml:space="preserve"> </w:t>
      </w:r>
      <w:r w:rsidRPr="0012460C">
        <w:t>поради намалената стопанска активност и влошените макроикономически показатели за потребление, внос, износ, вследствие от въведените ограничителни мерки, свързани с разпространението на COVID-19</w:t>
      </w:r>
      <w:r>
        <w:t xml:space="preserve">, </w:t>
      </w:r>
      <w:r w:rsidRPr="0012460C">
        <w:t>както и сп</w:t>
      </w:r>
      <w:r>
        <w:t>ада на цената на суровия петрол</w:t>
      </w:r>
      <w:r w:rsidRPr="0012460C">
        <w:t xml:space="preserve">. </w:t>
      </w:r>
    </w:p>
    <w:p w:rsidR="000701A7" w:rsidRDefault="000701A7" w:rsidP="000701A7">
      <w:pPr>
        <w:spacing w:after="120"/>
        <w:jc w:val="both"/>
      </w:pPr>
      <w:r w:rsidRPr="00256634">
        <w:t xml:space="preserve">Нетният размер на приходите от </w:t>
      </w:r>
      <w:r w:rsidRPr="00256634">
        <w:rPr>
          <w:i/>
        </w:rPr>
        <w:t>ДДС от внос</w:t>
      </w:r>
      <w:r w:rsidRPr="00256634">
        <w:t xml:space="preserve"> </w:t>
      </w:r>
      <w:r w:rsidRPr="00256634">
        <w:rPr>
          <w:bCs/>
        </w:rPr>
        <w:t xml:space="preserve">към юни </w:t>
      </w:r>
      <w:r w:rsidRPr="00256634">
        <w:t>2020 г. е 1 758,7 млн. лева., като спадат с 384,7 млн. лв. (17,9 %), в сравнение със същия период на 2019 г. Влияние върху постъпленията от ДДС от внос оказват цената на суровия петрол, количествата на внасяните стоки за междинно потребление (черни, цветни метали и др.), курса на щатския долар спрямо еврото и други.</w:t>
      </w:r>
      <w:r w:rsidRPr="001A2A51">
        <w:rPr>
          <w:color w:val="0070C0"/>
        </w:rPr>
        <w:t xml:space="preserve"> </w:t>
      </w:r>
      <w:r>
        <w:t xml:space="preserve">След </w:t>
      </w:r>
      <w:r>
        <w:rPr>
          <w:iCs/>
        </w:rPr>
        <w:t>01.07.2019 г.</w:t>
      </w:r>
      <w:r>
        <w:t xml:space="preserve"> бе въведена</w:t>
      </w:r>
      <w:r>
        <w:rPr>
          <w:iCs/>
        </w:rPr>
        <w:t xml:space="preserve"> възможността 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Pr>
          <w:bCs/>
        </w:rPr>
        <w:t xml:space="preserve"> Ефектът от прилагането на този режим за периода януари-юни 2020 г. е неначислен ДДС при внос в размер на </w:t>
      </w:r>
      <w:r w:rsidRPr="00F90C76">
        <w:rPr>
          <w:bCs/>
        </w:rPr>
        <w:t>498,2 млн. лева.</w:t>
      </w:r>
      <w:r>
        <w:rPr>
          <w:bCs/>
        </w:rPr>
        <w:t xml:space="preserve"> </w:t>
      </w:r>
      <w:r>
        <w:t xml:space="preserve">Стоките с най-значителен дял в прилагането на този режим са следните: стоки от глава „Руди, шлаки и </w:t>
      </w:r>
      <w:proofErr w:type="spellStart"/>
      <w:r>
        <w:t>пепели</w:t>
      </w:r>
      <w:proofErr w:type="spellEnd"/>
      <w:r>
        <w:t>“ – 290,7 млн. лв. и стоки от глава „Мед и изделия от мед“ – 66,2 млн. лв. Общо 57 икономически оператори са се възползвали от възможността да отложат начисляването на ДДС.</w:t>
      </w:r>
    </w:p>
    <w:p w:rsidR="000701A7" w:rsidRPr="007008B5" w:rsidRDefault="000701A7" w:rsidP="000701A7">
      <w:pPr>
        <w:spacing w:before="120" w:after="120"/>
        <w:jc w:val="both"/>
        <w:rPr>
          <w:b/>
        </w:rPr>
      </w:pPr>
      <w:r w:rsidRPr="0076228D">
        <w:t>Постъпленията от</w:t>
      </w:r>
      <w:r w:rsidRPr="0076228D">
        <w:rPr>
          <w:i/>
        </w:rPr>
        <w:t xml:space="preserve"> ДДС при сделки в страната (нето)</w:t>
      </w:r>
      <w:r w:rsidRPr="0076228D">
        <w:t xml:space="preserve"> </w:t>
      </w:r>
      <w:r w:rsidRPr="0076228D">
        <w:rPr>
          <w:bCs/>
        </w:rPr>
        <w:t xml:space="preserve">към юни </w:t>
      </w:r>
      <w:r w:rsidRPr="0076228D">
        <w:t>2020 г. възлизат на 3 447,8</w:t>
      </w:r>
      <w:r w:rsidRPr="0076228D">
        <w:rPr>
          <w:rFonts w:eastAsia="Calibri"/>
          <w:b/>
        </w:rPr>
        <w:t> </w:t>
      </w:r>
      <w:r w:rsidRPr="0076228D">
        <w:t xml:space="preserve">млн. лв. и нарастват с 42,1 млн. лв. (1,2 %) спрямо същия период на предходната </w:t>
      </w:r>
      <w:r w:rsidRPr="007008B5">
        <w:t xml:space="preserve">година. </w:t>
      </w:r>
      <w:r w:rsidRPr="007008B5">
        <w:rPr>
          <w:bCs/>
        </w:rPr>
        <w:t>Невъзстановеният данъчен кредит на фирми към 30.06.2020 г. е в размер на 114,5 млн. лева.</w:t>
      </w:r>
    </w:p>
    <w:p w:rsidR="001A17F4" w:rsidRPr="003F548B" w:rsidRDefault="001A17F4" w:rsidP="001A17F4">
      <w:pPr>
        <w:spacing w:after="120"/>
        <w:jc w:val="both"/>
        <w:rPr>
          <w:rStyle w:val="Strong"/>
          <w:b w:val="0"/>
          <w:lang w:val="en-US"/>
        </w:rPr>
      </w:pPr>
      <w:r w:rsidRPr="003F548B">
        <w:rPr>
          <w:b/>
        </w:rPr>
        <w:t xml:space="preserve">Приходите от акцизи (нето) </w:t>
      </w:r>
      <w:r w:rsidRPr="003F548B">
        <w:t xml:space="preserve">от внос, вътрешно производство и въведени в страната от други държави-членки на ЕС акцизни стоки са в размер на </w:t>
      </w:r>
      <w:r w:rsidRPr="003F548B">
        <w:rPr>
          <w:b/>
        </w:rPr>
        <w:t>2 546,4 млн. лв</w:t>
      </w:r>
      <w:r w:rsidRPr="003F548B">
        <w:t>., което е 46,7 % от планираните със ЗДБРБ за 2020 г. Съпоставено със същия период на 2019 г. постъпленията  намаляват с 302,7 млн. лв. (1</w:t>
      </w:r>
      <w:r>
        <w:t>0</w:t>
      </w:r>
      <w:r w:rsidRPr="003F548B">
        <w:t>,6 %).</w:t>
      </w:r>
    </w:p>
    <w:p w:rsidR="001A17F4" w:rsidRPr="006E490A" w:rsidRDefault="001A17F4" w:rsidP="001A17F4">
      <w:pPr>
        <w:spacing w:after="120"/>
        <w:jc w:val="both"/>
      </w:pPr>
      <w:r w:rsidRPr="006E490A">
        <w:t>Нетните постъпления от акциз са от следните основни стокови групи: тютюневи изделия (52,4 %); горива (41,7 %); алкохолни напитки и пиво (5,1 %) и други акцизни стоки – електрическа енергия, въглища и кокс (0,8 %). Постъпления от акциз към юни 2020 г. по основни стокови групи, са както следва:</w:t>
      </w:r>
    </w:p>
    <w:p w:rsidR="001A17F4" w:rsidRPr="00E3474D" w:rsidRDefault="001A17F4" w:rsidP="001A17F4">
      <w:pPr>
        <w:numPr>
          <w:ilvl w:val="0"/>
          <w:numId w:val="19"/>
        </w:numPr>
        <w:jc w:val="both"/>
      </w:pPr>
      <w:r w:rsidRPr="00E3474D">
        <w:rPr>
          <w:i/>
        </w:rPr>
        <w:t>Акцизите от тютюневи изделия</w:t>
      </w:r>
      <w:r w:rsidRPr="00E3474D">
        <w:t xml:space="preserve">  възлизат на 1 333,6 млн. лева; </w:t>
      </w:r>
    </w:p>
    <w:p w:rsidR="001A17F4" w:rsidRPr="00E3474D" w:rsidRDefault="001A17F4" w:rsidP="001A17F4">
      <w:pPr>
        <w:numPr>
          <w:ilvl w:val="0"/>
          <w:numId w:val="19"/>
        </w:numPr>
        <w:jc w:val="both"/>
      </w:pPr>
      <w:r w:rsidRPr="00E3474D">
        <w:rPr>
          <w:i/>
        </w:rPr>
        <w:t>Акцизите от горив</w:t>
      </w:r>
      <w:r w:rsidRPr="00E3474D">
        <w:t xml:space="preserve">а са в размер на 1 062,6 млн. лева; </w:t>
      </w:r>
    </w:p>
    <w:p w:rsidR="001A17F4" w:rsidRPr="00E3474D" w:rsidRDefault="001A17F4" w:rsidP="001A17F4">
      <w:pPr>
        <w:numPr>
          <w:ilvl w:val="0"/>
          <w:numId w:val="19"/>
        </w:numPr>
        <w:jc w:val="both"/>
      </w:pPr>
      <w:r w:rsidRPr="00E3474D">
        <w:rPr>
          <w:i/>
        </w:rPr>
        <w:t xml:space="preserve">Акцизите от алкохолни напитки и пиво </w:t>
      </w:r>
      <w:r w:rsidRPr="00E3474D">
        <w:t xml:space="preserve"> възлизат на 128,7 млн. лева; </w:t>
      </w:r>
    </w:p>
    <w:p w:rsidR="001A17F4" w:rsidRPr="00E3474D" w:rsidRDefault="001A17F4" w:rsidP="001A17F4">
      <w:pPr>
        <w:numPr>
          <w:ilvl w:val="0"/>
          <w:numId w:val="19"/>
        </w:numPr>
        <w:jc w:val="both"/>
      </w:pPr>
      <w:r w:rsidRPr="00E3474D">
        <w:rPr>
          <w:i/>
        </w:rPr>
        <w:t xml:space="preserve">Приходите от други акцизни стоки - електрическа енергия, въглища и кокс </w:t>
      </w:r>
      <w:r w:rsidRPr="00E3474D">
        <w:t>– възлизат на 21,5 млн. лева.</w:t>
      </w:r>
    </w:p>
    <w:p w:rsidR="001A17F4" w:rsidRPr="001A2A51" w:rsidRDefault="001A17F4" w:rsidP="001A17F4">
      <w:pPr>
        <w:ind w:left="360"/>
        <w:jc w:val="both"/>
        <w:rPr>
          <w:color w:val="0070C0"/>
          <w:sz w:val="8"/>
          <w:szCs w:val="8"/>
        </w:rPr>
      </w:pPr>
    </w:p>
    <w:p w:rsidR="001A17F4" w:rsidRPr="00954261" w:rsidRDefault="001A17F4" w:rsidP="001A17F4">
      <w:pPr>
        <w:spacing w:after="120"/>
        <w:jc w:val="both"/>
      </w:pPr>
      <w:r w:rsidRPr="00954261">
        <w:rPr>
          <w:b/>
        </w:rPr>
        <w:t>Приходите от данък върху застрахователните премии</w:t>
      </w:r>
      <w:r w:rsidRPr="00954261">
        <w:t xml:space="preserve"> са в размер на </w:t>
      </w:r>
      <w:r w:rsidRPr="00954261">
        <w:rPr>
          <w:b/>
        </w:rPr>
        <w:t>22,8 млн. лв</w:t>
      </w:r>
      <w:r w:rsidRPr="00954261">
        <w:t>., при планирани за годината 44,2 млн. лева.</w:t>
      </w:r>
    </w:p>
    <w:p w:rsidR="001A17F4" w:rsidRPr="001A2A51" w:rsidRDefault="001A17F4" w:rsidP="001A17F4">
      <w:pPr>
        <w:tabs>
          <w:tab w:val="right" w:pos="9072"/>
        </w:tabs>
        <w:ind w:right="-2"/>
        <w:jc w:val="both"/>
        <w:rPr>
          <w:color w:val="0070C0"/>
        </w:rPr>
      </w:pPr>
      <w:r w:rsidRPr="00954261">
        <w:rPr>
          <w:b/>
        </w:rPr>
        <w:t>Постъпленията от</w:t>
      </w:r>
      <w:r w:rsidRPr="00954261">
        <w:t xml:space="preserve"> </w:t>
      </w:r>
      <w:r w:rsidRPr="00954261">
        <w:rPr>
          <w:b/>
          <w:bCs/>
        </w:rPr>
        <w:t xml:space="preserve">мита </w:t>
      </w:r>
      <w:r w:rsidRPr="00954261">
        <w:t xml:space="preserve">възлизат на </w:t>
      </w:r>
      <w:r w:rsidRPr="00954261">
        <w:rPr>
          <w:b/>
        </w:rPr>
        <w:t>104,2</w:t>
      </w:r>
      <w:r>
        <w:rPr>
          <w:b/>
        </w:rPr>
        <w:t xml:space="preserve"> </w:t>
      </w:r>
      <w:r w:rsidRPr="00954261">
        <w:rPr>
          <w:b/>
        </w:rPr>
        <w:t>млн. лв</w:t>
      </w:r>
      <w:r w:rsidRPr="00954261">
        <w:t xml:space="preserve">. или 55,6 % от планираните със ЗДБРБ за 2020 г., като заемат 0,9 % относителен дял в общия размер на данъчните приходи по </w:t>
      </w:r>
      <w:r w:rsidRPr="002B6C3C">
        <w:t xml:space="preserve">държавния бюджет. В сравнение със същия период на предходната година събраните мита са с 10,6 млн. лв. (9,2 %) по-малко. Основна причина за отчетения спад са наложените в национален и световен мащаб ограничителни мерки във връзка с разпространението на COVID-19 и произтеклото от това влошаване на показателите за внос, износ и </w:t>
      </w:r>
      <w:r>
        <w:rPr>
          <w:color w:val="000000"/>
        </w:rPr>
        <w:t>слаба</w:t>
      </w:r>
      <w:r w:rsidR="008755C0">
        <w:rPr>
          <w:color w:val="000000"/>
        </w:rPr>
        <w:t>та</w:t>
      </w:r>
      <w:r>
        <w:rPr>
          <w:color w:val="000000"/>
        </w:rPr>
        <w:t xml:space="preserve"> </w:t>
      </w:r>
      <w:r w:rsidRPr="002B6C3C">
        <w:t>икономическа активност</w:t>
      </w:r>
      <w:r w:rsidRPr="005F0450">
        <w:t xml:space="preserve">. </w:t>
      </w:r>
      <w:r w:rsidRPr="005F0450">
        <w:rPr>
          <w:b/>
          <w:i/>
        </w:rPr>
        <w:t xml:space="preserve">Намаление в постъпленията от мита </w:t>
      </w:r>
      <w:r w:rsidRPr="005F0450">
        <w:t>към 30.06.2020</w:t>
      </w:r>
      <w:r w:rsidRPr="005F0450">
        <w:rPr>
          <w:lang w:val="en-US"/>
        </w:rPr>
        <w:t> </w:t>
      </w:r>
      <w:r w:rsidRPr="005F0450">
        <w:t xml:space="preserve">г. се отчита при следните групи стоки: „Чугун, желязо и стомана“ - постъпленията са с 2,6 млн. лв. (88,0 %) по-малко на годишна база; </w:t>
      </w:r>
      <w:r w:rsidRPr="005B73AF">
        <w:t xml:space="preserve">„Електрически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 </w:t>
      </w:r>
      <w:r w:rsidRPr="005B73AF">
        <w:lastRenderedPageBreak/>
        <w:t xml:space="preserve">спадът е в </w:t>
      </w:r>
      <w:r w:rsidRPr="00FF78C5">
        <w:t xml:space="preserve">размер на 2,1 млн. лв. (21,1 %) спрямо постъпленията към юни 2019 г.; „Пластмаси </w:t>
      </w:r>
      <w:r w:rsidRPr="00CA0C6D">
        <w:t>и пластмасови изделия“ - приходите са с 1,8 млн. лв. (18,3 %) по-малко спрямо първите шест месеца на 2019 г.; „Изделия от чугун, желязо или стомана“ – отче</w:t>
      </w:r>
      <w:r w:rsidR="0016354D">
        <w:t>тен е спад с 1,6 млн. лв. (43,2</w:t>
      </w:r>
      <w:r w:rsidR="0016354D">
        <w:rPr>
          <w:lang w:val="en-US"/>
        </w:rPr>
        <w:t> </w:t>
      </w:r>
      <w:r w:rsidRPr="00CA0C6D">
        <w:t>%) и „</w:t>
      </w:r>
      <w:r>
        <w:t xml:space="preserve">Автомобилни превозни средства, трактори, мотоциклети и велосипеди и други сухопътни превозни </w:t>
      </w:r>
      <w:r w:rsidRPr="00CA0C6D">
        <w:t>средства, техните части и принадлежности“ - спад с 1,2 млн. лв. (11,3 %) спрямо същ</w:t>
      </w:r>
      <w:r w:rsidRPr="000C4D24">
        <w:t>ия период на 2019 година. В зависимост от произхода на внасяните стоки, най-голям е делът на приходите от мита при внос на стоки от Китай, като към края на юни 2020 г. постъ</w:t>
      </w:r>
      <w:r w:rsidRPr="00CD53F9">
        <w:t>пленията възлизат на 52,6 млн. лв. и са със 5,6 % по-малко спрямо първите шест месеца на 2019 година. Те формират 50,5 % от общия обем на митата за периода. На второ място по приходи от мита е вносът на стоки с произход Русия, които са в размер на 12,8 млн. лв. и отчитат намаление с 1,8 % на годишна база. Тези постъпления имат относителен дял от 12,3</w:t>
      </w:r>
      <w:r>
        <w:t> </w:t>
      </w:r>
      <w:r w:rsidRPr="00CD53F9">
        <w:t>% от всички мита. Следват приходите от мита при внос на стоки с произход от САЩ, които са в размер на 5,9 млн. лв., като се повишават с 12,3 % и представляват 5,7 % от всички мита.</w:t>
      </w:r>
      <w:r w:rsidRPr="001A2A51">
        <w:rPr>
          <w:color w:val="0070C0"/>
        </w:rPr>
        <w:t xml:space="preserve"> </w:t>
      </w:r>
      <w:r>
        <w:t xml:space="preserve">Приходите от внос на стоки с произход </w:t>
      </w:r>
      <w:r>
        <w:rPr>
          <w:color w:val="000000"/>
        </w:rPr>
        <w:t>Малайзия</w:t>
      </w:r>
      <w:r>
        <w:t xml:space="preserve"> са в размер на </w:t>
      </w:r>
      <w:r>
        <w:rPr>
          <w:color w:val="000000"/>
        </w:rPr>
        <w:t xml:space="preserve">3,9 </w:t>
      </w:r>
      <w:r>
        <w:t xml:space="preserve">млн. лв. към края на юни 2020 г. и отчитат повишение с </w:t>
      </w:r>
      <w:r>
        <w:rPr>
          <w:color w:val="000000"/>
        </w:rPr>
        <w:t xml:space="preserve">98,2 </w:t>
      </w:r>
      <w:r>
        <w:t xml:space="preserve">% на годишна база. Тези постъпления имат относителен дял от </w:t>
      </w:r>
      <w:r>
        <w:rPr>
          <w:color w:val="000000"/>
        </w:rPr>
        <w:t>3,</w:t>
      </w:r>
      <w:r w:rsidRPr="00AF1DEC">
        <w:t>8 % от всички мита. Постъпленията от внос на стоки с произход Еквадор са в размер на 3,</w:t>
      </w:r>
      <w:proofErr w:type="spellStart"/>
      <w:r w:rsidRPr="00AF1DEC">
        <w:t>3</w:t>
      </w:r>
      <w:proofErr w:type="spellEnd"/>
      <w:r w:rsidRPr="00AF1DEC">
        <w:t xml:space="preserve"> млн. лв. към юни 2020 г. и отчитат намаление с 4,8 % спрямо същия период на предходната година. Тези постъпления имат относителен дял от 3,1 % от всички мита.</w:t>
      </w:r>
      <w:r w:rsidRPr="001A2A51">
        <w:rPr>
          <w:color w:val="0070C0"/>
        </w:rPr>
        <w:t xml:space="preserve"> </w:t>
      </w:r>
      <w:r>
        <w:t xml:space="preserve">През анализирания период </w:t>
      </w:r>
      <w:r>
        <w:rPr>
          <w:color w:val="000000"/>
        </w:rPr>
        <w:t>Япония не попада в петте водещи държави с най-голям принос за приходите от мита в България</w:t>
      </w:r>
      <w:r w:rsidRPr="001A2A51">
        <w:rPr>
          <w:color w:val="0070C0"/>
        </w:rPr>
        <w:t xml:space="preserve">. </w:t>
      </w:r>
    </w:p>
    <w:p w:rsidR="001A17F4" w:rsidRPr="001A2A51" w:rsidRDefault="001A17F4" w:rsidP="001A17F4">
      <w:pPr>
        <w:tabs>
          <w:tab w:val="right" w:pos="9072"/>
        </w:tabs>
        <w:ind w:right="-2"/>
        <w:jc w:val="both"/>
        <w:rPr>
          <w:color w:val="0070C0"/>
          <w:sz w:val="16"/>
        </w:rPr>
      </w:pPr>
    </w:p>
    <w:p w:rsidR="001A17F4" w:rsidRPr="00433C81" w:rsidRDefault="001A17F4" w:rsidP="001A17F4">
      <w:pPr>
        <w:numPr>
          <w:ilvl w:val="0"/>
          <w:numId w:val="4"/>
        </w:numPr>
        <w:tabs>
          <w:tab w:val="clear" w:pos="1440"/>
          <w:tab w:val="num" w:pos="540"/>
        </w:tabs>
        <w:ind w:left="0" w:firstLine="180"/>
        <w:jc w:val="both"/>
        <w:rPr>
          <w:b/>
          <w:bCs/>
        </w:rPr>
      </w:pPr>
      <w:r w:rsidRPr="00433C81">
        <w:rPr>
          <w:b/>
          <w:bCs/>
        </w:rPr>
        <w:t>Други данъци</w:t>
      </w:r>
    </w:p>
    <w:p w:rsidR="001A17F4" w:rsidRPr="00DB0FEE" w:rsidRDefault="001A17F4" w:rsidP="006E3DFD">
      <w:pPr>
        <w:spacing w:before="120"/>
        <w:jc w:val="both"/>
      </w:pPr>
      <w:r w:rsidRPr="00433C81">
        <w:t xml:space="preserve">Постъпленията от </w:t>
      </w:r>
      <w:r w:rsidRPr="00433C81">
        <w:rPr>
          <w:b/>
        </w:rPr>
        <w:t>други данъци</w:t>
      </w:r>
      <w:r w:rsidRPr="00433C81">
        <w:t xml:space="preserve"> по държавния бюджет </w:t>
      </w:r>
      <w:r w:rsidRPr="00433C81">
        <w:rPr>
          <w:bCs/>
        </w:rPr>
        <w:t xml:space="preserve">към края на юни </w:t>
      </w:r>
      <w:r w:rsidRPr="00433C81">
        <w:t xml:space="preserve">2020 г. са в размер на </w:t>
      </w:r>
      <w:r w:rsidRPr="00433C81">
        <w:rPr>
          <w:b/>
        </w:rPr>
        <w:t xml:space="preserve">111,9 млн. лв. </w:t>
      </w:r>
      <w:r w:rsidRPr="00433C81">
        <w:t>или 78,7 % от планираните със ЗДБРБ за 2020 година. В сравнение със същия период на предходната година приходите от тази група данъци са с 3,</w:t>
      </w:r>
      <w:proofErr w:type="spellStart"/>
      <w:r w:rsidRPr="00433C81">
        <w:t>3</w:t>
      </w:r>
      <w:proofErr w:type="spellEnd"/>
      <w:r w:rsidRPr="00433C81">
        <w:t xml:space="preserve"> млн. лв. (2,8 %) по-малко.</w:t>
      </w:r>
      <w:r w:rsidRPr="001A2A51">
        <w:rPr>
          <w:color w:val="0070C0"/>
        </w:rPr>
        <w:t xml:space="preserve"> </w:t>
      </w:r>
      <w:r w:rsidRPr="00DB0FEE">
        <w:t xml:space="preserve">Отчетеният спад се дължи на въведеното на 13.03.2020 г. извънредно положение и приетите законодателни мерки за справяне с кризата с </w:t>
      </w:r>
      <w:r w:rsidRPr="00DB0FEE">
        <w:rPr>
          <w:lang w:val="en-US"/>
        </w:rPr>
        <w:t>COVID</w:t>
      </w:r>
      <w:r w:rsidRPr="00DB0FEE">
        <w:t>-19 в областта на корпоративните данъци.</w:t>
      </w:r>
    </w:p>
    <w:p w:rsidR="001A17F4" w:rsidRPr="00BA258E" w:rsidRDefault="001A17F4" w:rsidP="001A17F4">
      <w:pPr>
        <w:numPr>
          <w:ilvl w:val="0"/>
          <w:numId w:val="3"/>
        </w:numPr>
        <w:tabs>
          <w:tab w:val="num" w:pos="720"/>
        </w:tabs>
        <w:spacing w:before="120"/>
        <w:ind w:left="0" w:firstLine="181"/>
        <w:jc w:val="both"/>
      </w:pPr>
      <w:r w:rsidRPr="00BA258E">
        <w:rPr>
          <w:b/>
          <w:bCs/>
        </w:rPr>
        <w:t>Неданъчни приходи</w:t>
      </w:r>
    </w:p>
    <w:p w:rsidR="001A17F4" w:rsidRPr="00BA258E" w:rsidRDefault="001A17F4" w:rsidP="001A17F4">
      <w:pPr>
        <w:tabs>
          <w:tab w:val="left" w:pos="900"/>
        </w:tabs>
        <w:spacing w:after="120"/>
        <w:jc w:val="both"/>
      </w:pPr>
      <w:r w:rsidRPr="00BA258E">
        <w:t>Отчетените</w:t>
      </w:r>
      <w:r w:rsidRPr="00BA258E">
        <w:rPr>
          <w:b/>
          <w:bCs/>
        </w:rPr>
        <w:t xml:space="preserve"> неданъчни приходи</w:t>
      </w:r>
      <w:r w:rsidRPr="00BA258E">
        <w:t xml:space="preserve"> по държавния бюджет </w:t>
      </w:r>
      <w:r w:rsidRPr="00BA258E">
        <w:rPr>
          <w:bCs/>
        </w:rPr>
        <w:t xml:space="preserve">към юни </w:t>
      </w:r>
      <w:r w:rsidRPr="00BA258E">
        <w:t xml:space="preserve">2020 г. са в размер на </w:t>
      </w:r>
      <w:r w:rsidRPr="00BA258E">
        <w:rPr>
          <w:b/>
        </w:rPr>
        <w:t>991,3 млн. лв</w:t>
      </w:r>
      <w:r w:rsidRPr="00BA258E">
        <w:t xml:space="preserve">. и се формират основно от приходи от държавни такси, приходи и доходи от собственост, приходи от концесии и други. </w:t>
      </w:r>
    </w:p>
    <w:p w:rsidR="001A17F4" w:rsidRPr="00630E16" w:rsidRDefault="001A17F4" w:rsidP="001A17F4">
      <w:pPr>
        <w:numPr>
          <w:ilvl w:val="0"/>
          <w:numId w:val="3"/>
        </w:numPr>
        <w:tabs>
          <w:tab w:val="num" w:pos="720"/>
        </w:tabs>
        <w:ind w:left="0" w:firstLine="181"/>
        <w:jc w:val="both"/>
        <w:rPr>
          <w:b/>
          <w:bCs/>
        </w:rPr>
      </w:pPr>
      <w:r w:rsidRPr="00630E16">
        <w:rPr>
          <w:b/>
          <w:bCs/>
        </w:rPr>
        <w:t>Помощи и дарения</w:t>
      </w:r>
    </w:p>
    <w:p w:rsidR="001A17F4" w:rsidRPr="00630E16" w:rsidRDefault="001A17F4" w:rsidP="001A17F4">
      <w:pPr>
        <w:spacing w:after="120"/>
        <w:jc w:val="both"/>
      </w:pPr>
      <w:r w:rsidRPr="00630E16">
        <w:t xml:space="preserve">Постъпилите </w:t>
      </w:r>
      <w:r w:rsidRPr="00630E16">
        <w:rPr>
          <w:b/>
        </w:rPr>
        <w:t>помощи</w:t>
      </w:r>
      <w:r w:rsidRPr="00630E16">
        <w:t xml:space="preserve"> </w:t>
      </w:r>
      <w:r w:rsidRPr="00630E16">
        <w:rPr>
          <w:b/>
        </w:rPr>
        <w:t>и дарения</w:t>
      </w:r>
      <w:r w:rsidRPr="00630E16">
        <w:t xml:space="preserve"> по държавния бюджет към юни 2020 г. са в размер на </w:t>
      </w:r>
      <w:r w:rsidRPr="00630E16">
        <w:rPr>
          <w:b/>
        </w:rPr>
        <w:t>14,6 млн. лв.</w:t>
      </w:r>
      <w:r w:rsidRPr="00630E16">
        <w:t xml:space="preserve"> и са по бюджетите на министерствата и ведомствата.</w:t>
      </w:r>
    </w:p>
    <w:p w:rsidR="001A17F4" w:rsidRPr="00C5493B" w:rsidRDefault="001A17F4" w:rsidP="001A17F4">
      <w:pPr>
        <w:numPr>
          <w:ilvl w:val="0"/>
          <w:numId w:val="6"/>
        </w:numPr>
        <w:tabs>
          <w:tab w:val="clear" w:pos="700"/>
          <w:tab w:val="num" w:pos="426"/>
        </w:tabs>
        <w:spacing w:before="360"/>
        <w:ind w:left="0" w:firstLine="0"/>
        <w:jc w:val="both"/>
        <w:rPr>
          <w:b/>
          <w:bCs/>
        </w:rPr>
      </w:pPr>
      <w:r w:rsidRPr="00C5493B">
        <w:rPr>
          <w:b/>
          <w:bCs/>
        </w:rPr>
        <w:t>Разходи по държавния бюджет</w:t>
      </w:r>
    </w:p>
    <w:p w:rsidR="001A17F4" w:rsidRPr="001A2A51" w:rsidRDefault="001A17F4" w:rsidP="001A17F4">
      <w:pPr>
        <w:jc w:val="both"/>
        <w:rPr>
          <w:b/>
          <w:bCs/>
          <w:color w:val="0070C0"/>
          <w:sz w:val="4"/>
          <w:szCs w:val="4"/>
        </w:rPr>
      </w:pPr>
    </w:p>
    <w:p w:rsidR="001A17F4" w:rsidRPr="00C5493B" w:rsidRDefault="001A17F4" w:rsidP="001A17F4">
      <w:pPr>
        <w:pStyle w:val="BodyTextIndent"/>
        <w:spacing w:after="0"/>
        <w:ind w:left="0"/>
        <w:jc w:val="both"/>
      </w:pPr>
      <w:r w:rsidRPr="00C5493B">
        <w:t xml:space="preserve">Общият размер на </w:t>
      </w:r>
      <w:r w:rsidRPr="00C5493B">
        <w:rPr>
          <w:b/>
        </w:rPr>
        <w:t>разходите по държавния бюджет</w:t>
      </w:r>
      <w:r w:rsidRPr="00C5493B">
        <w:t xml:space="preserve"> (вкл. трансферите за др. бюджети и вноската в бюджета на ЕС) </w:t>
      </w:r>
      <w:r w:rsidRPr="00C5493B">
        <w:rPr>
          <w:bCs/>
        </w:rPr>
        <w:t xml:space="preserve">към юни </w:t>
      </w:r>
      <w:r w:rsidRPr="00C5493B">
        <w:t xml:space="preserve">2020 г. е </w:t>
      </w:r>
      <w:r w:rsidRPr="00C5493B">
        <w:rPr>
          <w:b/>
        </w:rPr>
        <w:t>12 221,4 млн. лв</w:t>
      </w:r>
      <w:r w:rsidRPr="00C5493B">
        <w:t>. или 41,4 % от предвидените със ЗДБРБ за 2020 година.</w:t>
      </w:r>
    </w:p>
    <w:p w:rsidR="001A17F4" w:rsidRPr="001A2A51" w:rsidRDefault="001A17F4" w:rsidP="001A17F4">
      <w:pPr>
        <w:pStyle w:val="BodyTextIndent"/>
        <w:spacing w:after="0"/>
        <w:ind w:left="0"/>
        <w:jc w:val="both"/>
        <w:rPr>
          <w:color w:val="0070C0"/>
        </w:rPr>
      </w:pPr>
    </w:p>
    <w:p w:rsidR="001A17F4" w:rsidRDefault="001A17F4" w:rsidP="001A17F4">
      <w:pPr>
        <w:pStyle w:val="BodyTextIndent"/>
        <w:spacing w:after="0"/>
        <w:ind w:left="0"/>
        <w:jc w:val="both"/>
        <w:rPr>
          <w:color w:val="0070C0"/>
          <w:lang w:val="en-US"/>
        </w:rPr>
      </w:pPr>
    </w:p>
    <w:p w:rsidR="003C71EB" w:rsidRDefault="003C71EB" w:rsidP="001A17F4">
      <w:pPr>
        <w:pStyle w:val="BodyTextIndent"/>
        <w:spacing w:after="0"/>
        <w:ind w:left="0"/>
        <w:jc w:val="both"/>
        <w:rPr>
          <w:color w:val="0070C0"/>
          <w:lang w:val="en-US"/>
        </w:rPr>
      </w:pPr>
    </w:p>
    <w:p w:rsidR="003C71EB" w:rsidRDefault="003C71EB" w:rsidP="001A17F4">
      <w:pPr>
        <w:pStyle w:val="BodyTextIndent"/>
        <w:spacing w:after="0"/>
        <w:ind w:left="0"/>
        <w:jc w:val="both"/>
        <w:rPr>
          <w:color w:val="0070C0"/>
          <w:lang w:val="en-US"/>
        </w:rPr>
      </w:pPr>
    </w:p>
    <w:p w:rsidR="003C71EB" w:rsidRDefault="003C71EB" w:rsidP="001A17F4">
      <w:pPr>
        <w:pStyle w:val="BodyTextIndent"/>
        <w:spacing w:after="0"/>
        <w:ind w:left="0"/>
        <w:jc w:val="both"/>
        <w:rPr>
          <w:color w:val="0070C0"/>
          <w:lang w:val="en-US"/>
        </w:rPr>
      </w:pPr>
    </w:p>
    <w:p w:rsidR="0016354D" w:rsidRDefault="0016354D" w:rsidP="001A17F4">
      <w:pPr>
        <w:pStyle w:val="BodyTextIndent"/>
        <w:spacing w:after="0"/>
        <w:ind w:left="0"/>
        <w:jc w:val="both"/>
        <w:rPr>
          <w:color w:val="0070C0"/>
          <w:lang w:val="en-US"/>
        </w:rPr>
      </w:pPr>
    </w:p>
    <w:p w:rsidR="0016354D" w:rsidRDefault="0016354D" w:rsidP="001A17F4">
      <w:pPr>
        <w:pStyle w:val="BodyTextIndent"/>
        <w:spacing w:after="0"/>
        <w:ind w:left="0"/>
        <w:jc w:val="both"/>
        <w:rPr>
          <w:color w:val="0070C0"/>
          <w:lang w:val="en-US"/>
        </w:rPr>
      </w:pPr>
    </w:p>
    <w:p w:rsidR="0016354D" w:rsidRDefault="0016354D" w:rsidP="001A17F4">
      <w:pPr>
        <w:pStyle w:val="BodyTextIndent"/>
        <w:spacing w:after="0"/>
        <w:ind w:left="0"/>
        <w:jc w:val="both"/>
        <w:rPr>
          <w:color w:val="0070C0"/>
          <w:lang w:val="en-US"/>
        </w:rPr>
      </w:pPr>
    </w:p>
    <w:p w:rsidR="0016354D" w:rsidRDefault="0016354D" w:rsidP="001A17F4">
      <w:pPr>
        <w:pStyle w:val="BodyTextIndent"/>
        <w:spacing w:after="0"/>
        <w:ind w:left="0"/>
        <w:jc w:val="both"/>
        <w:rPr>
          <w:color w:val="0070C0"/>
          <w:lang w:val="en-US"/>
        </w:rPr>
      </w:pPr>
    </w:p>
    <w:p w:rsidR="0016354D" w:rsidRDefault="0016354D" w:rsidP="001A17F4">
      <w:pPr>
        <w:pStyle w:val="BodyTextIndent"/>
        <w:spacing w:after="0"/>
        <w:ind w:left="0"/>
        <w:jc w:val="both"/>
        <w:rPr>
          <w:color w:val="0070C0"/>
          <w:lang w:val="en-US"/>
        </w:rPr>
      </w:pPr>
    </w:p>
    <w:p w:rsidR="0016354D" w:rsidRDefault="0016354D" w:rsidP="001A17F4">
      <w:pPr>
        <w:pStyle w:val="BodyTextIndent"/>
        <w:spacing w:after="0"/>
        <w:ind w:left="0"/>
        <w:jc w:val="both"/>
        <w:rPr>
          <w:color w:val="0070C0"/>
          <w:lang w:val="en-US"/>
        </w:rPr>
      </w:pPr>
    </w:p>
    <w:p w:rsidR="0016354D" w:rsidRDefault="0016354D" w:rsidP="001A17F4">
      <w:pPr>
        <w:pStyle w:val="BodyTextIndent"/>
        <w:spacing w:after="0"/>
        <w:ind w:left="0"/>
        <w:jc w:val="both"/>
        <w:rPr>
          <w:color w:val="0070C0"/>
          <w:lang w:val="en-US"/>
        </w:rPr>
      </w:pPr>
    </w:p>
    <w:p w:rsidR="003C71EB" w:rsidRPr="003C71EB" w:rsidRDefault="003C71EB" w:rsidP="001A17F4">
      <w:pPr>
        <w:pStyle w:val="BodyTextIndent"/>
        <w:spacing w:after="0"/>
        <w:ind w:left="0"/>
        <w:jc w:val="both"/>
        <w:rPr>
          <w:color w:val="0070C0"/>
          <w:lang w:val="en-US"/>
        </w:rPr>
      </w:pPr>
    </w:p>
    <w:p w:rsidR="001A17F4" w:rsidRPr="001A2A51" w:rsidRDefault="001A17F4" w:rsidP="001A17F4">
      <w:pPr>
        <w:pStyle w:val="BodyTextIndent"/>
        <w:spacing w:after="0"/>
        <w:ind w:left="0"/>
        <w:jc w:val="center"/>
        <w:rPr>
          <w:b/>
          <w:color w:val="0070C0"/>
          <w:sz w:val="4"/>
          <w:szCs w:val="4"/>
          <w:u w:val="single"/>
        </w:rPr>
      </w:pPr>
    </w:p>
    <w:p w:rsidR="001A17F4" w:rsidRPr="00441749" w:rsidRDefault="001A17F4" w:rsidP="001A17F4">
      <w:pPr>
        <w:pStyle w:val="BodyTextIndent"/>
        <w:spacing w:after="0"/>
        <w:ind w:left="0"/>
        <w:jc w:val="center"/>
        <w:rPr>
          <w:b/>
          <w:u w:val="single"/>
        </w:rPr>
      </w:pPr>
      <w:r w:rsidRPr="00441749">
        <w:rPr>
          <w:b/>
          <w:u w:val="single"/>
        </w:rPr>
        <w:lastRenderedPageBreak/>
        <w:t xml:space="preserve">Разходи, трансфери за други бюджети и вноска в бюджета на ЕС </w:t>
      </w:r>
    </w:p>
    <w:p w:rsidR="001A17F4" w:rsidRPr="00441749" w:rsidRDefault="001A17F4" w:rsidP="001A17F4">
      <w:pPr>
        <w:pStyle w:val="BodyTextIndent"/>
        <w:spacing w:after="0"/>
        <w:ind w:left="0"/>
        <w:jc w:val="center"/>
        <w:rPr>
          <w:b/>
          <w:u w:val="single"/>
        </w:rPr>
      </w:pPr>
      <w:r w:rsidRPr="00441749">
        <w:rPr>
          <w:b/>
          <w:u w:val="single"/>
        </w:rPr>
        <w:t>към юни 2019 г. и 2020 г.</w:t>
      </w:r>
    </w:p>
    <w:p w:rsidR="001A17F4" w:rsidRPr="001A2A51" w:rsidRDefault="001A17F4" w:rsidP="001A17F4">
      <w:pPr>
        <w:pStyle w:val="BodyTextIndent"/>
        <w:spacing w:after="0"/>
        <w:ind w:left="0"/>
        <w:jc w:val="center"/>
        <w:rPr>
          <w:b/>
          <w:color w:val="0070C0"/>
          <w:sz w:val="8"/>
          <w:szCs w:val="8"/>
          <w:u w:val="single"/>
        </w:rPr>
      </w:pPr>
    </w:p>
    <w:p w:rsidR="001A17F4" w:rsidRPr="001A2A51" w:rsidRDefault="001A17F4" w:rsidP="001A17F4">
      <w:pPr>
        <w:pStyle w:val="BodyTextIndent"/>
        <w:spacing w:after="0"/>
        <w:ind w:left="0"/>
        <w:jc w:val="center"/>
        <w:rPr>
          <w:b/>
          <w:color w:val="0070C0"/>
          <w:u w:val="single"/>
        </w:rPr>
      </w:pPr>
      <w:bookmarkStart w:id="0" w:name="_MON_1562146415"/>
      <w:bookmarkStart w:id="1" w:name="_MON_1562146493"/>
      <w:bookmarkStart w:id="2" w:name="_MON_1562146700"/>
      <w:bookmarkStart w:id="3" w:name="_MON_1562146782"/>
      <w:bookmarkStart w:id="4" w:name="_MON_1562146967"/>
      <w:bookmarkStart w:id="5" w:name="_MON_1562147372"/>
      <w:bookmarkStart w:id="6" w:name="_MON_1562147473"/>
      <w:bookmarkStart w:id="7" w:name="_MON_1562147677"/>
      <w:bookmarkStart w:id="8" w:name="_MON_1562147743"/>
      <w:bookmarkStart w:id="9" w:name="_MON_1562147867"/>
      <w:bookmarkStart w:id="10" w:name="_MON_1562147934"/>
      <w:bookmarkStart w:id="11" w:name="_MON_1562148056"/>
      <w:bookmarkStart w:id="12" w:name="_MON_1562148171"/>
      <w:bookmarkStart w:id="13" w:name="_MON_1562148229"/>
      <w:bookmarkStart w:id="14" w:name="_MON_1562148307"/>
      <w:bookmarkStart w:id="15" w:name="_MON_1562148447"/>
      <w:bookmarkStart w:id="16" w:name="_MON_1562148558"/>
      <w:bookmarkStart w:id="17" w:name="_MON_1562152805"/>
      <w:bookmarkStart w:id="18" w:name="_MON_1562152984"/>
      <w:bookmarkStart w:id="19" w:name="_MON_1562153459"/>
      <w:bookmarkStart w:id="20" w:name="_MON_1562153503"/>
      <w:bookmarkStart w:id="21" w:name="_MON_1562153559"/>
      <w:bookmarkStart w:id="22" w:name="_MON_1562153646"/>
      <w:bookmarkStart w:id="23" w:name="_MON_1562153939"/>
      <w:bookmarkStart w:id="24" w:name="_MON_1562154053"/>
      <w:bookmarkStart w:id="25" w:name="_MON_1562154282"/>
      <w:bookmarkStart w:id="26" w:name="_MON_1562146286"/>
      <w:bookmarkStart w:id="27" w:name="_MON_1562154881"/>
      <w:bookmarkStart w:id="28" w:name="_MON_1562154973"/>
      <w:bookmarkStart w:id="29" w:name="_MON_1562155194"/>
      <w:bookmarkStart w:id="30" w:name="_MON_1562155231"/>
      <w:bookmarkStart w:id="31" w:name="_MON_1562155321"/>
      <w:bookmarkStart w:id="32" w:name="_MON_15621553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1A2A51">
        <w:rPr>
          <w:noProof/>
          <w:color w:val="0070C0"/>
          <w:lang w:eastAsia="bg-BG"/>
        </w:rPr>
        <w:drawing>
          <wp:inline distT="0" distB="0" distL="0" distR="0" wp14:anchorId="293A5870" wp14:editId="3E5F87F2">
            <wp:extent cx="5547360" cy="3009900"/>
            <wp:effectExtent l="0" t="0" r="15240" b="19050"/>
            <wp:docPr id="2"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17F4" w:rsidRPr="00441749" w:rsidRDefault="001A17F4" w:rsidP="001A17F4">
      <w:pPr>
        <w:ind w:firstLine="360"/>
        <w:rPr>
          <w:sz w:val="18"/>
          <w:szCs w:val="18"/>
        </w:rPr>
      </w:pPr>
      <w:r w:rsidRPr="00441749">
        <w:rPr>
          <w:sz w:val="18"/>
          <w:szCs w:val="18"/>
        </w:rPr>
        <w:t>*</w:t>
      </w:r>
      <w:r w:rsidRPr="00441749">
        <w:t xml:space="preserve"> </w:t>
      </w:r>
      <w:r w:rsidRPr="00441749">
        <w:rPr>
          <w:sz w:val="18"/>
          <w:szCs w:val="18"/>
        </w:rPr>
        <w:t>Вкл. нетния прираст на държавния резерв</w:t>
      </w:r>
    </w:p>
    <w:p w:rsidR="001A17F4" w:rsidRPr="00323DF9" w:rsidRDefault="001A17F4" w:rsidP="001A17F4">
      <w:pPr>
        <w:pStyle w:val="BodyTextIndent"/>
        <w:numPr>
          <w:ilvl w:val="0"/>
          <w:numId w:val="22"/>
        </w:numPr>
        <w:spacing w:before="120" w:after="0"/>
        <w:jc w:val="both"/>
        <w:rPr>
          <w:b/>
          <w:bCs/>
        </w:rPr>
      </w:pPr>
      <w:r w:rsidRPr="00323DF9">
        <w:rPr>
          <w:b/>
          <w:bCs/>
        </w:rPr>
        <w:t>Нелихвени разходи</w:t>
      </w:r>
    </w:p>
    <w:p w:rsidR="001A17F4" w:rsidRPr="0079085D" w:rsidRDefault="001A17F4" w:rsidP="001A17F4">
      <w:pPr>
        <w:spacing w:before="120"/>
        <w:jc w:val="both"/>
        <w:rPr>
          <w:bCs/>
        </w:rPr>
      </w:pPr>
      <w:r w:rsidRPr="0079085D">
        <w:rPr>
          <w:b/>
          <w:bCs/>
        </w:rPr>
        <w:t>Нелихвените разходи</w:t>
      </w:r>
      <w:r w:rsidRPr="0079085D">
        <w:rPr>
          <w:bCs/>
        </w:rPr>
        <w:t xml:space="preserve"> по държавния бюджет (без трансферите за др. бюджети) към юни  </w:t>
      </w:r>
      <w:r w:rsidRPr="0079085D">
        <w:t xml:space="preserve">2020 г. </w:t>
      </w:r>
      <w:r w:rsidRPr="0079085D">
        <w:rPr>
          <w:bCs/>
        </w:rPr>
        <w:t xml:space="preserve">са в размер на </w:t>
      </w:r>
      <w:r w:rsidRPr="0079085D">
        <w:rPr>
          <w:b/>
          <w:bCs/>
        </w:rPr>
        <w:t>4 830,2 млн. лв</w:t>
      </w:r>
      <w:r w:rsidRPr="0079085D">
        <w:rPr>
          <w:bCs/>
        </w:rPr>
        <w:t xml:space="preserve">., което представлява 35,4 % от годишния разчет. Съпоставени с данните към юни 2019 г., нелихвените разходи нарастват със 187,3 млн. лв. (4,0 %). </w:t>
      </w:r>
    </w:p>
    <w:p w:rsidR="001A17F4" w:rsidRPr="00B175AC" w:rsidRDefault="001A17F4" w:rsidP="001A17F4">
      <w:pPr>
        <w:spacing w:after="120"/>
        <w:jc w:val="both"/>
        <w:rPr>
          <w:bCs/>
        </w:rPr>
      </w:pPr>
      <w:r w:rsidRPr="00591C97">
        <w:rPr>
          <w:bCs/>
        </w:rPr>
        <w:t xml:space="preserve">Разходите за персонал (заплати и </w:t>
      </w:r>
      <w:r w:rsidRPr="00591C97">
        <w:rPr>
          <w:bCs/>
          <w:noProof/>
        </w:rPr>
        <w:t>възнаграждения</w:t>
      </w:r>
      <w:r w:rsidRPr="00591C97">
        <w:rPr>
          <w:bCs/>
        </w:rPr>
        <w:t xml:space="preserve">, други възнаграждения и плащания за персонала и осигурителни вноски) са в общ размер на 2 775,4 млн. лв. или 48,0 % от планираните </w:t>
      </w:r>
      <w:r w:rsidRPr="00591C97">
        <w:t xml:space="preserve">за 2020 </w:t>
      </w:r>
      <w:r w:rsidRPr="00591C97">
        <w:rPr>
          <w:bCs/>
        </w:rPr>
        <w:t xml:space="preserve">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778,1 млн. лв. или 31,7 % от планираните </w:t>
      </w:r>
      <w:r w:rsidRPr="00591C97">
        <w:t>за годината</w:t>
      </w:r>
      <w:r w:rsidRPr="00591C97">
        <w:rPr>
          <w:bCs/>
        </w:rPr>
        <w:t xml:space="preserve">. Социалните разходи (вкл. разходите за стипендии) са в размер на 532,1 млн. лв. или 38,0 % от предвидените </w:t>
      </w:r>
      <w:r w:rsidRPr="00591C97">
        <w:t>за годината</w:t>
      </w:r>
      <w:r w:rsidRPr="00591C97">
        <w:rPr>
          <w:bCs/>
        </w:rPr>
        <w:t xml:space="preserve"> и са основно разходи по бюджета на МТСП за помощи по Закона за социално подпомагане, Закона за хората с увреждания, Закона за семейните помощи за деца и др.</w:t>
      </w:r>
      <w:r w:rsidRPr="001A2A51">
        <w:rPr>
          <w:bCs/>
          <w:color w:val="0070C0"/>
        </w:rPr>
        <w:t xml:space="preserve"> </w:t>
      </w:r>
      <w:r w:rsidRPr="00753326">
        <w:rPr>
          <w:bCs/>
        </w:rPr>
        <w:t>Предоставените текущи и капиталови трансфери за чужбина са в размер на 4,5</w:t>
      </w:r>
      <w:r w:rsidRPr="00753326">
        <w:rPr>
          <w:rFonts w:eastAsia="Calibri"/>
          <w:b/>
        </w:rPr>
        <w:t> </w:t>
      </w:r>
      <w:r w:rsidRPr="00753326">
        <w:rPr>
          <w:bCs/>
        </w:rPr>
        <w:t>млн. лв. Разходите за субсидии са в размер на 503,7 млн. лв. или 46,6 % от планираните за годината.</w:t>
      </w:r>
      <w:r w:rsidRPr="001A2A51">
        <w:rPr>
          <w:bCs/>
          <w:color w:val="0070C0"/>
        </w:rPr>
        <w:t xml:space="preserve"> </w:t>
      </w:r>
      <w:r w:rsidRPr="00F068E9">
        <w:rPr>
          <w:bCs/>
        </w:rPr>
        <w:t>От тях 87,5</w:t>
      </w:r>
      <w:r w:rsidRPr="00F068E9">
        <w:t xml:space="preserve"> </w:t>
      </w:r>
      <w:r w:rsidRPr="00F068E9">
        <w:rPr>
          <w:bCs/>
        </w:rPr>
        <w:t xml:space="preserve">млн. лв. са субсидиите за </w:t>
      </w:r>
      <w:r w:rsidRPr="00F068E9">
        <w:t>„БДЖ – Пътнически превози” ЕООД; 78,3</w:t>
      </w:r>
      <w:r w:rsidRPr="00F068E9">
        <w:rPr>
          <w:rFonts w:eastAsia="Calibri"/>
          <w:b/>
        </w:rPr>
        <w:t> </w:t>
      </w:r>
      <w:r w:rsidRPr="00F068E9">
        <w:rPr>
          <w:bCs/>
        </w:rPr>
        <w:t xml:space="preserve">млн. лв. са субсидиите за </w:t>
      </w:r>
      <w:r w:rsidRPr="00F068E9">
        <w:t>Национална компания „Железопътна инфраструктура”</w:t>
      </w:r>
      <w:r w:rsidRPr="00F068E9">
        <w:rPr>
          <w:bCs/>
        </w:rPr>
        <w:t xml:space="preserve"> </w:t>
      </w:r>
      <w:r w:rsidRPr="00F068E9">
        <w:t>и 28,0</w:t>
      </w:r>
      <w:r w:rsidRPr="00F068E9">
        <w:rPr>
          <w:rFonts w:eastAsia="Calibri"/>
          <w:b/>
        </w:rPr>
        <w:t> </w:t>
      </w:r>
      <w:r w:rsidRPr="00F068E9">
        <w:t xml:space="preserve">млн. лв. </w:t>
      </w:r>
      <w:r w:rsidRPr="00F068E9">
        <w:rPr>
          <w:lang w:val="en-US"/>
        </w:rPr>
        <w:t>(</w:t>
      </w:r>
      <w:proofErr w:type="gramStart"/>
      <w:r w:rsidRPr="00F068E9">
        <w:t>в</w:t>
      </w:r>
      <w:proofErr w:type="gramEnd"/>
      <w:r w:rsidRPr="00F068E9">
        <w:t xml:space="preserve"> т. ч.</w:t>
      </w:r>
      <w:r>
        <w:t xml:space="preserve">  8,4 млн. лв. са допълнителни субсидии по ПМС 114/28.05.2020 г.</w:t>
      </w:r>
      <w:r w:rsidRPr="00316F7F">
        <w:rPr>
          <w:lang w:val="en-US"/>
        </w:rPr>
        <w:t>)</w:t>
      </w:r>
      <w:r>
        <w:rPr>
          <w:color w:val="0070C0"/>
        </w:rPr>
        <w:t xml:space="preserve"> </w:t>
      </w:r>
      <w:r w:rsidRPr="00417721">
        <w:t>за „Български пощи” ЕАД.</w:t>
      </w:r>
      <w:r w:rsidRPr="001A2A51">
        <w:rPr>
          <w:color w:val="0070C0"/>
        </w:rPr>
        <w:t xml:space="preserve"> </w:t>
      </w:r>
      <w:r w:rsidRPr="006626C1">
        <w:t xml:space="preserve">Към края на месец юни </w:t>
      </w:r>
      <w:r w:rsidRPr="006626C1">
        <w:rPr>
          <w:bCs/>
        </w:rPr>
        <w:t>2020</w:t>
      </w:r>
      <w:r w:rsidRPr="006626C1">
        <w:rPr>
          <w:rFonts w:eastAsia="Calibri"/>
          <w:b/>
        </w:rPr>
        <w:t> </w:t>
      </w:r>
      <w:r w:rsidRPr="006626C1">
        <w:rPr>
          <w:bCs/>
        </w:rPr>
        <w:t xml:space="preserve">г. ДФ „Земеделие“ e изплатил субсидии в общ размер на 134,3 млн. лв., от които 40,4 млн. лв. държавна помощ; 75,6 млн. лв. преходна национална помощ за тютюн; 15,7 млн. лв. преходна национална помощ за сектор „Животновъдство“ и 2,5 млн. </w:t>
      </w:r>
      <w:r w:rsidRPr="00B175AC">
        <w:rPr>
          <w:bCs/>
        </w:rPr>
        <w:t xml:space="preserve">лв. средства за ДДС по схеми „Училищен плод“ и „Училищно мляко“. Капиталовите разходи </w:t>
      </w:r>
      <w:r w:rsidRPr="00B175AC">
        <w:t>(вкл. нетния прираст на държавния резерв) по държавния бюджет</w:t>
      </w:r>
      <w:r w:rsidRPr="00B175AC">
        <w:rPr>
          <w:bCs/>
        </w:rPr>
        <w:t xml:space="preserve"> възлизат на 236,5 млн. лева.</w:t>
      </w:r>
    </w:p>
    <w:p w:rsidR="00B13128" w:rsidRPr="008E601B" w:rsidRDefault="00B13128" w:rsidP="00ED2DB8">
      <w:pPr>
        <w:numPr>
          <w:ilvl w:val="1"/>
          <w:numId w:val="14"/>
        </w:numPr>
        <w:tabs>
          <w:tab w:val="num" w:pos="720"/>
          <w:tab w:val="num" w:pos="900"/>
        </w:tabs>
        <w:spacing w:before="240" w:after="120"/>
        <w:ind w:left="714" w:hanging="357"/>
        <w:jc w:val="both"/>
        <w:rPr>
          <w:b/>
          <w:bCs/>
        </w:rPr>
      </w:pPr>
      <w:r w:rsidRPr="008E601B">
        <w:rPr>
          <w:b/>
        </w:rPr>
        <w:t>Просрочени задължения</w:t>
      </w:r>
    </w:p>
    <w:p w:rsidR="00B13128" w:rsidRPr="00144CF0" w:rsidRDefault="00B13128" w:rsidP="00B13128">
      <w:pPr>
        <w:spacing w:after="120"/>
        <w:jc w:val="both"/>
      </w:pPr>
      <w:r w:rsidRPr="00144CF0">
        <w:t xml:space="preserve">Към </w:t>
      </w:r>
      <w:r w:rsidR="00DF33BA" w:rsidRPr="00144CF0">
        <w:t>30.06</w:t>
      </w:r>
      <w:r w:rsidR="006C57B2" w:rsidRPr="00144CF0">
        <w:t>.2020</w:t>
      </w:r>
      <w:r w:rsidRPr="00144CF0">
        <w:t xml:space="preserve"> г. просрочените задължения на централно и местно правителство са в размер на </w:t>
      </w:r>
      <w:r w:rsidR="00144CF0" w:rsidRPr="00144CF0">
        <w:rPr>
          <w:b/>
        </w:rPr>
        <w:t>220,3</w:t>
      </w:r>
      <w:r w:rsidRPr="00144CF0">
        <w:rPr>
          <w:b/>
        </w:rPr>
        <w:t xml:space="preserve"> млн. лева.</w:t>
      </w:r>
      <w:r w:rsidRPr="00144CF0">
        <w:t xml:space="preserve"> </w:t>
      </w:r>
    </w:p>
    <w:p w:rsidR="00F236D5" w:rsidRPr="00A0621B" w:rsidRDefault="00F236D5" w:rsidP="00F236D5">
      <w:pPr>
        <w:spacing w:before="120"/>
        <w:jc w:val="both"/>
        <w:rPr>
          <w:noProof/>
          <w:lang w:val="en-US"/>
        </w:rPr>
      </w:pPr>
      <w:r w:rsidRPr="00B81227">
        <w:t xml:space="preserve">Размерът на просрочените задължения на </w:t>
      </w:r>
      <w:r w:rsidRPr="00B81227">
        <w:rPr>
          <w:b/>
        </w:rPr>
        <w:t>централно правителство</w:t>
      </w:r>
      <w:r w:rsidRPr="00B81227">
        <w:t xml:space="preserve"> (министерства, ведомства и </w:t>
      </w:r>
      <w:r w:rsidRPr="00937E15">
        <w:t>разпоредителите с бюджет по чл. 13, ал. 3 и ал. 4 на ЗПФ) е</w:t>
      </w:r>
      <w:r w:rsidRPr="00937E15">
        <w:rPr>
          <w:b/>
        </w:rPr>
        <w:t xml:space="preserve"> </w:t>
      </w:r>
      <w:r w:rsidR="002852B7" w:rsidRPr="00937E15">
        <w:rPr>
          <w:b/>
        </w:rPr>
        <w:t>76,</w:t>
      </w:r>
      <w:r w:rsidR="00B81227" w:rsidRPr="00937E15">
        <w:rPr>
          <w:b/>
        </w:rPr>
        <w:t>4</w:t>
      </w:r>
      <w:r w:rsidRPr="00937E15">
        <w:rPr>
          <w:b/>
        </w:rPr>
        <w:t xml:space="preserve"> млн. л</w:t>
      </w:r>
      <w:r w:rsidR="004C0413" w:rsidRPr="00937E15">
        <w:rPr>
          <w:b/>
        </w:rPr>
        <w:t>е</w:t>
      </w:r>
      <w:r w:rsidRPr="00937E15">
        <w:rPr>
          <w:b/>
        </w:rPr>
        <w:t>в</w:t>
      </w:r>
      <w:r w:rsidR="004C0413" w:rsidRPr="00937E15">
        <w:rPr>
          <w:b/>
        </w:rPr>
        <w:t>а</w:t>
      </w:r>
      <w:r w:rsidRPr="00937E15">
        <w:rPr>
          <w:b/>
        </w:rPr>
        <w:t xml:space="preserve">. </w:t>
      </w:r>
      <w:r w:rsidR="004C0413" w:rsidRPr="00937E15">
        <w:t>С</w:t>
      </w:r>
      <w:r w:rsidRPr="00937E15">
        <w:t xml:space="preserve">прямо </w:t>
      </w:r>
      <w:r w:rsidRPr="00412E59">
        <w:t xml:space="preserve">отчетените в края на 2019 г. </w:t>
      </w:r>
      <w:r w:rsidR="004C0413" w:rsidRPr="00412E59">
        <w:t xml:space="preserve">те </w:t>
      </w:r>
      <w:r w:rsidR="002852B7" w:rsidRPr="00412E59">
        <w:t>намал</w:t>
      </w:r>
      <w:r w:rsidR="004C0413" w:rsidRPr="00412E59">
        <w:t xml:space="preserve">яват </w:t>
      </w:r>
      <w:r w:rsidRPr="00412E59">
        <w:t xml:space="preserve">с </w:t>
      </w:r>
      <w:r w:rsidR="002852B7" w:rsidRPr="00412E59">
        <w:t>1</w:t>
      </w:r>
      <w:r w:rsidR="004C0413" w:rsidRPr="00412E59">
        <w:t>1,8</w:t>
      </w:r>
      <w:r w:rsidRPr="00412E59">
        <w:t xml:space="preserve"> млн. лева. В обхвата на държавния бюджет по-значими проблеми с наличие на просрочени задължения </w:t>
      </w:r>
      <w:r w:rsidR="00971228" w:rsidRPr="00412E59">
        <w:t>има</w:t>
      </w:r>
      <w:r w:rsidRPr="00412E59">
        <w:t xml:space="preserve"> </w:t>
      </w:r>
      <w:r w:rsidRPr="00412E59">
        <w:rPr>
          <w:bCs/>
        </w:rPr>
        <w:t>при няколко министерства. С най-значими</w:t>
      </w:r>
      <w:r w:rsidRPr="00412E59">
        <w:t xml:space="preserve"> просрочени задължения по държавния бюджет са</w:t>
      </w:r>
      <w:r w:rsidRPr="00412E59">
        <w:rPr>
          <w:lang w:val="en-US"/>
        </w:rPr>
        <w:t xml:space="preserve">: </w:t>
      </w:r>
      <w:r w:rsidR="009A5BCC" w:rsidRPr="00412E59">
        <w:rPr>
          <w:noProof/>
        </w:rPr>
        <w:t xml:space="preserve">Министерство на </w:t>
      </w:r>
      <w:r w:rsidR="009A5BCC" w:rsidRPr="006B79C8">
        <w:rPr>
          <w:noProof/>
        </w:rPr>
        <w:t xml:space="preserve">земеделието, храните и горите – </w:t>
      </w:r>
      <w:r w:rsidR="00412E59" w:rsidRPr="006B79C8">
        <w:rPr>
          <w:noProof/>
        </w:rPr>
        <w:t>18,9</w:t>
      </w:r>
      <w:r w:rsidR="009A5BCC" w:rsidRPr="006B79C8">
        <w:rPr>
          <w:noProof/>
        </w:rPr>
        <w:t xml:space="preserve"> млн. лв. (увеличение с </w:t>
      </w:r>
      <w:r w:rsidR="00412E59" w:rsidRPr="006B79C8">
        <w:rPr>
          <w:noProof/>
        </w:rPr>
        <w:t>2,1</w:t>
      </w:r>
      <w:r w:rsidR="009A5BCC" w:rsidRPr="006B79C8">
        <w:rPr>
          <w:noProof/>
        </w:rPr>
        <w:t xml:space="preserve"> млн. лв. </w:t>
      </w:r>
      <w:r w:rsidR="009A5BCC" w:rsidRPr="006B79C8">
        <w:t xml:space="preserve">спрямо </w:t>
      </w:r>
      <w:proofErr w:type="spellStart"/>
      <w:r w:rsidR="009A5BCC" w:rsidRPr="006B79C8">
        <w:t>просрочията</w:t>
      </w:r>
      <w:proofErr w:type="spellEnd"/>
      <w:r w:rsidR="009A5BCC" w:rsidRPr="006B79C8">
        <w:t xml:space="preserve"> в края на </w:t>
      </w:r>
      <w:r w:rsidR="009A5BCC" w:rsidRPr="006B79C8">
        <w:lastRenderedPageBreak/>
        <w:t>2019 г.</w:t>
      </w:r>
      <w:r w:rsidR="009A5BCC" w:rsidRPr="006B79C8">
        <w:rPr>
          <w:noProof/>
        </w:rPr>
        <w:t>)</w:t>
      </w:r>
      <w:r w:rsidR="009A5BCC" w:rsidRPr="006B79C8">
        <w:rPr>
          <w:noProof/>
          <w:lang w:val="en-US"/>
        </w:rPr>
        <w:t>;</w:t>
      </w:r>
      <w:r w:rsidR="009A5BCC" w:rsidRPr="006B79C8">
        <w:rPr>
          <w:noProof/>
        </w:rPr>
        <w:t xml:space="preserve"> </w:t>
      </w:r>
      <w:r w:rsidR="002A4706" w:rsidRPr="006B79C8">
        <w:rPr>
          <w:noProof/>
        </w:rPr>
        <w:t xml:space="preserve">Министерство на вътрешните работи – </w:t>
      </w:r>
      <w:r w:rsidR="006B79C8" w:rsidRPr="006B79C8">
        <w:rPr>
          <w:noProof/>
        </w:rPr>
        <w:t>13,1</w:t>
      </w:r>
      <w:r w:rsidR="002A4706" w:rsidRPr="006B79C8">
        <w:rPr>
          <w:noProof/>
        </w:rPr>
        <w:t xml:space="preserve"> млн. лв. (увеличение с </w:t>
      </w:r>
      <w:r w:rsidR="006B79C8" w:rsidRPr="006B79C8">
        <w:rPr>
          <w:noProof/>
        </w:rPr>
        <w:t>8,7</w:t>
      </w:r>
      <w:r w:rsidR="002A4706" w:rsidRPr="006B79C8">
        <w:rPr>
          <w:noProof/>
        </w:rPr>
        <w:t xml:space="preserve"> млн. лв. спрямо </w:t>
      </w:r>
      <w:r w:rsidR="002A4706" w:rsidRPr="006B79C8">
        <w:t>отчетените в края на 2019 г</w:t>
      </w:r>
      <w:r w:rsidR="002A4706" w:rsidRPr="00385055">
        <w:t>.</w:t>
      </w:r>
      <w:r w:rsidR="002A4706" w:rsidRPr="00385055">
        <w:rPr>
          <w:noProof/>
        </w:rPr>
        <w:t>)</w:t>
      </w:r>
      <w:r w:rsidR="002A4706" w:rsidRPr="00385055">
        <w:rPr>
          <w:noProof/>
          <w:lang w:val="en-US"/>
        </w:rPr>
        <w:t>;</w:t>
      </w:r>
      <w:r w:rsidR="002A4706" w:rsidRPr="00385055">
        <w:rPr>
          <w:noProof/>
        </w:rPr>
        <w:t xml:space="preserve"> </w:t>
      </w:r>
      <w:r w:rsidRPr="00385055">
        <w:rPr>
          <w:noProof/>
        </w:rPr>
        <w:t xml:space="preserve">Министерство на отбраната – </w:t>
      </w:r>
      <w:r w:rsidR="00385055" w:rsidRPr="00385055">
        <w:rPr>
          <w:noProof/>
        </w:rPr>
        <w:t>2,1</w:t>
      </w:r>
      <w:r w:rsidRPr="00385055">
        <w:rPr>
          <w:noProof/>
        </w:rPr>
        <w:t xml:space="preserve"> млн. лв</w:t>
      </w:r>
      <w:r w:rsidRPr="00171D9C">
        <w:rPr>
          <w:noProof/>
        </w:rPr>
        <w:t>.</w:t>
      </w:r>
      <w:r w:rsidR="00971228" w:rsidRPr="00171D9C">
        <w:rPr>
          <w:noProof/>
        </w:rPr>
        <w:t xml:space="preserve"> (</w:t>
      </w:r>
      <w:r w:rsidR="00385055" w:rsidRPr="00171D9C">
        <w:rPr>
          <w:noProof/>
        </w:rPr>
        <w:t>просрочените задължения са близки до</w:t>
      </w:r>
      <w:r w:rsidR="00971228" w:rsidRPr="00171D9C">
        <w:rPr>
          <w:noProof/>
        </w:rPr>
        <w:t xml:space="preserve"> </w:t>
      </w:r>
      <w:r w:rsidR="00971228" w:rsidRPr="00171D9C">
        <w:t>отчетените в края на 2019 г.</w:t>
      </w:r>
      <w:r w:rsidR="00971228" w:rsidRPr="00171D9C">
        <w:rPr>
          <w:noProof/>
        </w:rPr>
        <w:t>)</w:t>
      </w:r>
      <w:r w:rsidR="004C0413" w:rsidRPr="00171D9C">
        <w:rPr>
          <w:noProof/>
        </w:rPr>
        <w:t xml:space="preserve">, в т.ч. </w:t>
      </w:r>
      <w:r w:rsidR="00171D9C" w:rsidRPr="00171D9C">
        <w:rPr>
          <w:noProof/>
        </w:rPr>
        <w:t>1,4</w:t>
      </w:r>
      <w:r w:rsidR="004C0413" w:rsidRPr="00171D9C">
        <w:rPr>
          <w:noProof/>
        </w:rPr>
        <w:t xml:space="preserve"> млн. лв. на ВМА,</w:t>
      </w:r>
      <w:r w:rsidRPr="00171D9C">
        <w:rPr>
          <w:noProof/>
        </w:rPr>
        <w:t xml:space="preserve"> и дру</w:t>
      </w:r>
      <w:r w:rsidRPr="00103E44">
        <w:rPr>
          <w:noProof/>
        </w:rPr>
        <w:t>ги. От разпоредителите с бюджет по чл. 13, ал. 3 на Закона за публичните финанси проблеми с наличието на просрочени задължения има основно при</w:t>
      </w:r>
      <w:r w:rsidR="00A0621B">
        <w:rPr>
          <w:noProof/>
          <w:lang w:val="en-US"/>
        </w:rPr>
        <w:t>:</w:t>
      </w:r>
      <w:r w:rsidRPr="00103E44">
        <w:rPr>
          <w:noProof/>
        </w:rPr>
        <w:t xml:space="preserve"> Българската национална телевизия – </w:t>
      </w:r>
      <w:r w:rsidR="00A13F87" w:rsidRPr="00103E44">
        <w:rPr>
          <w:noProof/>
        </w:rPr>
        <w:t>27,</w:t>
      </w:r>
      <w:r w:rsidR="00103E44" w:rsidRPr="00103E44">
        <w:rPr>
          <w:noProof/>
        </w:rPr>
        <w:t>4</w:t>
      </w:r>
      <w:r w:rsidRPr="00103E44">
        <w:rPr>
          <w:noProof/>
        </w:rPr>
        <w:t xml:space="preserve"> млн. лв.</w:t>
      </w:r>
      <w:r w:rsidR="00971228" w:rsidRPr="00103E44">
        <w:rPr>
          <w:noProof/>
        </w:rPr>
        <w:t xml:space="preserve"> (увеличение с 1,</w:t>
      </w:r>
      <w:r w:rsidR="00103E44" w:rsidRPr="00103E44">
        <w:rPr>
          <w:noProof/>
        </w:rPr>
        <w:t>2</w:t>
      </w:r>
      <w:r w:rsidR="00971228" w:rsidRPr="00103E44">
        <w:rPr>
          <w:noProof/>
        </w:rPr>
        <w:t xml:space="preserve"> млн. лв. </w:t>
      </w:r>
      <w:r w:rsidR="00971228" w:rsidRPr="00103E44">
        <w:t xml:space="preserve">спрямо отчетените в края </w:t>
      </w:r>
      <w:r w:rsidR="00971228" w:rsidRPr="00DB5D10">
        <w:t>на 2019 г.</w:t>
      </w:r>
      <w:r w:rsidR="00971228" w:rsidRPr="00DB5D10">
        <w:rPr>
          <w:lang w:val="en-US"/>
        </w:rPr>
        <w:t>)</w:t>
      </w:r>
      <w:r w:rsidR="004C0413" w:rsidRPr="00DB5D10">
        <w:rPr>
          <w:noProof/>
        </w:rPr>
        <w:t xml:space="preserve">, в т.ч. </w:t>
      </w:r>
      <w:r w:rsidR="00103E44" w:rsidRPr="00DB5D10">
        <w:rPr>
          <w:noProof/>
        </w:rPr>
        <w:t>25,2</w:t>
      </w:r>
      <w:r w:rsidR="004C0413" w:rsidRPr="00DB5D10">
        <w:rPr>
          <w:noProof/>
        </w:rPr>
        <w:t xml:space="preserve"> млн. лв. </w:t>
      </w:r>
      <w:r w:rsidR="00971228" w:rsidRPr="00DB5D10">
        <w:t>просрочени задължения към доставчици в страната</w:t>
      </w:r>
      <w:r w:rsidR="00A0621B" w:rsidRPr="006B79C8">
        <w:rPr>
          <w:noProof/>
          <w:lang w:val="en-US"/>
        </w:rPr>
        <w:t>;</w:t>
      </w:r>
      <w:r w:rsidR="00A0621B">
        <w:rPr>
          <w:noProof/>
          <w:lang w:val="en-US"/>
        </w:rPr>
        <w:t xml:space="preserve"> </w:t>
      </w:r>
      <w:r w:rsidR="00DB5E0E" w:rsidRPr="00DB5D10">
        <w:rPr>
          <w:noProof/>
        </w:rPr>
        <w:t xml:space="preserve">държавните висши училища – </w:t>
      </w:r>
      <w:r w:rsidR="00DB5D10" w:rsidRPr="00DB5D10">
        <w:rPr>
          <w:noProof/>
        </w:rPr>
        <w:t>7,1</w:t>
      </w:r>
      <w:r w:rsidR="00DB5E0E" w:rsidRPr="00DB5D10">
        <w:rPr>
          <w:noProof/>
        </w:rPr>
        <w:t xml:space="preserve"> млн. лв. (увеличение с </w:t>
      </w:r>
      <w:r w:rsidR="00DB5D10" w:rsidRPr="00DB5D10">
        <w:rPr>
          <w:noProof/>
        </w:rPr>
        <w:t>0,4</w:t>
      </w:r>
      <w:r w:rsidR="00DB5E0E" w:rsidRPr="00DB5D10">
        <w:rPr>
          <w:noProof/>
        </w:rPr>
        <w:t xml:space="preserve"> млн. лв. </w:t>
      </w:r>
      <w:r w:rsidR="00DB5E0E" w:rsidRPr="00DB5D10">
        <w:t>спрямо отчетените в края на 201</w:t>
      </w:r>
      <w:r w:rsidR="00DB5E0E" w:rsidRPr="00DB5D10">
        <w:rPr>
          <w:lang w:val="en-US"/>
        </w:rPr>
        <w:t>9</w:t>
      </w:r>
      <w:r w:rsidR="00384DDA" w:rsidRPr="00DB5D10">
        <w:t xml:space="preserve"> </w:t>
      </w:r>
      <w:r w:rsidR="00DB5E0E" w:rsidRPr="00DB5D10">
        <w:t>г</w:t>
      </w:r>
      <w:r w:rsidR="00384DDA" w:rsidRPr="00DB5D10">
        <w:t>.</w:t>
      </w:r>
      <w:r w:rsidR="007D6F9A" w:rsidRPr="00DB5D10">
        <w:t>, като включват задължения за внасяне на данъци, вноски, такси  и административни санкции и задължения към доставчици</w:t>
      </w:r>
      <w:r w:rsidR="00DB5E0E" w:rsidRPr="00DB5D10">
        <w:rPr>
          <w:noProof/>
        </w:rPr>
        <w:t>)</w:t>
      </w:r>
      <w:r w:rsidR="00A0621B" w:rsidRPr="006B79C8">
        <w:rPr>
          <w:noProof/>
          <w:lang w:val="en-US"/>
        </w:rPr>
        <w:t>;</w:t>
      </w:r>
      <w:r w:rsidR="00A0621B">
        <w:rPr>
          <w:noProof/>
          <w:lang w:val="en-US"/>
        </w:rPr>
        <w:t xml:space="preserve"> </w:t>
      </w:r>
      <w:r w:rsidR="00A0621B" w:rsidRPr="00103E44">
        <w:rPr>
          <w:noProof/>
        </w:rPr>
        <w:t>Българск</w:t>
      </w:r>
      <w:r w:rsidR="00A0621B">
        <w:rPr>
          <w:noProof/>
        </w:rPr>
        <w:t>о</w:t>
      </w:r>
      <w:r w:rsidR="00A0621B" w:rsidRPr="00103E44">
        <w:rPr>
          <w:noProof/>
        </w:rPr>
        <w:t>т</w:t>
      </w:r>
      <w:r w:rsidR="00A0621B">
        <w:rPr>
          <w:noProof/>
        </w:rPr>
        <w:t>о</w:t>
      </w:r>
      <w:r w:rsidR="00A0621B" w:rsidRPr="00103E44">
        <w:rPr>
          <w:noProof/>
        </w:rPr>
        <w:t xml:space="preserve"> националн</w:t>
      </w:r>
      <w:r w:rsidR="00A0621B">
        <w:rPr>
          <w:noProof/>
        </w:rPr>
        <w:t>о</w:t>
      </w:r>
      <w:r w:rsidR="00A0621B" w:rsidRPr="00103E44">
        <w:rPr>
          <w:noProof/>
        </w:rPr>
        <w:t xml:space="preserve"> </w:t>
      </w:r>
      <w:r w:rsidR="00A0621B">
        <w:rPr>
          <w:noProof/>
        </w:rPr>
        <w:t xml:space="preserve">радио </w:t>
      </w:r>
      <w:r w:rsidR="00A0621B" w:rsidRPr="00103E44">
        <w:rPr>
          <w:noProof/>
        </w:rPr>
        <w:t xml:space="preserve">– </w:t>
      </w:r>
      <w:r w:rsidR="00A0621B">
        <w:rPr>
          <w:noProof/>
        </w:rPr>
        <w:t>2,3</w:t>
      </w:r>
      <w:r w:rsidR="00A0621B" w:rsidRPr="00103E44">
        <w:rPr>
          <w:noProof/>
        </w:rPr>
        <w:t xml:space="preserve"> млн. лв. (</w:t>
      </w:r>
      <w:r w:rsidR="00A0621B" w:rsidRPr="00171D9C">
        <w:rPr>
          <w:noProof/>
        </w:rPr>
        <w:t xml:space="preserve">просрочените задължения са близки до </w:t>
      </w:r>
      <w:r w:rsidR="00A0621B" w:rsidRPr="00171D9C">
        <w:t>отчетените в края на 2019 г.</w:t>
      </w:r>
      <w:r w:rsidR="00A0621B" w:rsidRPr="00DB5D10">
        <w:rPr>
          <w:lang w:val="en-US"/>
        </w:rPr>
        <w:t>)</w:t>
      </w:r>
      <w:r w:rsidR="00A0621B" w:rsidRPr="00DB5D10">
        <w:rPr>
          <w:noProof/>
        </w:rPr>
        <w:t xml:space="preserve">, </w:t>
      </w:r>
      <w:r w:rsidR="00A0621B">
        <w:rPr>
          <w:noProof/>
        </w:rPr>
        <w:t>от които</w:t>
      </w:r>
      <w:r w:rsidR="00A0621B" w:rsidRPr="00DB5D10">
        <w:rPr>
          <w:noProof/>
        </w:rPr>
        <w:t xml:space="preserve"> </w:t>
      </w:r>
      <w:r w:rsidR="00A0621B">
        <w:rPr>
          <w:noProof/>
        </w:rPr>
        <w:t>1,9</w:t>
      </w:r>
      <w:r w:rsidR="00A0621B" w:rsidRPr="00DB5D10">
        <w:rPr>
          <w:noProof/>
        </w:rPr>
        <w:t xml:space="preserve"> млн. лв. </w:t>
      </w:r>
      <w:r w:rsidR="00A0621B">
        <w:rPr>
          <w:noProof/>
        </w:rPr>
        <w:t xml:space="preserve">са </w:t>
      </w:r>
      <w:r w:rsidR="00A0621B" w:rsidRPr="00DB5D10">
        <w:t>просрочени задължения към доставчици</w:t>
      </w:r>
      <w:r w:rsidR="00DB5E0E" w:rsidRPr="00DB5D10">
        <w:rPr>
          <w:noProof/>
        </w:rPr>
        <w:t>.</w:t>
      </w:r>
    </w:p>
    <w:p w:rsidR="00B13128" w:rsidRPr="00245EC9" w:rsidRDefault="00B13128" w:rsidP="00B13128">
      <w:pPr>
        <w:ind w:firstLine="567"/>
        <w:jc w:val="both"/>
        <w:rPr>
          <w:bCs/>
          <w:color w:val="4F81BD" w:themeColor="accent1"/>
          <w:sz w:val="6"/>
          <w:szCs w:val="12"/>
        </w:rPr>
      </w:pPr>
    </w:p>
    <w:p w:rsidR="00B13128" w:rsidRPr="00245EC9" w:rsidRDefault="00B13128" w:rsidP="00B13128">
      <w:pPr>
        <w:spacing w:after="120"/>
        <w:jc w:val="both"/>
        <w:rPr>
          <w:noProof/>
          <w:color w:val="4F81BD" w:themeColor="accent1"/>
          <w:lang w:val="en-US"/>
        </w:rPr>
      </w:pPr>
      <w:r w:rsidRPr="00B76763">
        <w:rPr>
          <w:noProof/>
          <w:lang w:val="en-US"/>
        </w:rPr>
        <w:t xml:space="preserve">Просрочените задължения по </w:t>
      </w:r>
      <w:r w:rsidRPr="00B76763">
        <w:rPr>
          <w:b/>
          <w:noProof/>
        </w:rPr>
        <w:t>бюджетите на общините</w:t>
      </w:r>
      <w:r w:rsidRPr="00B76763">
        <w:rPr>
          <w:noProof/>
          <w:lang w:val="en-US"/>
        </w:rPr>
        <w:t xml:space="preserve"> </w:t>
      </w:r>
      <w:r w:rsidRPr="00B76763">
        <w:rPr>
          <w:noProof/>
        </w:rPr>
        <w:t xml:space="preserve">към </w:t>
      </w:r>
      <w:r w:rsidR="00DF33BA" w:rsidRPr="00B76763">
        <w:rPr>
          <w:noProof/>
        </w:rPr>
        <w:t>30.06</w:t>
      </w:r>
      <w:r w:rsidR="006C57B2" w:rsidRPr="00B76763">
        <w:rPr>
          <w:noProof/>
        </w:rPr>
        <w:t>.2020</w:t>
      </w:r>
      <w:r w:rsidRPr="00B76763">
        <w:rPr>
          <w:noProof/>
        </w:rPr>
        <w:t xml:space="preserve"> г. </w:t>
      </w:r>
      <w:r w:rsidRPr="00B76763">
        <w:rPr>
          <w:noProof/>
          <w:lang w:val="en-US"/>
        </w:rPr>
        <w:t xml:space="preserve">са в размер на </w:t>
      </w:r>
      <w:r w:rsidR="00B76763" w:rsidRPr="00E54422">
        <w:rPr>
          <w:b/>
          <w:noProof/>
        </w:rPr>
        <w:t>143,8</w:t>
      </w:r>
      <w:r w:rsidR="0030300D" w:rsidRPr="00E54422">
        <w:rPr>
          <w:b/>
          <w:noProof/>
        </w:rPr>
        <w:t> </w:t>
      </w:r>
      <w:r w:rsidRPr="00E54422">
        <w:rPr>
          <w:b/>
          <w:noProof/>
          <w:lang w:val="en-US"/>
        </w:rPr>
        <w:t xml:space="preserve">млн. </w:t>
      </w:r>
      <w:proofErr w:type="gramStart"/>
      <w:r w:rsidRPr="00E54422">
        <w:rPr>
          <w:b/>
          <w:noProof/>
          <w:lang w:val="en-US"/>
        </w:rPr>
        <w:t>лв.,</w:t>
      </w:r>
      <w:r w:rsidRPr="00E54422">
        <w:rPr>
          <w:noProof/>
          <w:lang w:val="en-US"/>
        </w:rPr>
        <w:t xml:space="preserve"> като спрямо </w:t>
      </w:r>
      <w:r w:rsidRPr="00E54422">
        <w:t>края на 201</w:t>
      </w:r>
      <w:r w:rsidR="008A68CE" w:rsidRPr="00E54422">
        <w:t>9</w:t>
      </w:r>
      <w:r w:rsidRPr="00E54422">
        <w:t xml:space="preserve"> г. </w:t>
      </w:r>
      <w:r w:rsidRPr="00E54422">
        <w:rPr>
          <w:noProof/>
          <w:lang w:val="en-US"/>
        </w:rPr>
        <w:t xml:space="preserve">се отчита </w:t>
      </w:r>
      <w:r w:rsidR="007C59F7" w:rsidRPr="00E54422">
        <w:rPr>
          <w:noProof/>
        </w:rPr>
        <w:t>намаление</w:t>
      </w:r>
      <w:r w:rsidRPr="00E54422">
        <w:rPr>
          <w:noProof/>
        </w:rPr>
        <w:t xml:space="preserve"> с</w:t>
      </w:r>
      <w:r w:rsidRPr="00E54422">
        <w:rPr>
          <w:noProof/>
          <w:lang w:val="en-US"/>
        </w:rPr>
        <w:t xml:space="preserve"> </w:t>
      </w:r>
      <w:r w:rsidR="00B76763" w:rsidRPr="00E54422">
        <w:rPr>
          <w:noProof/>
        </w:rPr>
        <w:t>27,9</w:t>
      </w:r>
      <w:r w:rsidRPr="00E54422">
        <w:rPr>
          <w:noProof/>
          <w:lang w:val="en-US"/>
        </w:rPr>
        <w:t xml:space="preserve"> млн.</w:t>
      </w:r>
      <w:proofErr w:type="gramEnd"/>
      <w:r w:rsidRPr="00E54422">
        <w:rPr>
          <w:noProof/>
          <w:lang w:val="en-US"/>
        </w:rPr>
        <w:t xml:space="preserve"> лева. С най-голям относителен дял в просрочените задължения по бюджет</w:t>
      </w:r>
      <w:r w:rsidR="00AD481E" w:rsidRPr="00E54422">
        <w:rPr>
          <w:noProof/>
        </w:rPr>
        <w:t>ите</w:t>
      </w:r>
      <w:r w:rsidRPr="00E54422">
        <w:rPr>
          <w:noProof/>
          <w:lang w:val="en-US"/>
        </w:rPr>
        <w:t xml:space="preserve"> на общините </w:t>
      </w:r>
      <w:r w:rsidRPr="00E54422">
        <w:rPr>
          <w:noProof/>
        </w:rPr>
        <w:t xml:space="preserve">към края на месец </w:t>
      </w:r>
      <w:r w:rsidR="00B76763" w:rsidRPr="00124E8D">
        <w:rPr>
          <w:noProof/>
        </w:rPr>
        <w:t>юни</w:t>
      </w:r>
      <w:r w:rsidR="006C57B2" w:rsidRPr="00124E8D">
        <w:rPr>
          <w:noProof/>
        </w:rPr>
        <w:t xml:space="preserve"> 2020</w:t>
      </w:r>
      <w:r w:rsidRPr="00124E8D">
        <w:rPr>
          <w:noProof/>
        </w:rPr>
        <w:t xml:space="preserve"> г. </w:t>
      </w:r>
      <w:r w:rsidRPr="00124E8D">
        <w:rPr>
          <w:noProof/>
          <w:lang w:val="en-US"/>
        </w:rPr>
        <w:t xml:space="preserve">са </w:t>
      </w:r>
      <w:r w:rsidRPr="00124E8D">
        <w:rPr>
          <w:noProof/>
        </w:rPr>
        <w:t xml:space="preserve">просрочените задължения към доставчици, които са в размер на </w:t>
      </w:r>
      <w:r w:rsidR="00112E96" w:rsidRPr="00124E8D">
        <w:rPr>
          <w:noProof/>
        </w:rPr>
        <w:t>113,</w:t>
      </w:r>
      <w:r w:rsidR="00E54422" w:rsidRPr="00124E8D">
        <w:rPr>
          <w:noProof/>
        </w:rPr>
        <w:t>5</w:t>
      </w:r>
      <w:r w:rsidR="00FE6481">
        <w:rPr>
          <w:noProof/>
        </w:rPr>
        <w:t> </w:t>
      </w:r>
      <w:r w:rsidRPr="00124E8D">
        <w:rPr>
          <w:noProof/>
        </w:rPr>
        <w:t>млн.</w:t>
      </w:r>
      <w:r w:rsidR="00971228" w:rsidRPr="00124E8D">
        <w:rPr>
          <w:noProof/>
        </w:rPr>
        <w:t> </w:t>
      </w:r>
      <w:r w:rsidRPr="00124E8D">
        <w:rPr>
          <w:noProof/>
        </w:rPr>
        <w:t>лева.</w:t>
      </w:r>
      <w:r w:rsidR="00971228" w:rsidRPr="00124E8D">
        <w:rPr>
          <w:noProof/>
        </w:rPr>
        <w:t xml:space="preserve"> </w:t>
      </w:r>
      <w:r w:rsidR="00971228" w:rsidRPr="00124E8D">
        <w:rPr>
          <w:noProof/>
          <w:lang w:val="en-US"/>
        </w:rPr>
        <w:t xml:space="preserve">В делегираните от държавата дейности просрочените задължения са в размер на </w:t>
      </w:r>
      <w:r w:rsidR="00971228" w:rsidRPr="00124E8D">
        <w:rPr>
          <w:noProof/>
        </w:rPr>
        <w:t>2,</w:t>
      </w:r>
      <w:r w:rsidR="00124E8D" w:rsidRPr="00124E8D">
        <w:rPr>
          <w:noProof/>
        </w:rPr>
        <w:t>5</w:t>
      </w:r>
      <w:r w:rsidR="00971228" w:rsidRPr="00124E8D">
        <w:rPr>
          <w:noProof/>
          <w:lang w:val="en-US"/>
        </w:rPr>
        <w:t xml:space="preserve"> млн.</w:t>
      </w:r>
      <w:r w:rsidR="00971228" w:rsidRPr="00124E8D">
        <w:rPr>
          <w:noProof/>
        </w:rPr>
        <w:t> </w:t>
      </w:r>
      <w:r w:rsidR="00971228" w:rsidRPr="00124E8D">
        <w:rPr>
          <w:noProof/>
          <w:lang w:val="en-US"/>
        </w:rPr>
        <w:t>лева.</w:t>
      </w:r>
    </w:p>
    <w:p w:rsidR="00A7792B" w:rsidRPr="00C4087E" w:rsidRDefault="00A7792B" w:rsidP="00A7792B">
      <w:pPr>
        <w:spacing w:before="120"/>
        <w:jc w:val="both"/>
      </w:pPr>
      <w:r w:rsidRPr="00C4087E">
        <w:t xml:space="preserve">В системата на </w:t>
      </w:r>
      <w:r w:rsidRPr="00C4087E">
        <w:rPr>
          <w:b/>
        </w:rPr>
        <w:t>НЗОК</w:t>
      </w:r>
      <w:r w:rsidRPr="00C4087E">
        <w:t xml:space="preserve"> към </w:t>
      </w:r>
      <w:r w:rsidR="00DF33BA" w:rsidRPr="00C4087E">
        <w:t>30.06</w:t>
      </w:r>
      <w:r w:rsidRPr="00C4087E">
        <w:t>.2020 г. няма просрочени задължения.</w:t>
      </w:r>
    </w:p>
    <w:p w:rsidR="00A7792B" w:rsidRPr="00245EC9" w:rsidRDefault="00A7792B" w:rsidP="00B13128">
      <w:pPr>
        <w:spacing w:after="120"/>
        <w:jc w:val="both"/>
        <w:rPr>
          <w:noProof/>
          <w:color w:val="4F81BD" w:themeColor="accent1"/>
          <w:sz w:val="6"/>
          <w:szCs w:val="6"/>
        </w:rPr>
      </w:pPr>
    </w:p>
    <w:p w:rsidR="00B13128" w:rsidRPr="000C106C" w:rsidRDefault="006628B2" w:rsidP="00B13128">
      <w:pPr>
        <w:spacing w:after="120"/>
        <w:jc w:val="both"/>
        <w:rPr>
          <w:lang w:val="en-US"/>
        </w:rPr>
      </w:pPr>
      <w:r>
        <w:rPr>
          <w:noProof/>
        </w:rPr>
        <w:t xml:space="preserve">Извън обхвата на консолидираната фискална програма, сериозен продължава да бъде проблемът с просрочията на лечебните заведения за болнична помощ (държавни и общински </w:t>
      </w:r>
      <w:r w:rsidRPr="006628B2">
        <w:rPr>
          <w:noProof/>
        </w:rPr>
        <w:t>болници – търговски дружества). Към 30.06.2020 г. размерът на просрочените задължения е 162,2 млн. лв., от които 129,9 млн. лв. са на държавните болници и 32,3 млн. лв. са на общинските болници. Спрямо отчетените просрочени задължения към 31.12.2019 г. се отчита увеличение с 39,1 млн. лв. (с 32 на сто)</w:t>
      </w:r>
      <w:r w:rsidR="00B13128" w:rsidRPr="006628B2">
        <w:t>.</w:t>
      </w:r>
    </w:p>
    <w:p w:rsidR="00BB059C" w:rsidRPr="00245EC9" w:rsidRDefault="00BB059C" w:rsidP="00BB059C">
      <w:pPr>
        <w:ind w:firstLine="567"/>
        <w:jc w:val="both"/>
        <w:rPr>
          <w:noProof/>
          <w:color w:val="4F81BD" w:themeColor="accent1"/>
          <w:sz w:val="2"/>
          <w:szCs w:val="12"/>
          <w:lang w:val="en-US"/>
        </w:rPr>
      </w:pPr>
    </w:p>
    <w:p w:rsidR="009C2594" w:rsidRPr="00ED019F" w:rsidRDefault="009C2594" w:rsidP="00337CA7">
      <w:pPr>
        <w:pStyle w:val="BodyTextIndent"/>
        <w:numPr>
          <w:ilvl w:val="1"/>
          <w:numId w:val="14"/>
        </w:numPr>
        <w:tabs>
          <w:tab w:val="clear" w:pos="2160"/>
          <w:tab w:val="num" w:pos="720"/>
          <w:tab w:val="num" w:pos="900"/>
        </w:tabs>
        <w:spacing w:before="120" w:after="0"/>
        <w:ind w:left="720"/>
        <w:jc w:val="both"/>
        <w:rPr>
          <w:b/>
          <w:bCs/>
        </w:rPr>
      </w:pPr>
      <w:r w:rsidRPr="00ED019F">
        <w:rPr>
          <w:b/>
          <w:bCs/>
        </w:rPr>
        <w:t xml:space="preserve">Разходи по </w:t>
      </w:r>
      <w:r w:rsidRPr="00ED019F">
        <w:rPr>
          <w:b/>
          <w:bCs/>
          <w:szCs w:val="26"/>
        </w:rPr>
        <w:t xml:space="preserve">централния бюджет </w:t>
      </w:r>
      <w:r w:rsidRPr="00ED019F">
        <w:rPr>
          <w:b/>
          <w:bCs/>
        </w:rPr>
        <w:t>за субсидии</w:t>
      </w:r>
      <w:r w:rsidR="00F202DD" w:rsidRPr="00ED019F">
        <w:rPr>
          <w:b/>
          <w:bCs/>
        </w:rPr>
        <w:t>,</w:t>
      </w:r>
      <w:r w:rsidR="0091667E" w:rsidRPr="00ED019F">
        <w:rPr>
          <w:b/>
          <w:bCs/>
        </w:rPr>
        <w:t xml:space="preserve"> </w:t>
      </w:r>
      <w:r w:rsidR="00F202DD" w:rsidRPr="00ED019F">
        <w:rPr>
          <w:b/>
          <w:bCs/>
        </w:rPr>
        <w:t xml:space="preserve">капиталови </w:t>
      </w:r>
      <w:r w:rsidR="00AF1CA0" w:rsidRPr="00ED019F">
        <w:rPr>
          <w:b/>
          <w:bCs/>
        </w:rPr>
        <w:t>трансфери</w:t>
      </w:r>
      <w:r w:rsidR="00AF1CA0" w:rsidRPr="00ED019F">
        <w:rPr>
          <w:bCs/>
        </w:rPr>
        <w:t xml:space="preserve"> </w:t>
      </w:r>
      <w:r w:rsidRPr="00ED019F">
        <w:rPr>
          <w:b/>
          <w:bCs/>
        </w:rPr>
        <w:t xml:space="preserve">и други разходи, свързани с дейността на реалния сектор </w:t>
      </w:r>
    </w:p>
    <w:p w:rsidR="009C2594" w:rsidRPr="00245EC9" w:rsidRDefault="009C2594" w:rsidP="009C2594">
      <w:pPr>
        <w:pStyle w:val="Header"/>
        <w:jc w:val="both"/>
        <w:rPr>
          <w:color w:val="4F81BD" w:themeColor="accent1"/>
          <w:sz w:val="8"/>
          <w:szCs w:val="8"/>
        </w:rPr>
      </w:pPr>
    </w:p>
    <w:p w:rsidR="00DD638A" w:rsidRPr="00ED019F" w:rsidRDefault="00DD638A" w:rsidP="007A2C8D">
      <w:pPr>
        <w:pStyle w:val="Header"/>
        <w:jc w:val="both"/>
      </w:pPr>
      <w:r w:rsidRPr="00ED019F">
        <w:t>Със ЗДБРБ за 20</w:t>
      </w:r>
      <w:r w:rsidRPr="00ED019F">
        <w:rPr>
          <w:lang w:val="en-US"/>
        </w:rPr>
        <w:t>20</w:t>
      </w:r>
      <w:r w:rsidRPr="00ED019F">
        <w:t xml:space="preserve"> г. са утвърдени 1</w:t>
      </w:r>
      <w:r w:rsidRPr="00ED019F">
        <w:rPr>
          <w:lang w:val="en-US"/>
        </w:rPr>
        <w:t>81</w:t>
      </w:r>
      <w:r w:rsidRPr="00ED019F">
        <w:t>,0 млн. лв</w:t>
      </w:r>
      <w:r w:rsidRPr="00ED019F">
        <w:rPr>
          <w:b/>
        </w:rPr>
        <w:t>.</w:t>
      </w:r>
      <w:r w:rsidRPr="00ED019F">
        <w:t xml:space="preserve"> </w:t>
      </w:r>
      <w:r w:rsidRPr="00ED019F">
        <w:rPr>
          <w:b/>
        </w:rPr>
        <w:t>субсидии</w:t>
      </w:r>
      <w:r w:rsidRPr="00ED019F">
        <w:t xml:space="preserve"> за нефинансови предприятия от централния бюджет.</w:t>
      </w:r>
    </w:p>
    <w:p w:rsidR="00DD638A" w:rsidRPr="00245EC9" w:rsidRDefault="00DD638A" w:rsidP="007A2C8D">
      <w:pPr>
        <w:pStyle w:val="Header"/>
        <w:jc w:val="both"/>
        <w:rPr>
          <w:color w:val="4F81BD" w:themeColor="accent1"/>
          <w:sz w:val="4"/>
          <w:szCs w:val="4"/>
        </w:rPr>
      </w:pPr>
    </w:p>
    <w:p w:rsidR="00DD638A" w:rsidRPr="00ED019F" w:rsidRDefault="00DD638A" w:rsidP="007A2C8D">
      <w:pPr>
        <w:pStyle w:val="BodyText2"/>
        <w:spacing w:after="0" w:line="240" w:lineRule="auto"/>
        <w:jc w:val="both"/>
      </w:pPr>
      <w:r w:rsidRPr="00ED019F">
        <w:t xml:space="preserve">Средствата за </w:t>
      </w:r>
      <w:r w:rsidRPr="00ED019F">
        <w:rPr>
          <w:bCs/>
        </w:rPr>
        <w:t>субсидии</w:t>
      </w:r>
      <w:r w:rsidRPr="00ED019F">
        <w:t xml:space="preserve"> са предназначени за търговски дружества,</w:t>
      </w:r>
      <w:r w:rsidR="00ED019F" w:rsidRPr="00ED019F">
        <w:rPr>
          <w:lang w:val="en-US"/>
        </w:rPr>
        <w:t xml:space="preserve"> </w:t>
      </w:r>
      <w:r w:rsidRPr="00ED019F">
        <w:t>осъществяващи превоза на пътниците по нерентабилни линии във вътрешноградския транспорт и транспорта в планински и други райони, за текущо поддържане и експлоатация на железопътната инфраструктура и др.</w:t>
      </w:r>
    </w:p>
    <w:p w:rsidR="00DD638A" w:rsidRPr="00245EC9" w:rsidRDefault="00DD638A" w:rsidP="007A2C8D">
      <w:pPr>
        <w:pStyle w:val="BodyText2"/>
        <w:spacing w:after="0" w:line="240" w:lineRule="auto"/>
        <w:jc w:val="both"/>
        <w:rPr>
          <w:color w:val="4F81BD" w:themeColor="accent1"/>
          <w:sz w:val="12"/>
          <w:szCs w:val="12"/>
        </w:rPr>
      </w:pPr>
    </w:p>
    <w:p w:rsidR="00DD638A" w:rsidRPr="00ED019F" w:rsidRDefault="003A4801" w:rsidP="007A2C8D">
      <w:pPr>
        <w:pStyle w:val="BodyTextIndent"/>
        <w:ind w:left="0" w:firstLine="426"/>
        <w:jc w:val="both"/>
      </w:pPr>
      <w:r w:rsidRPr="00ED019F">
        <w:t>- Със ЗДБРБ за 20</w:t>
      </w:r>
      <w:r w:rsidRPr="00ED019F">
        <w:rPr>
          <w:lang w:val="en-US"/>
        </w:rPr>
        <w:t>20</w:t>
      </w:r>
      <w:r w:rsidR="00DD638A" w:rsidRPr="00ED019F">
        <w:t xml:space="preserve"> г. за Национална компания „Железопътна инфраструктура” са предвидени средства под формата на субсидии, предназначени за поддържане и експлоатация на железопътната инфраструктура, в размер на 145,0 млн. лева.</w:t>
      </w:r>
      <w:r w:rsidR="00DD638A" w:rsidRPr="00245EC9">
        <w:rPr>
          <w:color w:val="4F81BD" w:themeColor="accent1"/>
        </w:rPr>
        <w:t xml:space="preserve"> </w:t>
      </w:r>
      <w:r w:rsidR="00DD638A" w:rsidRPr="00ED019F">
        <w:t xml:space="preserve">Усвоените средства за </w:t>
      </w:r>
      <w:r w:rsidR="00ED019F" w:rsidRPr="00ED019F">
        <w:t>първото</w:t>
      </w:r>
      <w:r w:rsidR="00DD638A" w:rsidRPr="00ED019F">
        <w:t xml:space="preserve"> </w:t>
      </w:r>
      <w:r w:rsidR="00ED019F" w:rsidRPr="00ED019F">
        <w:t>полугодие</w:t>
      </w:r>
      <w:r w:rsidR="00DD638A" w:rsidRPr="00ED019F">
        <w:t xml:space="preserve"> на 2020 г. са в размер на </w:t>
      </w:r>
      <w:r w:rsidR="00ED019F" w:rsidRPr="00ED019F">
        <w:t>78</w:t>
      </w:r>
      <w:r w:rsidR="00DD638A" w:rsidRPr="00ED019F">
        <w:t>,</w:t>
      </w:r>
      <w:r w:rsidR="00DD638A" w:rsidRPr="00ED019F">
        <w:rPr>
          <w:lang w:val="en-US"/>
        </w:rPr>
        <w:t>3</w:t>
      </w:r>
      <w:r w:rsidR="00DD638A" w:rsidRPr="00ED019F">
        <w:t xml:space="preserve"> млн. лв. или </w:t>
      </w:r>
      <w:r w:rsidR="00675366" w:rsidRPr="00ED019F">
        <w:rPr>
          <w:lang w:val="en-US"/>
        </w:rPr>
        <w:t>5</w:t>
      </w:r>
      <w:r w:rsidR="00ED019F" w:rsidRPr="00ED019F">
        <w:t>4</w:t>
      </w:r>
      <w:r w:rsidR="00DD638A" w:rsidRPr="00ED019F">
        <w:t>,0 на сто от годишния план. Същите са предоставени в съответствие с утвърдения от министъра на транспорта, информационните технологии и съобщенията График за превеждане на субсидиите, съобразен с необходимостта от средства за финансиране на текущите дейности на предприятието.</w:t>
      </w:r>
      <w:r w:rsidR="00DD638A" w:rsidRPr="00ED019F">
        <w:rPr>
          <w:lang w:val="en-US"/>
        </w:rPr>
        <w:t xml:space="preserve"> </w:t>
      </w:r>
    </w:p>
    <w:p w:rsidR="00DD638A" w:rsidRPr="00ED019F" w:rsidRDefault="00DD638A" w:rsidP="007A2C8D">
      <w:pPr>
        <w:pStyle w:val="BodyTextIndent2"/>
        <w:spacing w:line="240" w:lineRule="auto"/>
        <w:ind w:left="0" w:firstLine="426"/>
        <w:jc w:val="both"/>
        <w:rPr>
          <w:noProof/>
        </w:rPr>
      </w:pPr>
      <w:r w:rsidRPr="00ED019F">
        <w:t>- Предвидените със ЗДБРБ за 20</w:t>
      </w:r>
      <w:r w:rsidRPr="00ED019F">
        <w:rPr>
          <w:lang w:val="en-US"/>
        </w:rPr>
        <w:t>20</w:t>
      </w:r>
      <w:r w:rsidRPr="00ED019F">
        <w:t xml:space="preserve"> г. средства за субсидиране на превоза на пътниците по нерентабилни линии във вътрешноградския транспорт и транспорта в планински </w:t>
      </w:r>
      <w:r w:rsidR="00BC1E67" w:rsidRPr="00ED019F">
        <w:t xml:space="preserve">и други райони са в размер на </w:t>
      </w:r>
      <w:r w:rsidR="00BC1E67" w:rsidRPr="00ED019F">
        <w:rPr>
          <w:lang w:val="en-US"/>
        </w:rPr>
        <w:t>36</w:t>
      </w:r>
      <w:r w:rsidRPr="00ED019F">
        <w:t>,0 млн. лева.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 П</w:t>
      </w:r>
      <w:r w:rsidRPr="00ED019F">
        <w:rPr>
          <w:noProof/>
        </w:rPr>
        <w:t xml:space="preserve">рез първото </w:t>
      </w:r>
      <w:r w:rsidR="00ED019F" w:rsidRPr="00ED019F">
        <w:rPr>
          <w:noProof/>
        </w:rPr>
        <w:t>шестмесечие</w:t>
      </w:r>
      <w:r w:rsidRPr="00ED019F">
        <w:rPr>
          <w:noProof/>
        </w:rPr>
        <w:t xml:space="preserve"> на 2020 г. усвоените средства са в размер на </w:t>
      </w:r>
      <w:r w:rsidR="00ED019F" w:rsidRPr="00ED019F">
        <w:rPr>
          <w:noProof/>
        </w:rPr>
        <w:t>16</w:t>
      </w:r>
      <w:r w:rsidRPr="00ED019F">
        <w:rPr>
          <w:noProof/>
        </w:rPr>
        <w:t>,</w:t>
      </w:r>
      <w:r w:rsidR="00ED019F" w:rsidRPr="00ED019F">
        <w:rPr>
          <w:noProof/>
        </w:rPr>
        <w:t>8</w:t>
      </w:r>
      <w:r w:rsidRPr="00ED019F">
        <w:rPr>
          <w:noProof/>
        </w:rPr>
        <w:t xml:space="preserve"> млн. лв. или </w:t>
      </w:r>
      <w:r w:rsidR="00ED019F" w:rsidRPr="00ED019F">
        <w:rPr>
          <w:noProof/>
        </w:rPr>
        <w:t>46</w:t>
      </w:r>
      <w:r w:rsidRPr="00ED019F">
        <w:rPr>
          <w:noProof/>
        </w:rPr>
        <w:t>,</w:t>
      </w:r>
      <w:r w:rsidR="00ED019F" w:rsidRPr="00ED019F">
        <w:rPr>
          <w:noProof/>
        </w:rPr>
        <w:t>5</w:t>
      </w:r>
      <w:r w:rsidRPr="00ED019F">
        <w:rPr>
          <w:noProof/>
        </w:rPr>
        <w:t xml:space="preserve"> на сто от разчета за годината. </w:t>
      </w:r>
    </w:p>
    <w:p w:rsidR="00DD638A" w:rsidRPr="00245EC9" w:rsidRDefault="00DD638A" w:rsidP="007A2C8D">
      <w:pPr>
        <w:jc w:val="both"/>
        <w:rPr>
          <w:bCs/>
          <w:color w:val="4F81BD" w:themeColor="accent1"/>
        </w:rPr>
      </w:pPr>
      <w:r w:rsidRPr="00ED019F">
        <w:rPr>
          <w:bCs/>
        </w:rPr>
        <w:t xml:space="preserve">За </w:t>
      </w:r>
      <w:r w:rsidRPr="00ED019F">
        <w:rPr>
          <w:b/>
          <w:bCs/>
        </w:rPr>
        <w:t xml:space="preserve">капиталови трансфери </w:t>
      </w:r>
      <w:r w:rsidRPr="00ED019F">
        <w:rPr>
          <w:bCs/>
        </w:rPr>
        <w:t>от централния бюджет за нефинансови предприятия със ЗДБРБ за 20</w:t>
      </w:r>
      <w:r w:rsidRPr="00ED019F">
        <w:rPr>
          <w:bCs/>
          <w:lang w:val="en-US"/>
        </w:rPr>
        <w:t>20</w:t>
      </w:r>
      <w:r w:rsidRPr="00ED019F">
        <w:rPr>
          <w:bCs/>
        </w:rPr>
        <w:t xml:space="preserve"> г. са предвидени </w:t>
      </w:r>
      <w:r w:rsidRPr="00ED019F">
        <w:rPr>
          <w:b/>
          <w:bCs/>
        </w:rPr>
        <w:t>380,0 млн. лева.</w:t>
      </w:r>
      <w:r w:rsidRPr="00ED019F">
        <w:rPr>
          <w:bCs/>
        </w:rPr>
        <w:t xml:space="preserve"> Преведените и усвоени средства към </w:t>
      </w:r>
      <w:r w:rsidR="00DF33BA" w:rsidRPr="00ED019F">
        <w:rPr>
          <w:bCs/>
        </w:rPr>
        <w:t>30.06</w:t>
      </w:r>
      <w:r w:rsidRPr="00ED019F">
        <w:rPr>
          <w:bCs/>
        </w:rPr>
        <w:t xml:space="preserve">.2020 г. са в размер на </w:t>
      </w:r>
      <w:r w:rsidR="00ED019F" w:rsidRPr="00ED019F">
        <w:rPr>
          <w:b/>
          <w:bCs/>
        </w:rPr>
        <w:t>87</w:t>
      </w:r>
      <w:r w:rsidRPr="00ED019F">
        <w:rPr>
          <w:b/>
          <w:bCs/>
        </w:rPr>
        <w:t>,</w:t>
      </w:r>
      <w:r w:rsidR="00ED019F" w:rsidRPr="00ED019F">
        <w:rPr>
          <w:b/>
          <w:bCs/>
        </w:rPr>
        <w:t>1</w:t>
      </w:r>
      <w:r w:rsidRPr="00ED019F">
        <w:rPr>
          <w:b/>
          <w:bCs/>
        </w:rPr>
        <w:t xml:space="preserve"> млн. лв.</w:t>
      </w:r>
      <w:r w:rsidRPr="00ED019F">
        <w:rPr>
          <w:bCs/>
        </w:rPr>
        <w:t xml:space="preserve"> или </w:t>
      </w:r>
      <w:r w:rsidR="00ED019F" w:rsidRPr="00ED019F">
        <w:rPr>
          <w:bCs/>
        </w:rPr>
        <w:t>22</w:t>
      </w:r>
      <w:r w:rsidRPr="00ED019F">
        <w:rPr>
          <w:bCs/>
        </w:rPr>
        <w:t>,</w:t>
      </w:r>
      <w:r w:rsidR="00ED019F" w:rsidRPr="00ED019F">
        <w:rPr>
          <w:bCs/>
        </w:rPr>
        <w:t>9</w:t>
      </w:r>
      <w:r w:rsidRPr="00ED019F">
        <w:rPr>
          <w:bCs/>
        </w:rPr>
        <w:t xml:space="preserve"> % от годишния размер, както следва:</w:t>
      </w:r>
    </w:p>
    <w:p w:rsidR="00DD638A" w:rsidRPr="00900FC5" w:rsidRDefault="00DD638A" w:rsidP="007A2C8D">
      <w:pPr>
        <w:numPr>
          <w:ilvl w:val="0"/>
          <w:numId w:val="5"/>
        </w:numPr>
        <w:tabs>
          <w:tab w:val="clear" w:pos="1440"/>
          <w:tab w:val="left" w:pos="426"/>
          <w:tab w:val="left" w:pos="851"/>
        </w:tabs>
        <w:ind w:left="0" w:firstLine="426"/>
        <w:jc w:val="both"/>
        <w:rPr>
          <w:i/>
        </w:rPr>
      </w:pPr>
      <w:r w:rsidRPr="00ED019F">
        <w:rPr>
          <w:i/>
        </w:rPr>
        <w:t>капиталови трансфери за  Национална компания „Железопътна инфраструктура</w:t>
      </w:r>
      <w:r w:rsidRPr="00ED019F">
        <w:t>” - ф</w:t>
      </w:r>
      <w:r w:rsidRPr="00ED019F">
        <w:rPr>
          <w:noProof/>
        </w:rPr>
        <w:t xml:space="preserve">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w:t>
      </w:r>
      <w:r w:rsidRPr="00ED019F">
        <w:rPr>
          <w:noProof/>
        </w:rPr>
        <w:lastRenderedPageBreak/>
        <w:t>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ED019F">
        <w:t xml:space="preserve">. </w:t>
      </w:r>
      <w:r w:rsidRPr="00ED019F">
        <w:rPr>
          <w:noProof/>
        </w:rPr>
        <w:t>За 20</w:t>
      </w:r>
      <w:r w:rsidRPr="00ED019F">
        <w:rPr>
          <w:noProof/>
          <w:lang w:val="en-US"/>
        </w:rPr>
        <w:t>20</w:t>
      </w:r>
      <w:r w:rsidRPr="00ED019F">
        <w:rPr>
          <w:noProof/>
        </w:rPr>
        <w:t xml:space="preserve"> г. от държавния бюджет за компанията е предвиден капиталов трансфер в размер на 120,0 млн. лева</w:t>
      </w:r>
      <w:r w:rsidRPr="00900FC5">
        <w:rPr>
          <w:noProof/>
        </w:rPr>
        <w:t xml:space="preserve">. Усвоените средства за първото </w:t>
      </w:r>
      <w:r w:rsidR="00ED019F" w:rsidRPr="00900FC5">
        <w:rPr>
          <w:noProof/>
        </w:rPr>
        <w:t>шестмесечие</w:t>
      </w:r>
      <w:r w:rsidRPr="00900FC5">
        <w:rPr>
          <w:noProof/>
        </w:rPr>
        <w:t xml:space="preserve"> на 2020 г. са в размер на </w:t>
      </w:r>
      <w:r w:rsidR="00900FC5" w:rsidRPr="00900FC5">
        <w:rPr>
          <w:noProof/>
        </w:rPr>
        <w:t>55</w:t>
      </w:r>
      <w:r w:rsidRPr="00900FC5">
        <w:rPr>
          <w:noProof/>
        </w:rPr>
        <w:t>,</w:t>
      </w:r>
      <w:r w:rsidR="00900FC5" w:rsidRPr="00900FC5">
        <w:rPr>
          <w:noProof/>
        </w:rPr>
        <w:t>9</w:t>
      </w:r>
      <w:r w:rsidRPr="00900FC5">
        <w:rPr>
          <w:noProof/>
        </w:rPr>
        <w:t xml:space="preserve"> млн. лв. или </w:t>
      </w:r>
      <w:r w:rsidR="00900FC5" w:rsidRPr="00900FC5">
        <w:rPr>
          <w:noProof/>
        </w:rPr>
        <w:t>46</w:t>
      </w:r>
      <w:r w:rsidRPr="00900FC5">
        <w:rPr>
          <w:noProof/>
        </w:rPr>
        <w:t>,</w:t>
      </w:r>
      <w:r w:rsidR="00900FC5" w:rsidRPr="00900FC5">
        <w:rPr>
          <w:noProof/>
        </w:rPr>
        <w:t>5</w:t>
      </w:r>
      <w:r w:rsidRPr="00900FC5">
        <w:rPr>
          <w:noProof/>
        </w:rPr>
        <w:t xml:space="preserve"> на сто от годишния разчет. Изпълняват се проекти за ремонт и придобиване на дълготрайни материални активи, за възстановяване и подобряване на експлоатационното състояние на железния път и съоръженията, както и ремонт и преустройство на възлови жп гари в съответствие с европейските изисквания;</w:t>
      </w:r>
    </w:p>
    <w:p w:rsidR="00DD638A" w:rsidRPr="00900FC5" w:rsidRDefault="00DD638A" w:rsidP="007A2C8D">
      <w:pPr>
        <w:numPr>
          <w:ilvl w:val="0"/>
          <w:numId w:val="5"/>
        </w:numPr>
        <w:tabs>
          <w:tab w:val="clear" w:pos="1440"/>
          <w:tab w:val="num" w:pos="360"/>
          <w:tab w:val="left" w:pos="851"/>
        </w:tabs>
        <w:ind w:left="0" w:firstLine="426"/>
        <w:jc w:val="both"/>
        <w:rPr>
          <w:i/>
        </w:rPr>
      </w:pPr>
      <w:r w:rsidRPr="00900FC5">
        <w:rPr>
          <w:i/>
        </w:rPr>
        <w:t xml:space="preserve">капиталови трансфери за „БДЖ – Пътнически превози” - ЕООД – </w:t>
      </w:r>
      <w:r w:rsidRPr="00900FC5">
        <w:t>предвидените средства със ЗДБРБ за 20</w:t>
      </w:r>
      <w:r w:rsidRPr="00900FC5">
        <w:rPr>
          <w:lang w:val="en-US"/>
        </w:rPr>
        <w:t>20</w:t>
      </w:r>
      <w:r w:rsidRPr="00900FC5">
        <w:t xml:space="preserve"> г. са в размер на </w:t>
      </w:r>
      <w:r w:rsidRPr="00900FC5">
        <w:rPr>
          <w:lang w:val="en-US"/>
        </w:rPr>
        <w:t>1</w:t>
      </w:r>
      <w:r w:rsidRPr="00900FC5">
        <w:t xml:space="preserve">39,0 млн. лева. </w:t>
      </w:r>
      <w:r w:rsidRPr="00900FC5">
        <w:rPr>
          <w:noProof/>
        </w:rPr>
        <w:t xml:space="preserve">Усвоените средства за първото </w:t>
      </w:r>
      <w:r w:rsidR="00900FC5">
        <w:rPr>
          <w:noProof/>
        </w:rPr>
        <w:t>полугодие</w:t>
      </w:r>
      <w:r w:rsidRPr="00245EC9">
        <w:rPr>
          <w:noProof/>
          <w:color w:val="4F81BD" w:themeColor="accent1"/>
        </w:rPr>
        <w:t xml:space="preserve"> </w:t>
      </w:r>
      <w:r w:rsidRPr="00900FC5">
        <w:rPr>
          <w:noProof/>
        </w:rPr>
        <w:t xml:space="preserve">на 2020 г. са в размер на </w:t>
      </w:r>
      <w:r w:rsidR="00900FC5" w:rsidRPr="00900FC5">
        <w:rPr>
          <w:noProof/>
        </w:rPr>
        <w:t>25</w:t>
      </w:r>
      <w:r w:rsidRPr="00900FC5">
        <w:rPr>
          <w:noProof/>
        </w:rPr>
        <w:t>,</w:t>
      </w:r>
      <w:r w:rsidR="00900FC5" w:rsidRPr="00900FC5">
        <w:rPr>
          <w:noProof/>
        </w:rPr>
        <w:t>4</w:t>
      </w:r>
      <w:r w:rsidRPr="00900FC5">
        <w:rPr>
          <w:noProof/>
        </w:rPr>
        <w:t xml:space="preserve"> млн. лв. или </w:t>
      </w:r>
      <w:r w:rsidR="00900FC5" w:rsidRPr="00900FC5">
        <w:rPr>
          <w:noProof/>
        </w:rPr>
        <w:t>1</w:t>
      </w:r>
      <w:r w:rsidRPr="00900FC5">
        <w:rPr>
          <w:noProof/>
          <w:lang w:val="en-US"/>
        </w:rPr>
        <w:t>8</w:t>
      </w:r>
      <w:r w:rsidRPr="00900FC5">
        <w:rPr>
          <w:noProof/>
        </w:rPr>
        <w:t>,3 на сто от утвърдения годишен план.</w:t>
      </w:r>
      <w:r w:rsidRPr="00900FC5">
        <w:t xml:space="preserve"> Средствата са предназначени за планов заводски (среден и капитален) ремонт на пътнически вагони;</w:t>
      </w:r>
    </w:p>
    <w:p w:rsidR="00DD638A" w:rsidRPr="003A774B" w:rsidRDefault="00DD638A" w:rsidP="007A2C8D">
      <w:pPr>
        <w:numPr>
          <w:ilvl w:val="1"/>
          <w:numId w:val="15"/>
        </w:numPr>
        <w:tabs>
          <w:tab w:val="clear" w:pos="1440"/>
          <w:tab w:val="num" w:pos="360"/>
          <w:tab w:val="left" w:pos="851"/>
        </w:tabs>
        <w:ind w:left="0" w:firstLine="426"/>
        <w:jc w:val="both"/>
      </w:pPr>
      <w:r w:rsidRPr="003A774B">
        <w:rPr>
          <w:i/>
        </w:rPr>
        <w:t>капиталови трансфери за ДП „Пристанищна инфраструктура”</w:t>
      </w:r>
      <w:r w:rsidRPr="003A774B">
        <w:rPr>
          <w:b/>
          <w:i/>
        </w:rPr>
        <w:t xml:space="preserve"> </w:t>
      </w:r>
      <w:r w:rsidRPr="003A774B">
        <w:t>- инвестиционната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капиталови трансфери от държавния бюджет</w:t>
      </w:r>
      <w:r w:rsidRPr="003A774B">
        <w:rPr>
          <w:noProof/>
        </w:rPr>
        <w:t>. Предвидените със ЗДБРБ за  20</w:t>
      </w:r>
      <w:r w:rsidRPr="003A774B">
        <w:rPr>
          <w:noProof/>
          <w:lang w:val="en-US"/>
        </w:rPr>
        <w:t>20</w:t>
      </w:r>
      <w:r w:rsidRPr="003A774B">
        <w:rPr>
          <w:noProof/>
        </w:rPr>
        <w:t xml:space="preserve"> г. средства са в размер на </w:t>
      </w:r>
      <w:r w:rsidRPr="003A774B">
        <w:rPr>
          <w:noProof/>
          <w:lang w:val="en-US"/>
        </w:rPr>
        <w:t>1</w:t>
      </w:r>
      <w:r w:rsidRPr="003A774B">
        <w:rPr>
          <w:noProof/>
        </w:rPr>
        <w:t xml:space="preserve">11,0 млн. лева. За първото </w:t>
      </w:r>
      <w:r w:rsidR="003A774B" w:rsidRPr="003A774B">
        <w:rPr>
          <w:noProof/>
        </w:rPr>
        <w:t>полугодие</w:t>
      </w:r>
      <w:r w:rsidRPr="003A774B">
        <w:rPr>
          <w:noProof/>
        </w:rPr>
        <w:t xml:space="preserve"> на 2020 г. са усвоени средства в размер на </w:t>
      </w:r>
      <w:r w:rsidR="003A774B" w:rsidRPr="003A774B">
        <w:rPr>
          <w:noProof/>
        </w:rPr>
        <w:t>4</w:t>
      </w:r>
      <w:r w:rsidRPr="003A774B">
        <w:rPr>
          <w:noProof/>
        </w:rPr>
        <w:t>,</w:t>
      </w:r>
      <w:r w:rsidR="003A774B" w:rsidRPr="003A774B">
        <w:rPr>
          <w:noProof/>
        </w:rPr>
        <w:t>8</w:t>
      </w:r>
      <w:r w:rsidRPr="003A774B">
        <w:rPr>
          <w:noProof/>
        </w:rPr>
        <w:t xml:space="preserve"> млн. лв. или </w:t>
      </w:r>
      <w:r w:rsidR="003A774B" w:rsidRPr="003A774B">
        <w:rPr>
          <w:noProof/>
        </w:rPr>
        <w:t>4</w:t>
      </w:r>
      <w:r w:rsidRPr="003A774B">
        <w:rPr>
          <w:noProof/>
        </w:rPr>
        <w:t>,</w:t>
      </w:r>
      <w:r w:rsidR="003A774B" w:rsidRPr="003A774B">
        <w:rPr>
          <w:noProof/>
        </w:rPr>
        <w:t>3</w:t>
      </w:r>
      <w:r w:rsidRPr="003A774B">
        <w:rPr>
          <w:noProof/>
        </w:rPr>
        <w:t xml:space="preserve"> на сто от годишния план</w:t>
      </w:r>
      <w:r w:rsidRPr="003A774B">
        <w:t>;</w:t>
      </w:r>
    </w:p>
    <w:p w:rsidR="00DD638A" w:rsidRPr="003A774B" w:rsidRDefault="00DD638A" w:rsidP="007A2C8D">
      <w:pPr>
        <w:numPr>
          <w:ilvl w:val="0"/>
          <w:numId w:val="16"/>
        </w:numPr>
        <w:tabs>
          <w:tab w:val="clear" w:pos="2157"/>
          <w:tab w:val="left" w:pos="360"/>
          <w:tab w:val="left" w:pos="851"/>
        </w:tabs>
        <w:ind w:left="0" w:firstLine="426"/>
        <w:jc w:val="both"/>
      </w:pPr>
      <w:r w:rsidRPr="003A774B">
        <w:t>През 20</w:t>
      </w:r>
      <w:r w:rsidRPr="003A774B">
        <w:rPr>
          <w:lang w:val="en-US"/>
        </w:rPr>
        <w:t>20</w:t>
      </w:r>
      <w:r w:rsidRPr="003A774B">
        <w:t xml:space="preserve"> г. продължава изпълнението на Програмите за отстраняване на нанесени щети </w:t>
      </w:r>
      <w:r w:rsidRPr="003A774B">
        <w:rPr>
          <w:noProof/>
        </w:rPr>
        <w:t>върху околната среда</w:t>
      </w:r>
      <w:r w:rsidRPr="003A774B">
        <w:t>, настъпили от минали действия или бездействия, при приватизация. В ЗДБРБ за 20</w:t>
      </w:r>
      <w:r w:rsidRPr="003A774B">
        <w:rPr>
          <w:lang w:val="en-US"/>
        </w:rPr>
        <w:t>20</w:t>
      </w:r>
      <w:r w:rsidRPr="003A774B">
        <w:t xml:space="preserve"> г. за тези програми са предвидени 10,0 млн. лева. </w:t>
      </w:r>
      <w:r w:rsidRPr="003A774B">
        <w:rPr>
          <w:noProof/>
        </w:rPr>
        <w:t xml:space="preserve">За първото </w:t>
      </w:r>
      <w:r w:rsidR="003A774B" w:rsidRPr="003A774B">
        <w:rPr>
          <w:noProof/>
        </w:rPr>
        <w:t xml:space="preserve">полугодие </w:t>
      </w:r>
      <w:r w:rsidRPr="003A774B">
        <w:rPr>
          <w:noProof/>
        </w:rPr>
        <w:t xml:space="preserve">на 2020 г. са усвоени </w:t>
      </w:r>
      <w:r w:rsidR="003A774B" w:rsidRPr="003A774B">
        <w:rPr>
          <w:noProof/>
        </w:rPr>
        <w:t>1</w:t>
      </w:r>
      <w:r w:rsidRPr="003A774B">
        <w:rPr>
          <w:noProof/>
        </w:rPr>
        <w:t>,</w:t>
      </w:r>
      <w:r w:rsidR="003A774B" w:rsidRPr="003A774B">
        <w:rPr>
          <w:noProof/>
        </w:rPr>
        <w:t>1</w:t>
      </w:r>
      <w:r w:rsidRPr="003A774B">
        <w:rPr>
          <w:noProof/>
        </w:rPr>
        <w:t xml:space="preserve"> млн. лв. или </w:t>
      </w:r>
      <w:r w:rsidR="003A774B" w:rsidRPr="003A774B">
        <w:rPr>
          <w:noProof/>
        </w:rPr>
        <w:t>11</w:t>
      </w:r>
      <w:r w:rsidRPr="003A774B">
        <w:rPr>
          <w:noProof/>
        </w:rPr>
        <w:t>,</w:t>
      </w:r>
      <w:r w:rsidR="003A774B" w:rsidRPr="003A774B">
        <w:rPr>
          <w:noProof/>
        </w:rPr>
        <w:t>1</w:t>
      </w:r>
      <w:r w:rsidRPr="003A774B">
        <w:rPr>
          <w:noProof/>
        </w:rPr>
        <w:t xml:space="preserve"> на сто от годишния план.</w:t>
      </w:r>
      <w:r w:rsidRPr="003A774B">
        <w:t xml:space="preserve">  </w:t>
      </w:r>
    </w:p>
    <w:p w:rsidR="00DD638A" w:rsidRPr="003A774B" w:rsidRDefault="00DD638A" w:rsidP="007A2C8D">
      <w:pPr>
        <w:jc w:val="both"/>
        <w:rPr>
          <w:sz w:val="8"/>
          <w:szCs w:val="8"/>
        </w:rPr>
      </w:pPr>
    </w:p>
    <w:p w:rsidR="00DD638A" w:rsidRPr="003A774B" w:rsidRDefault="00DD638A" w:rsidP="007A2C8D">
      <w:pPr>
        <w:jc w:val="both"/>
        <w:rPr>
          <w:sz w:val="8"/>
          <w:szCs w:val="8"/>
          <w:highlight w:val="yellow"/>
        </w:rPr>
      </w:pPr>
    </w:p>
    <w:p w:rsidR="00DD638A" w:rsidRPr="003A774B" w:rsidRDefault="00DD638A" w:rsidP="007A2C8D">
      <w:pPr>
        <w:jc w:val="both"/>
      </w:pPr>
      <w:r w:rsidRPr="003A774B">
        <w:rPr>
          <w:b/>
          <w:bCs/>
        </w:rPr>
        <w:t>Други разходи по централния бюджет</w:t>
      </w:r>
      <w:r w:rsidRPr="003A774B">
        <w:t xml:space="preserve"> предназначени за: </w:t>
      </w:r>
    </w:p>
    <w:p w:rsidR="00DD638A" w:rsidRPr="003A774B" w:rsidRDefault="00DD638A" w:rsidP="007A2C8D">
      <w:pPr>
        <w:jc w:val="both"/>
        <w:rPr>
          <w:sz w:val="8"/>
          <w:szCs w:val="8"/>
        </w:rPr>
      </w:pPr>
    </w:p>
    <w:p w:rsidR="00DD638A" w:rsidRPr="005C62AA" w:rsidRDefault="00DD638A" w:rsidP="007A2C8D">
      <w:pPr>
        <w:numPr>
          <w:ilvl w:val="0"/>
          <w:numId w:val="5"/>
        </w:numPr>
        <w:tabs>
          <w:tab w:val="clear" w:pos="1440"/>
          <w:tab w:val="num" w:pos="360"/>
          <w:tab w:val="left" w:pos="851"/>
        </w:tabs>
        <w:ind w:left="0" w:firstLine="426"/>
        <w:jc w:val="both"/>
        <w:rPr>
          <w:sz w:val="8"/>
          <w:szCs w:val="8"/>
        </w:rPr>
      </w:pPr>
      <w:r w:rsidRPr="005C62AA">
        <w:rPr>
          <w:i/>
        </w:rPr>
        <w:t>Компенсиране</w:t>
      </w:r>
      <w:r w:rsidR="00D67216" w:rsidRPr="005C62AA">
        <w:rPr>
          <w:i/>
        </w:rPr>
        <w:t xml:space="preserve"> </w:t>
      </w:r>
      <w:r w:rsidRPr="005C62AA">
        <w:rPr>
          <w:i/>
        </w:rPr>
        <w:t xml:space="preserve">на </w:t>
      </w:r>
      <w:r w:rsidRPr="005C62AA">
        <w:rPr>
          <w:bCs/>
          <w:i/>
        </w:rPr>
        <w:t>намалените приходи от прилагането на цени за пътуване, предвидени в нормативни актове за определени категории пътници</w:t>
      </w:r>
      <w:r w:rsidRPr="005C62AA">
        <w:rPr>
          <w:i/>
        </w:rPr>
        <w:t xml:space="preserve"> по железопътния и автомобилния транспорт, със средства от държавния бюджет</w:t>
      </w:r>
      <w:r w:rsidRPr="005C62AA">
        <w:t xml:space="preserve"> - предвидените средства са общо в размер на </w:t>
      </w:r>
      <w:r w:rsidRPr="005C62AA">
        <w:rPr>
          <w:lang w:val="en-US"/>
        </w:rPr>
        <w:t>118</w:t>
      </w:r>
      <w:r w:rsidRPr="005C62AA">
        <w:t>,</w:t>
      </w:r>
      <w:r w:rsidRPr="005C62AA">
        <w:rPr>
          <w:lang w:val="en-US"/>
        </w:rPr>
        <w:t>8</w:t>
      </w:r>
      <w:r w:rsidRPr="005C62AA">
        <w:t xml:space="preserve"> млн. лв., от които 4</w:t>
      </w:r>
      <w:r w:rsidRPr="005C62AA">
        <w:rPr>
          <w:lang w:val="en-US"/>
        </w:rPr>
        <w:t>5,</w:t>
      </w:r>
      <w:r w:rsidRPr="005C62AA">
        <w:t>0</w:t>
      </w:r>
      <w:r w:rsidRPr="005C62AA">
        <w:rPr>
          <w:lang w:val="en-US"/>
        </w:rPr>
        <w:t xml:space="preserve"> </w:t>
      </w:r>
      <w:r w:rsidRPr="005C62AA">
        <w:t xml:space="preserve">млн. лв. </w:t>
      </w:r>
      <w:r w:rsidRPr="005C62AA">
        <w:rPr>
          <w:noProof/>
        </w:rPr>
        <w:t>за пътувания с вътрешноградския транспорт и междуселищния автомобилен транспорт, 4</w:t>
      </w:r>
      <w:r w:rsidRPr="005C62AA">
        <w:rPr>
          <w:noProof/>
          <w:lang w:val="en-US"/>
        </w:rPr>
        <w:t>4</w:t>
      </w:r>
      <w:r w:rsidRPr="005C62AA">
        <w:rPr>
          <w:noProof/>
        </w:rPr>
        <w:t>,0 млн. лв. за транспорт на деца и ученици по чл. 283, ал. 2 от Закона за предучилищното и училищното образование, 16,</w:t>
      </w:r>
      <w:r w:rsidRPr="005C62AA">
        <w:rPr>
          <w:noProof/>
          <w:lang w:val="en-US"/>
        </w:rPr>
        <w:t>8</w:t>
      </w:r>
      <w:r w:rsidRPr="005C62AA">
        <w:rPr>
          <w:noProof/>
        </w:rPr>
        <w:t xml:space="preserve"> млн. лв. за превоз на служители, ползващи право на безплатно пътуване при изпълнение на служебните си задължения</w:t>
      </w:r>
      <w:r w:rsidR="00D67216" w:rsidRPr="005C62AA">
        <w:rPr>
          <w:noProof/>
          <w:lang w:val="en-US"/>
        </w:rPr>
        <w:t>,</w:t>
      </w:r>
      <w:r w:rsidRPr="005C62AA">
        <w:rPr>
          <w:noProof/>
        </w:rPr>
        <w:t xml:space="preserve"> и 13,0 млн. лв. за пътувания с железопътния транспорт.</w:t>
      </w:r>
      <w:r w:rsidRPr="005C62AA">
        <w:t xml:space="preserve"> </w:t>
      </w:r>
      <w:r w:rsidRPr="005C62AA">
        <w:rPr>
          <w:noProof/>
        </w:rPr>
        <w:t xml:space="preserve">Усвоените средства за </w:t>
      </w:r>
      <w:r w:rsidRPr="005C62AA">
        <w:t xml:space="preserve">първото </w:t>
      </w:r>
      <w:r w:rsidR="005C62AA" w:rsidRPr="005C62AA">
        <w:t>полугодие</w:t>
      </w:r>
      <w:r w:rsidRPr="005C62AA">
        <w:t xml:space="preserve"> на 2020</w:t>
      </w:r>
      <w:r w:rsidRPr="005C62AA">
        <w:rPr>
          <w:noProof/>
        </w:rPr>
        <w:t xml:space="preserve"> г. са общо в размер на </w:t>
      </w:r>
      <w:r w:rsidR="005C62AA" w:rsidRPr="005C62AA">
        <w:rPr>
          <w:noProof/>
        </w:rPr>
        <w:t>5</w:t>
      </w:r>
      <w:r w:rsidRPr="005C62AA">
        <w:rPr>
          <w:noProof/>
          <w:lang w:val="en-US"/>
        </w:rPr>
        <w:t>3</w:t>
      </w:r>
      <w:r w:rsidRPr="005C62AA">
        <w:rPr>
          <w:noProof/>
        </w:rPr>
        <w:t>,</w:t>
      </w:r>
      <w:r w:rsidR="005C62AA" w:rsidRPr="005C62AA">
        <w:rPr>
          <w:noProof/>
        </w:rPr>
        <w:t>4</w:t>
      </w:r>
      <w:r w:rsidRPr="005C62AA">
        <w:rPr>
          <w:noProof/>
        </w:rPr>
        <w:t xml:space="preserve"> млн. лв. или </w:t>
      </w:r>
      <w:r w:rsidR="005C62AA" w:rsidRPr="005C62AA">
        <w:rPr>
          <w:noProof/>
        </w:rPr>
        <w:t>44</w:t>
      </w:r>
      <w:r w:rsidRPr="005C62AA">
        <w:rPr>
          <w:noProof/>
        </w:rPr>
        <w:t>,</w:t>
      </w:r>
      <w:r w:rsidR="005C62AA" w:rsidRPr="005C62AA">
        <w:rPr>
          <w:noProof/>
        </w:rPr>
        <w:t>9</w:t>
      </w:r>
      <w:r w:rsidRPr="005C62AA">
        <w:rPr>
          <w:noProof/>
        </w:rPr>
        <w:t xml:space="preserve"> на сто от годишния разчет.</w:t>
      </w:r>
      <w:r w:rsidRPr="005C62AA">
        <w:t xml:space="preserve"> </w:t>
      </w:r>
    </w:p>
    <w:p w:rsidR="00DD638A" w:rsidRPr="005C62AA" w:rsidRDefault="00DD638A" w:rsidP="007A2C8D">
      <w:pPr>
        <w:tabs>
          <w:tab w:val="left" w:pos="851"/>
        </w:tabs>
        <w:jc w:val="both"/>
      </w:pPr>
      <w:r w:rsidRPr="005C62AA">
        <w:t xml:space="preserve">Усвоените средства към </w:t>
      </w:r>
      <w:r w:rsidR="00DF33BA" w:rsidRPr="005C62AA">
        <w:t>30.06</w:t>
      </w:r>
      <w:r w:rsidRPr="005C62AA">
        <w:t xml:space="preserve">.2020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5C62AA">
        <w:rPr>
          <w:noProof/>
        </w:rPr>
        <w:t xml:space="preserve">вътрешноградски транспорт и междуселищен </w:t>
      </w:r>
      <w:r w:rsidRPr="005C62AA">
        <w:t>автомобилен транспорт или железопътен транспорт, съгласно ПМС № 3</w:t>
      </w:r>
      <w:r w:rsidRPr="005C62AA">
        <w:rPr>
          <w:lang w:val="en-US"/>
        </w:rPr>
        <w:t>81</w:t>
      </w:r>
      <w:r w:rsidRPr="005C62AA">
        <w:t>/201</w:t>
      </w:r>
      <w:r w:rsidRPr="005C62AA">
        <w:rPr>
          <w:lang w:val="en-US"/>
        </w:rPr>
        <w:t>9</w:t>
      </w:r>
      <w:r w:rsidRPr="005C62AA">
        <w:t xml:space="preserve"> г. за изпълнението на държавния бюджет на Република България за 20</w:t>
      </w:r>
      <w:r w:rsidRPr="005C62AA">
        <w:rPr>
          <w:lang w:val="en-US"/>
        </w:rPr>
        <w:t>20</w:t>
      </w:r>
      <w:r w:rsidRPr="005C62AA">
        <w:t xml:space="preserve"> г., са както следва:</w:t>
      </w:r>
    </w:p>
    <w:p w:rsidR="00DD638A" w:rsidRPr="005C62AA" w:rsidRDefault="00DD638A" w:rsidP="007A2C8D">
      <w:pPr>
        <w:ind w:firstLine="426"/>
        <w:jc w:val="both"/>
      </w:pPr>
      <w:r w:rsidRPr="005C62AA">
        <w:t xml:space="preserve">- компенсации за пътувания с железопътния транспорт в размер на </w:t>
      </w:r>
      <w:r w:rsidRPr="005C62AA">
        <w:rPr>
          <w:lang w:val="en-US"/>
        </w:rPr>
        <w:t>1</w:t>
      </w:r>
      <w:r w:rsidRPr="005C62AA">
        <w:t>,</w:t>
      </w:r>
      <w:r w:rsidR="005C62AA" w:rsidRPr="005C62AA">
        <w:t>9</w:t>
      </w:r>
      <w:r w:rsidRPr="005C62AA">
        <w:t xml:space="preserve"> млн. лв.,  което е </w:t>
      </w:r>
      <w:r w:rsidRPr="005C62AA">
        <w:rPr>
          <w:lang w:val="en-US"/>
        </w:rPr>
        <w:t>1</w:t>
      </w:r>
      <w:r w:rsidR="005C62AA" w:rsidRPr="005C62AA">
        <w:t>4</w:t>
      </w:r>
      <w:r w:rsidRPr="005C62AA">
        <w:t>,</w:t>
      </w:r>
      <w:r w:rsidR="005C62AA" w:rsidRPr="005C62AA">
        <w:t>8</w:t>
      </w:r>
      <w:r w:rsidRPr="005C62AA">
        <w:t xml:space="preserve"> на сто от утвърдения годишен план; </w:t>
      </w:r>
    </w:p>
    <w:p w:rsidR="00DD638A" w:rsidRPr="00666D23" w:rsidRDefault="00DD638A" w:rsidP="007A2C8D">
      <w:pPr>
        <w:tabs>
          <w:tab w:val="left" w:pos="540"/>
          <w:tab w:val="left" w:pos="709"/>
        </w:tabs>
        <w:ind w:firstLine="426"/>
        <w:jc w:val="both"/>
        <w:rPr>
          <w:noProof/>
        </w:rPr>
      </w:pPr>
      <w:r w:rsidRPr="00666D23">
        <w:rPr>
          <w:noProof/>
        </w:rPr>
        <w:t xml:space="preserve">- компенсации за пътувания с вътрешноградски транспорт и междуселищния автомобилен транспорт в страната, предоставени чрез Системата за електронни бюджетни разплащания – </w:t>
      </w:r>
      <w:r w:rsidR="00666D23" w:rsidRPr="00666D23">
        <w:rPr>
          <w:noProof/>
        </w:rPr>
        <w:t>51</w:t>
      </w:r>
      <w:r w:rsidRPr="00666D23">
        <w:rPr>
          <w:noProof/>
        </w:rPr>
        <w:t>,</w:t>
      </w:r>
      <w:r w:rsidR="00666D23" w:rsidRPr="00666D23">
        <w:rPr>
          <w:noProof/>
        </w:rPr>
        <w:t>4</w:t>
      </w:r>
      <w:r w:rsidRPr="00666D23">
        <w:rPr>
          <w:noProof/>
        </w:rPr>
        <w:t xml:space="preserve"> млн. лв., което е </w:t>
      </w:r>
      <w:r w:rsidR="00666D23" w:rsidRPr="00666D23">
        <w:rPr>
          <w:noProof/>
        </w:rPr>
        <w:t>48</w:t>
      </w:r>
      <w:r w:rsidRPr="00666D23">
        <w:rPr>
          <w:noProof/>
        </w:rPr>
        <w:t>,</w:t>
      </w:r>
      <w:r w:rsidR="00666D23" w:rsidRPr="00666D23">
        <w:rPr>
          <w:noProof/>
        </w:rPr>
        <w:t>6</w:t>
      </w:r>
      <w:r w:rsidRPr="00666D23">
        <w:rPr>
          <w:noProof/>
        </w:rPr>
        <w:t xml:space="preserve"> на сто от </w:t>
      </w:r>
      <w:r w:rsidRPr="00666D23">
        <w:t>утвърдения</w:t>
      </w:r>
      <w:r w:rsidRPr="00666D23">
        <w:rPr>
          <w:noProof/>
        </w:rPr>
        <w:t xml:space="preserve"> годишен план. </w:t>
      </w:r>
    </w:p>
    <w:p w:rsidR="00DD638A" w:rsidRPr="00666D23" w:rsidRDefault="00DD638A" w:rsidP="007A2C8D">
      <w:pPr>
        <w:ind w:firstLine="426"/>
        <w:jc w:val="both"/>
        <w:rPr>
          <w:noProof/>
        </w:rPr>
      </w:pPr>
      <w:r w:rsidRPr="00666D23">
        <w:rPr>
          <w:noProof/>
        </w:rPr>
        <w:t xml:space="preserve">Усвоените средства за </w:t>
      </w:r>
      <w:r w:rsidRPr="00666D23">
        <w:t>компенсиране на намалените приходи от прилагането на цени за пътуване, предвидени в нормативни актове за определени категории пътници,</w:t>
      </w:r>
      <w:r w:rsidRPr="00666D23">
        <w:rPr>
          <w:noProof/>
        </w:rPr>
        <w:t xml:space="preserve"> по вътрешноградския транспорт и междуселищния автомобилен транспорт за първото </w:t>
      </w:r>
      <w:r w:rsidR="00666D23" w:rsidRPr="00666D23">
        <w:rPr>
          <w:noProof/>
        </w:rPr>
        <w:t>полугодие</w:t>
      </w:r>
      <w:r w:rsidRPr="00666D23">
        <w:rPr>
          <w:noProof/>
        </w:rPr>
        <w:t xml:space="preserve"> на 2020 г., диференцирани по групи правоимащи лица и размер на намалението спрямо редовната цена, са както следва:</w:t>
      </w:r>
    </w:p>
    <w:p w:rsidR="00DD638A" w:rsidRPr="0027457A" w:rsidRDefault="00DD638A" w:rsidP="007A2C8D">
      <w:pPr>
        <w:pStyle w:val="BodyTextIndent"/>
        <w:spacing w:after="0"/>
        <w:ind w:left="0" w:firstLine="426"/>
        <w:jc w:val="both"/>
      </w:pPr>
      <w:r w:rsidRPr="0027457A">
        <w:t xml:space="preserve">- </w:t>
      </w:r>
      <w:r w:rsidR="0027457A" w:rsidRPr="0027457A">
        <w:t>2</w:t>
      </w:r>
      <w:r w:rsidRPr="0027457A">
        <w:rPr>
          <w:lang w:val="en-US"/>
        </w:rPr>
        <w:t>3</w:t>
      </w:r>
      <w:r w:rsidRPr="0027457A">
        <w:t>,</w:t>
      </w:r>
      <w:r w:rsidR="0027457A" w:rsidRPr="0027457A">
        <w:t>0</w:t>
      </w:r>
      <w:r w:rsidRPr="0027457A">
        <w:rPr>
          <w:lang w:val="en-US"/>
        </w:rPr>
        <w:t xml:space="preserve"> </w:t>
      </w:r>
      <w:r w:rsidRPr="0027457A">
        <w:t xml:space="preserve">млн. лв. за транспорт на деца и ученици в съответствие с чл. 283, ал. 2 от Закона за предучилищното и училищното образование, което е </w:t>
      </w:r>
      <w:r w:rsidR="0027457A" w:rsidRPr="0027457A">
        <w:t>52</w:t>
      </w:r>
      <w:r w:rsidRPr="0027457A">
        <w:t>,</w:t>
      </w:r>
      <w:r w:rsidR="0027457A" w:rsidRPr="0027457A">
        <w:t>2</w:t>
      </w:r>
      <w:r w:rsidRPr="0027457A">
        <w:t xml:space="preserve"> на сто от утвърдения годишен план; </w:t>
      </w:r>
    </w:p>
    <w:p w:rsidR="00DD638A" w:rsidRPr="0027457A" w:rsidRDefault="00DD638A" w:rsidP="007A2C8D">
      <w:pPr>
        <w:pStyle w:val="BodyTextIndent"/>
        <w:tabs>
          <w:tab w:val="left" w:pos="1026"/>
        </w:tabs>
        <w:spacing w:after="0"/>
        <w:ind w:left="0" w:firstLine="426"/>
        <w:jc w:val="both"/>
      </w:pPr>
      <w:r w:rsidRPr="0027457A">
        <w:t xml:space="preserve">- </w:t>
      </w:r>
      <w:r w:rsidR="0027457A" w:rsidRPr="0027457A">
        <w:t>28</w:t>
      </w:r>
      <w:r w:rsidRPr="0027457A">
        <w:t>,</w:t>
      </w:r>
      <w:r w:rsidR="0027457A" w:rsidRPr="0027457A">
        <w:t>4</w:t>
      </w:r>
      <w:r w:rsidRPr="0027457A">
        <w:t xml:space="preserve"> млн. лв. за безплатни и по намалени цени пътувания по общини. Следва да се има предвид, че по пътя на изпълнението тези разходи се отчитат като текущи трансфери, </w:t>
      </w:r>
      <w:r w:rsidRPr="0027457A">
        <w:lastRenderedPageBreak/>
        <w:t xml:space="preserve">обезщетения и помощи за домакинствата по бюджетите на общините. Изпълнението спрямо годишния план е </w:t>
      </w:r>
      <w:r w:rsidRPr="0027457A">
        <w:rPr>
          <w:lang w:val="en-US"/>
        </w:rPr>
        <w:t>4</w:t>
      </w:r>
      <w:r w:rsidR="0027457A" w:rsidRPr="0027457A">
        <w:t>6</w:t>
      </w:r>
      <w:r w:rsidRPr="0027457A">
        <w:t>,</w:t>
      </w:r>
      <w:r w:rsidR="0027457A" w:rsidRPr="0027457A">
        <w:t>0</w:t>
      </w:r>
      <w:r w:rsidRPr="0027457A">
        <w:t xml:space="preserve"> на сто, в това число:</w:t>
      </w:r>
    </w:p>
    <w:p w:rsidR="00DD638A" w:rsidRPr="0027457A" w:rsidRDefault="0027457A" w:rsidP="007A2C8D">
      <w:pPr>
        <w:numPr>
          <w:ilvl w:val="0"/>
          <w:numId w:val="20"/>
        </w:numPr>
        <w:tabs>
          <w:tab w:val="left" w:pos="1276"/>
        </w:tabs>
        <w:ind w:left="1134" w:hanging="283"/>
        <w:jc w:val="both"/>
      </w:pPr>
      <w:r w:rsidRPr="0027457A">
        <w:t>20</w:t>
      </w:r>
      <w:r w:rsidR="00DD638A" w:rsidRPr="0027457A">
        <w:rPr>
          <w:lang w:val="en-US"/>
        </w:rPr>
        <w:t>,</w:t>
      </w:r>
      <w:r w:rsidRPr="0027457A">
        <w:t>0</w:t>
      </w:r>
      <w:r w:rsidR="00DD638A" w:rsidRPr="0027457A">
        <w:t xml:space="preserve"> млн. лв. за безплатни пътувания на деца до седемгодишна възраст, ветерани от войните, военноинвалиди и </w:t>
      </w:r>
      <w:proofErr w:type="spellStart"/>
      <w:r w:rsidR="00DD638A" w:rsidRPr="0027457A">
        <w:t>военнопострадали</w:t>
      </w:r>
      <w:proofErr w:type="spellEnd"/>
      <w:r w:rsidR="00DD638A" w:rsidRPr="0027457A">
        <w:t xml:space="preserve">,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w:t>
      </w:r>
      <w:r w:rsidRPr="0027457A">
        <w:t>44</w:t>
      </w:r>
      <w:r w:rsidR="00DD638A" w:rsidRPr="0027457A">
        <w:t>,</w:t>
      </w:r>
      <w:r w:rsidRPr="0027457A">
        <w:t>5</w:t>
      </w:r>
      <w:r w:rsidR="00DD638A" w:rsidRPr="0027457A">
        <w:t xml:space="preserve"> на сто спрямо утвърдения годишен план; </w:t>
      </w:r>
    </w:p>
    <w:p w:rsidR="00DD638A" w:rsidRPr="0027457A" w:rsidRDefault="0027457A" w:rsidP="007A2C8D">
      <w:pPr>
        <w:numPr>
          <w:ilvl w:val="0"/>
          <w:numId w:val="20"/>
        </w:numPr>
        <w:tabs>
          <w:tab w:val="num" w:pos="360"/>
          <w:tab w:val="left" w:pos="1276"/>
        </w:tabs>
        <w:ind w:left="1134" w:hanging="283"/>
        <w:jc w:val="both"/>
      </w:pPr>
      <w:r w:rsidRPr="0027457A">
        <w:t>8</w:t>
      </w:r>
      <w:r w:rsidR="00DD638A" w:rsidRPr="0027457A">
        <w:t>,</w:t>
      </w:r>
      <w:r w:rsidRPr="0027457A">
        <w:t>4</w:t>
      </w:r>
      <w:r w:rsidR="00DD638A" w:rsidRPr="0027457A">
        <w:t xml:space="preserve"> млн. лв. за превоз на служители, ползващи право на безплатно пътуване при изпълнение на служебните си задължения, което е </w:t>
      </w:r>
      <w:r w:rsidRPr="0027457A">
        <w:t>50</w:t>
      </w:r>
      <w:r w:rsidR="00DD638A" w:rsidRPr="0027457A">
        <w:t>,</w:t>
      </w:r>
      <w:r w:rsidRPr="0027457A">
        <w:t>2</w:t>
      </w:r>
      <w:r w:rsidR="00DD638A" w:rsidRPr="0027457A">
        <w:t xml:space="preserve"> от годишния план.</w:t>
      </w:r>
    </w:p>
    <w:p w:rsidR="00333B5E" w:rsidRPr="00245EC9" w:rsidRDefault="00333B5E" w:rsidP="007A2C8D">
      <w:pPr>
        <w:jc w:val="both"/>
        <w:rPr>
          <w:color w:val="4F81BD" w:themeColor="accent1"/>
          <w:sz w:val="12"/>
          <w:szCs w:val="12"/>
        </w:rPr>
      </w:pPr>
    </w:p>
    <w:p w:rsidR="002E2D64" w:rsidRPr="00132228" w:rsidRDefault="002E2D64" w:rsidP="00E846DB">
      <w:pPr>
        <w:numPr>
          <w:ilvl w:val="0"/>
          <w:numId w:val="7"/>
        </w:numPr>
        <w:spacing w:before="120" w:after="120"/>
        <w:ind w:left="0" w:firstLine="357"/>
        <w:jc w:val="both"/>
        <w:rPr>
          <w:b/>
        </w:rPr>
      </w:pPr>
      <w:r w:rsidRPr="00132228">
        <w:rPr>
          <w:b/>
        </w:rPr>
        <w:t xml:space="preserve">Разходи за лихви </w:t>
      </w:r>
    </w:p>
    <w:p w:rsidR="0011239E" w:rsidRPr="00D36432" w:rsidRDefault="0011239E" w:rsidP="0011239E">
      <w:pPr>
        <w:spacing w:after="120"/>
        <w:jc w:val="both"/>
        <w:rPr>
          <w:lang w:eastAsia="bg-BG"/>
        </w:rPr>
      </w:pPr>
      <w:r w:rsidRPr="00D36432">
        <w:rPr>
          <w:b/>
          <w:lang w:eastAsia="bg-BG"/>
        </w:rPr>
        <w:t xml:space="preserve">Лихвените плащания </w:t>
      </w:r>
      <w:r w:rsidRPr="00D36432">
        <w:rPr>
          <w:lang w:eastAsia="bg-BG"/>
        </w:rPr>
        <w:t xml:space="preserve">по държавния бюджет към 30.06.2020 г. са в общ размер на </w:t>
      </w:r>
      <w:r w:rsidRPr="00D36432">
        <w:rPr>
          <w:b/>
          <w:lang w:eastAsia="bg-BG"/>
        </w:rPr>
        <w:t>344,2 млн. лв</w:t>
      </w:r>
      <w:r w:rsidRPr="00D36432">
        <w:rPr>
          <w:lang w:eastAsia="bg-BG"/>
        </w:rPr>
        <w:t xml:space="preserve">. или 49,8 % от предвидените в годишните разчети. </w:t>
      </w:r>
    </w:p>
    <w:p w:rsidR="0011239E" w:rsidRPr="00D36432" w:rsidRDefault="0011239E" w:rsidP="0011239E">
      <w:pPr>
        <w:spacing w:after="120"/>
        <w:jc w:val="both"/>
        <w:rPr>
          <w:lang w:eastAsia="bg-BG"/>
        </w:rPr>
      </w:pPr>
      <w:r w:rsidRPr="00D36432">
        <w:rPr>
          <w:lang w:eastAsia="bg-BG"/>
        </w:rPr>
        <w:t xml:space="preserve">Разходите за </w:t>
      </w:r>
      <w:r w:rsidRPr="00D36432">
        <w:rPr>
          <w:b/>
          <w:lang w:eastAsia="bg-BG"/>
        </w:rPr>
        <w:t>лихви по външни заеми</w:t>
      </w:r>
      <w:r w:rsidRPr="00D36432">
        <w:rPr>
          <w:lang w:eastAsia="bg-BG"/>
        </w:rPr>
        <w:t xml:space="preserve"> са в размер на </w:t>
      </w:r>
      <w:r w:rsidRPr="00D36432">
        <w:rPr>
          <w:b/>
          <w:lang w:eastAsia="bg-BG"/>
        </w:rPr>
        <w:t>279,0 млн. лв.,</w:t>
      </w:r>
      <w:r w:rsidRPr="00D36432">
        <w:rPr>
          <w:lang w:eastAsia="bg-BG"/>
        </w:rPr>
        <w:t xml:space="preserve"> в т.ч. 264,7 млн. лв. по централния бюджет. Разходите за лихви по ДИЗ, управлявани от министерства и ведомства са в размер на 14,3 млн. лв. </w:t>
      </w:r>
      <w:r w:rsidRPr="00D36432">
        <w:rPr>
          <w:lang w:val="en-US" w:eastAsia="bg-BG"/>
        </w:rPr>
        <w:t>(</w:t>
      </w:r>
      <w:proofErr w:type="gramStart"/>
      <w:r w:rsidRPr="00D36432">
        <w:rPr>
          <w:lang w:eastAsia="bg-BG"/>
        </w:rPr>
        <w:t>от</w:t>
      </w:r>
      <w:proofErr w:type="gramEnd"/>
      <w:r w:rsidRPr="00D36432">
        <w:rPr>
          <w:lang w:eastAsia="bg-BG"/>
        </w:rPr>
        <w:t xml:space="preserve"> които 1,7 млн. лв. са по заемите с краен бенефициент търговско дружество</w:t>
      </w:r>
      <w:r w:rsidRPr="00D36432">
        <w:rPr>
          <w:lang w:val="en-US" w:eastAsia="bg-BG"/>
        </w:rPr>
        <w:t>)</w:t>
      </w:r>
      <w:r w:rsidRPr="00D36432">
        <w:rPr>
          <w:lang w:eastAsia="bg-BG"/>
        </w:rPr>
        <w:t>.</w:t>
      </w:r>
    </w:p>
    <w:p w:rsidR="0011239E" w:rsidRPr="00D36432" w:rsidRDefault="0011239E" w:rsidP="0011239E">
      <w:pPr>
        <w:spacing w:after="120"/>
        <w:jc w:val="both"/>
        <w:rPr>
          <w:b/>
          <w:lang w:eastAsia="bg-BG"/>
        </w:rPr>
      </w:pPr>
      <w:r w:rsidRPr="00D36432">
        <w:rPr>
          <w:lang w:eastAsia="bg-BG"/>
        </w:rPr>
        <w:t>През отчетния период не са използвани средства, предвидени за покриване на риска от активиране на държавни гаранции.</w:t>
      </w:r>
      <w:r w:rsidRPr="00D36432">
        <w:rPr>
          <w:b/>
          <w:lang w:eastAsia="bg-BG"/>
        </w:rPr>
        <w:t xml:space="preserve"> </w:t>
      </w:r>
    </w:p>
    <w:p w:rsidR="0011239E" w:rsidRPr="00D36432" w:rsidRDefault="0011239E" w:rsidP="0011239E">
      <w:pPr>
        <w:spacing w:after="120"/>
        <w:jc w:val="both"/>
        <w:rPr>
          <w:lang w:eastAsia="bg-BG"/>
        </w:rPr>
      </w:pPr>
      <w:r w:rsidRPr="00D36432">
        <w:rPr>
          <w:b/>
          <w:lang w:eastAsia="bg-BG"/>
        </w:rPr>
        <w:t>Лихвите по вътрешни заеми</w:t>
      </w:r>
      <w:r w:rsidRPr="00D36432">
        <w:rPr>
          <w:lang w:eastAsia="bg-BG"/>
        </w:rPr>
        <w:t xml:space="preserve"> по държавния бюджет </w:t>
      </w:r>
      <w:r w:rsidRPr="00D36432">
        <w:rPr>
          <w:bCs/>
          <w:lang w:eastAsia="bg-BG"/>
        </w:rPr>
        <w:t xml:space="preserve">към юни </w:t>
      </w:r>
      <w:r w:rsidRPr="00D36432">
        <w:rPr>
          <w:lang w:eastAsia="bg-BG"/>
        </w:rPr>
        <w:t xml:space="preserve">2020 г. са в размер на </w:t>
      </w:r>
      <w:r w:rsidRPr="00D36432">
        <w:rPr>
          <w:b/>
          <w:lang w:eastAsia="bg-BG"/>
        </w:rPr>
        <w:t>65,2</w:t>
      </w:r>
      <w:r w:rsidRPr="00D36432">
        <w:rPr>
          <w:rFonts w:eastAsia="Calibri"/>
          <w:b/>
        </w:rPr>
        <w:t> </w:t>
      </w:r>
      <w:r w:rsidRPr="00D36432">
        <w:rPr>
          <w:b/>
          <w:lang w:eastAsia="bg-BG"/>
        </w:rPr>
        <w:t>млн. лв.</w:t>
      </w:r>
      <w:r w:rsidRPr="00D36432">
        <w:rPr>
          <w:lang w:eastAsia="bg-BG"/>
        </w:rPr>
        <w:t xml:space="preserve"> и представляват лихви по емисии на ДЦК на вътрешния пазар. Платените лихви и отстъпки по ДЦК, емитирани на </w:t>
      </w:r>
      <w:proofErr w:type="spellStart"/>
      <w:r w:rsidRPr="00D36432">
        <w:rPr>
          <w:lang w:eastAsia="bg-BG"/>
        </w:rPr>
        <w:t>аукционен</w:t>
      </w:r>
      <w:proofErr w:type="spellEnd"/>
      <w:r w:rsidRPr="00D36432">
        <w:rPr>
          <w:lang w:eastAsia="bg-BG"/>
        </w:rPr>
        <w:t xml:space="preserve"> принцип, са в размер на 82,8 млн. лв., а  реализираните при </w:t>
      </w:r>
      <w:proofErr w:type="spellStart"/>
      <w:r w:rsidRPr="00D36432">
        <w:rPr>
          <w:lang w:eastAsia="bg-BG"/>
        </w:rPr>
        <w:t>аукционите</w:t>
      </w:r>
      <w:proofErr w:type="spellEnd"/>
      <w:r w:rsidRPr="00D36432">
        <w:rPr>
          <w:lang w:eastAsia="bg-BG"/>
        </w:rPr>
        <w:t xml:space="preserve"> премии над номинала от емисии ДЦК към 30.06.2020 г. (отчетени в намаление на разходите за лихви по вътрешния дълг) съответно (-17,6) млн. лева.</w:t>
      </w:r>
    </w:p>
    <w:p w:rsidR="0011239E" w:rsidRPr="00D36432" w:rsidRDefault="0011239E" w:rsidP="0011239E">
      <w:pPr>
        <w:numPr>
          <w:ilvl w:val="0"/>
          <w:numId w:val="36"/>
        </w:numPr>
        <w:spacing w:after="120"/>
        <w:ind w:left="426" w:hanging="426"/>
        <w:jc w:val="both"/>
        <w:rPr>
          <w:b/>
          <w:bCs/>
          <w:lang w:eastAsia="bg-BG"/>
        </w:rPr>
      </w:pPr>
      <w:r w:rsidRPr="00D36432">
        <w:rPr>
          <w:b/>
          <w:bCs/>
          <w:lang w:eastAsia="bg-BG"/>
        </w:rPr>
        <w:t>Нетният размер на трансферите по държавния бюджет</w:t>
      </w:r>
      <w:r w:rsidRPr="00D36432">
        <w:rPr>
          <w:bCs/>
          <w:lang w:eastAsia="bg-BG"/>
        </w:rPr>
        <w:t xml:space="preserve">  към юни </w:t>
      </w:r>
      <w:r w:rsidRPr="00D36432">
        <w:rPr>
          <w:lang w:eastAsia="bg-BG"/>
        </w:rPr>
        <w:t>2020 г.</w:t>
      </w:r>
      <w:r w:rsidRPr="00D36432">
        <w:rPr>
          <w:bCs/>
          <w:lang w:eastAsia="bg-BG"/>
        </w:rPr>
        <w:t xml:space="preserve"> е</w:t>
      </w:r>
      <w:r w:rsidRPr="00D36432">
        <w:rPr>
          <w:b/>
          <w:bCs/>
          <w:lang w:eastAsia="bg-BG"/>
        </w:rPr>
        <w:t xml:space="preserve"> 6 358,4</w:t>
      </w:r>
      <w:r w:rsidRPr="00D36432">
        <w:rPr>
          <w:rFonts w:eastAsia="Calibri"/>
          <w:b/>
        </w:rPr>
        <w:t> </w:t>
      </w:r>
      <w:r w:rsidRPr="00D36432">
        <w:rPr>
          <w:b/>
          <w:bCs/>
          <w:lang w:eastAsia="bg-BG"/>
        </w:rPr>
        <w:t xml:space="preserve">млн. лв.,  </w:t>
      </w:r>
      <w:r w:rsidRPr="00D36432">
        <w:rPr>
          <w:bCs/>
          <w:lang w:eastAsia="bg-BG"/>
        </w:rPr>
        <w:t>в т.ч.:</w:t>
      </w:r>
      <w:r w:rsidRPr="00D36432">
        <w:rPr>
          <w:b/>
          <w:bCs/>
          <w:lang w:eastAsia="bg-BG"/>
        </w:rPr>
        <w:t xml:space="preserve"> </w:t>
      </w:r>
    </w:p>
    <w:p w:rsidR="0011239E" w:rsidRPr="00D36432" w:rsidRDefault="0011239E" w:rsidP="0011239E">
      <w:pPr>
        <w:numPr>
          <w:ilvl w:val="0"/>
          <w:numId w:val="24"/>
        </w:numPr>
        <w:tabs>
          <w:tab w:val="clear" w:pos="700"/>
          <w:tab w:val="left" w:pos="180"/>
          <w:tab w:val="num" w:pos="540"/>
          <w:tab w:val="num" w:pos="1495"/>
          <w:tab w:val="num" w:pos="9858"/>
        </w:tabs>
        <w:ind w:left="538" w:hanging="357"/>
        <w:jc w:val="both"/>
        <w:rPr>
          <w:lang w:eastAsia="bg-BG"/>
        </w:rPr>
      </w:pPr>
      <w:r w:rsidRPr="00D36432">
        <w:rPr>
          <w:lang w:eastAsia="bg-BG"/>
        </w:rPr>
        <w:t>бюджетните  взаимоотношения  с  общините  включват  нето трансфери  в  размер  на  </w:t>
      </w:r>
    </w:p>
    <w:p w:rsidR="0011239E" w:rsidRPr="00D36432" w:rsidRDefault="0011239E" w:rsidP="0011239E">
      <w:pPr>
        <w:tabs>
          <w:tab w:val="left" w:pos="180"/>
          <w:tab w:val="num" w:pos="1495"/>
          <w:tab w:val="num" w:pos="9858"/>
        </w:tabs>
        <w:ind w:left="538"/>
        <w:jc w:val="both"/>
        <w:rPr>
          <w:lang w:eastAsia="bg-BG"/>
        </w:rPr>
      </w:pPr>
      <w:r w:rsidRPr="00D36432">
        <w:rPr>
          <w:lang w:eastAsia="bg-BG"/>
        </w:rPr>
        <w:t>2 469,6 млн. лв., от които субсидии от централния бюджет в размер на 2 300,1 млн. лв., други целеви трансфери от централния бюджет в размер на 54,6 млн. лв., нетни трансфери от/за други бюджети в размер на 117,8 млн. лв. и възстановени трансфери от предходни години в централния бюджет – 2,9 млн. лева;</w:t>
      </w:r>
    </w:p>
    <w:p w:rsidR="0011239E" w:rsidRPr="00D36432" w:rsidRDefault="0011239E" w:rsidP="0011239E">
      <w:pPr>
        <w:numPr>
          <w:ilvl w:val="0"/>
          <w:numId w:val="24"/>
        </w:numPr>
        <w:tabs>
          <w:tab w:val="clear" w:pos="700"/>
          <w:tab w:val="left" w:pos="180"/>
          <w:tab w:val="num" w:pos="540"/>
          <w:tab w:val="num" w:pos="1495"/>
          <w:tab w:val="num" w:pos="9858"/>
        </w:tabs>
        <w:ind w:left="538" w:hanging="357"/>
        <w:jc w:val="both"/>
        <w:rPr>
          <w:lang w:eastAsia="bg-BG"/>
        </w:rPr>
      </w:pPr>
      <w:r w:rsidRPr="00D36432">
        <w:rPr>
          <w:lang w:eastAsia="bg-BG"/>
        </w:rPr>
        <w:t xml:space="preserve">на </w:t>
      </w:r>
      <w:proofErr w:type="spellStart"/>
      <w:r w:rsidRPr="00D36432">
        <w:rPr>
          <w:lang w:eastAsia="bg-BG"/>
        </w:rPr>
        <w:t>социалноосигурителните</w:t>
      </w:r>
      <w:proofErr w:type="spellEnd"/>
      <w:r w:rsidRPr="00D36432">
        <w:rPr>
          <w:lang w:eastAsia="bg-BG"/>
        </w:rPr>
        <w:t xml:space="preserve"> фондове (нето) – 3 25</w:t>
      </w:r>
      <w:r w:rsidR="007337B9">
        <w:rPr>
          <w:lang w:val="en-US" w:eastAsia="bg-BG"/>
        </w:rPr>
        <w:t>4</w:t>
      </w:r>
      <w:r w:rsidRPr="00D36432">
        <w:rPr>
          <w:lang w:eastAsia="bg-BG"/>
        </w:rPr>
        <w:t>,</w:t>
      </w:r>
      <w:r w:rsidR="007337B9">
        <w:rPr>
          <w:lang w:val="en-US" w:eastAsia="bg-BG"/>
        </w:rPr>
        <w:t>6</w:t>
      </w:r>
      <w:r w:rsidRPr="00D36432">
        <w:rPr>
          <w:lang w:eastAsia="bg-BG"/>
        </w:rPr>
        <w:t xml:space="preserve"> млн. лв.,</w:t>
      </w:r>
      <w:r w:rsidRPr="00D36432">
        <w:rPr>
          <w:b/>
          <w:lang w:eastAsia="bg-BG"/>
        </w:rPr>
        <w:t xml:space="preserve"> </w:t>
      </w:r>
      <w:r w:rsidRPr="00D36432">
        <w:rPr>
          <w:lang w:eastAsia="bg-BG"/>
        </w:rPr>
        <w:t>което представлява 44,3 % от годишния разчет;</w:t>
      </w:r>
    </w:p>
    <w:p w:rsidR="0011239E" w:rsidRPr="00D36432" w:rsidRDefault="0011239E" w:rsidP="0011239E">
      <w:pPr>
        <w:numPr>
          <w:ilvl w:val="0"/>
          <w:numId w:val="24"/>
        </w:numPr>
        <w:tabs>
          <w:tab w:val="clear" w:pos="700"/>
          <w:tab w:val="left" w:pos="180"/>
          <w:tab w:val="num" w:pos="540"/>
          <w:tab w:val="num" w:pos="1495"/>
          <w:tab w:val="num" w:pos="9858"/>
        </w:tabs>
        <w:ind w:left="538" w:hanging="357"/>
        <w:jc w:val="both"/>
        <w:rPr>
          <w:lang w:eastAsia="bg-BG"/>
        </w:rPr>
      </w:pPr>
      <w:r w:rsidRPr="00D36432">
        <w:rPr>
          <w:lang w:eastAsia="bg-BG"/>
        </w:rPr>
        <w:t>на други автономни бюджети (ДВУ, БАН, ССА, БНТ, БНР и БТА) – 410,2 млн. лв., 53,9 % от годишния разчет.</w:t>
      </w:r>
    </w:p>
    <w:p w:rsidR="0011239E" w:rsidRPr="00D36432" w:rsidRDefault="0011239E" w:rsidP="0011239E">
      <w:pPr>
        <w:numPr>
          <w:ilvl w:val="0"/>
          <w:numId w:val="6"/>
        </w:numPr>
        <w:tabs>
          <w:tab w:val="clear" w:pos="700"/>
          <w:tab w:val="left" w:pos="426"/>
          <w:tab w:val="num" w:pos="786"/>
        </w:tabs>
        <w:spacing w:before="120"/>
        <w:ind w:left="0" w:firstLine="0"/>
        <w:jc w:val="both"/>
        <w:rPr>
          <w:bCs/>
          <w:lang w:eastAsia="bg-BG"/>
        </w:rPr>
      </w:pPr>
      <w:r w:rsidRPr="00D36432">
        <w:rPr>
          <w:lang w:eastAsia="bg-BG"/>
        </w:rPr>
        <w:t>Частта от</w:t>
      </w:r>
      <w:r w:rsidRPr="00D36432">
        <w:rPr>
          <w:b/>
          <w:lang w:eastAsia="bg-BG"/>
        </w:rPr>
        <w:t xml:space="preserve"> вноската на Република България в общия бюджет на ЕС, </w:t>
      </w:r>
      <w:r w:rsidRPr="00D36432">
        <w:rPr>
          <w:lang w:eastAsia="bg-BG"/>
        </w:rPr>
        <w:t>изплатена към 30.06.2020 г. от централния бюджет, възлиза на</w:t>
      </w:r>
      <w:r w:rsidRPr="00D36432">
        <w:rPr>
          <w:b/>
          <w:lang w:eastAsia="bg-BG"/>
        </w:rPr>
        <w:t xml:space="preserve"> 688,6 млн. лева.</w:t>
      </w:r>
      <w:r w:rsidRPr="00D36432">
        <w:rPr>
          <w:lang w:eastAsia="bg-BG"/>
        </w:rPr>
        <w:t xml:space="preserve"> </w:t>
      </w:r>
    </w:p>
    <w:p w:rsidR="0011239E" w:rsidRPr="00D36432" w:rsidRDefault="0011239E" w:rsidP="0011239E">
      <w:pPr>
        <w:numPr>
          <w:ilvl w:val="0"/>
          <w:numId w:val="6"/>
        </w:numPr>
        <w:tabs>
          <w:tab w:val="clear" w:pos="700"/>
          <w:tab w:val="num" w:pos="426"/>
          <w:tab w:val="num" w:pos="786"/>
        </w:tabs>
        <w:spacing w:before="240" w:after="240"/>
        <w:ind w:left="0" w:firstLine="0"/>
        <w:jc w:val="both"/>
        <w:rPr>
          <w:sz w:val="16"/>
          <w:szCs w:val="16"/>
          <w:lang w:eastAsia="bg-BG"/>
        </w:rPr>
      </w:pPr>
      <w:r w:rsidRPr="00D36432">
        <w:rPr>
          <w:b/>
          <w:lang w:eastAsia="bg-BG"/>
        </w:rPr>
        <w:t xml:space="preserve">Бюджетното салдо по държавния бюджет </w:t>
      </w:r>
      <w:r w:rsidRPr="00D36432">
        <w:rPr>
          <w:lang w:eastAsia="bg-BG"/>
        </w:rPr>
        <w:t>към 30.06.2020 г.</w:t>
      </w:r>
      <w:r w:rsidRPr="00D36432">
        <w:rPr>
          <w:b/>
          <w:lang w:eastAsia="bg-BG"/>
        </w:rPr>
        <w:t xml:space="preserve"> е отрицателно </w:t>
      </w:r>
      <w:r w:rsidRPr="00D36432">
        <w:rPr>
          <w:lang w:eastAsia="bg-BG"/>
        </w:rPr>
        <w:t xml:space="preserve">в размер на </w:t>
      </w:r>
      <w:r w:rsidRPr="00D36432">
        <w:rPr>
          <w:b/>
          <w:lang w:eastAsia="bg-BG"/>
        </w:rPr>
        <w:t>62,0 млн. лева.</w:t>
      </w:r>
      <w:r w:rsidRPr="00D36432">
        <w:rPr>
          <w:lang w:eastAsia="bg-BG"/>
        </w:rPr>
        <w:t xml:space="preserve"> </w:t>
      </w:r>
    </w:p>
    <w:p w:rsidR="0011239E" w:rsidRPr="00D36432" w:rsidRDefault="0011239E" w:rsidP="0011239E">
      <w:pPr>
        <w:numPr>
          <w:ilvl w:val="0"/>
          <w:numId w:val="6"/>
        </w:numPr>
        <w:tabs>
          <w:tab w:val="clear" w:pos="700"/>
          <w:tab w:val="num" w:pos="426"/>
          <w:tab w:val="num" w:pos="786"/>
        </w:tabs>
        <w:spacing w:before="240" w:after="240"/>
        <w:ind w:left="0" w:firstLine="0"/>
        <w:jc w:val="both"/>
        <w:rPr>
          <w:b/>
          <w:lang w:eastAsia="bg-BG"/>
        </w:rPr>
      </w:pPr>
      <w:r w:rsidRPr="00D36432">
        <w:rPr>
          <w:b/>
          <w:lang w:eastAsia="bg-BG"/>
        </w:rPr>
        <w:t>Финансиране на бюджета чрез операции по дълга</w:t>
      </w:r>
    </w:p>
    <w:p w:rsidR="0011239E" w:rsidRPr="00D36432" w:rsidRDefault="0011239E" w:rsidP="0011239E">
      <w:pPr>
        <w:spacing w:after="120"/>
        <w:jc w:val="both"/>
        <w:rPr>
          <w:lang w:eastAsia="bg-BG"/>
        </w:rPr>
      </w:pPr>
      <w:r w:rsidRPr="00D36432">
        <w:rPr>
          <w:lang w:eastAsia="bg-BG"/>
        </w:rPr>
        <w:t>Към 30.06.2020 г. е отчетено положително нетно външно финансиране по централния бюджет в размер на 7</w:t>
      </w:r>
      <w:r w:rsidRPr="00D36432">
        <w:rPr>
          <w:lang w:val="en-US" w:eastAsia="bg-BG"/>
        </w:rPr>
        <w:t>20</w:t>
      </w:r>
      <w:r w:rsidRPr="00D36432">
        <w:rPr>
          <w:lang w:eastAsia="bg-BG"/>
        </w:rPr>
        <w:t>,</w:t>
      </w:r>
      <w:r w:rsidRPr="00D36432">
        <w:rPr>
          <w:lang w:val="en-US" w:eastAsia="bg-BG"/>
        </w:rPr>
        <w:t>6</w:t>
      </w:r>
      <w:r w:rsidRPr="00D36432">
        <w:rPr>
          <w:lang w:eastAsia="bg-BG"/>
        </w:rPr>
        <w:t xml:space="preserve"> млн. лева.</w:t>
      </w:r>
    </w:p>
    <w:p w:rsidR="0011239E" w:rsidRPr="00D36432" w:rsidRDefault="0011239E" w:rsidP="0011239E">
      <w:pPr>
        <w:spacing w:after="120"/>
        <w:jc w:val="both"/>
        <w:rPr>
          <w:lang w:val="en-US" w:eastAsia="bg-BG"/>
        </w:rPr>
      </w:pPr>
      <w:r w:rsidRPr="00D36432">
        <w:rPr>
          <w:lang w:eastAsia="bg-BG"/>
        </w:rPr>
        <w:t xml:space="preserve">През отчетния период по централния бюджет са </w:t>
      </w:r>
      <w:r w:rsidRPr="00D36432">
        <w:rPr>
          <w:b/>
          <w:i/>
          <w:lang w:eastAsia="bg-BG"/>
        </w:rPr>
        <w:t>усвоени</w:t>
      </w:r>
      <w:r w:rsidRPr="00D36432">
        <w:rPr>
          <w:lang w:eastAsia="bg-BG"/>
        </w:rPr>
        <w:t xml:space="preserve"> 782,3 млн. лв. по заеми от чужбина. Средствата са усвоени, както следва</w:t>
      </w:r>
      <w:r w:rsidRPr="00D36432">
        <w:rPr>
          <w:lang w:val="en-US" w:eastAsia="bg-BG"/>
        </w:rPr>
        <w:t>:</w:t>
      </w:r>
    </w:p>
    <w:p w:rsidR="0011239E" w:rsidRPr="00D36432" w:rsidRDefault="0011239E" w:rsidP="0011239E">
      <w:pPr>
        <w:numPr>
          <w:ilvl w:val="0"/>
          <w:numId w:val="44"/>
        </w:numPr>
        <w:tabs>
          <w:tab w:val="left" w:pos="1134"/>
        </w:tabs>
        <w:spacing w:after="60"/>
        <w:ind w:left="0" w:firstLine="851"/>
        <w:jc w:val="both"/>
        <w:rPr>
          <w:lang w:eastAsia="bg-BG"/>
        </w:rPr>
      </w:pPr>
      <w:r w:rsidRPr="00D36432">
        <w:rPr>
          <w:lang w:eastAsia="bg-BG"/>
        </w:rPr>
        <w:t xml:space="preserve">300,0 млн. евро (586,7 млн. лв.) на три транша (3, 4 и 5) от по 100,0 млн. евро – по </w:t>
      </w:r>
      <w:r w:rsidRPr="00D36432">
        <w:rPr>
          <w:rFonts w:cs="Arial"/>
          <w:lang w:eastAsia="bg-BG"/>
        </w:rPr>
        <w:t xml:space="preserve">Финансов договор между Република България и Европейската инвестиционна банка за </w:t>
      </w:r>
      <w:r w:rsidRPr="00D36432">
        <w:rPr>
          <w:rFonts w:cs="Arial"/>
          <w:lang w:eastAsia="bg-BG"/>
        </w:rPr>
        <w:lastRenderedPageBreak/>
        <w:t xml:space="preserve">финансиране на проект „България – </w:t>
      </w:r>
      <w:proofErr w:type="spellStart"/>
      <w:r w:rsidRPr="00D36432">
        <w:rPr>
          <w:rFonts w:cs="Arial"/>
          <w:lang w:eastAsia="bg-BG"/>
        </w:rPr>
        <w:t>съфинансиране</w:t>
      </w:r>
      <w:proofErr w:type="spellEnd"/>
      <w:r w:rsidRPr="00D36432">
        <w:rPr>
          <w:rFonts w:cs="Arial"/>
          <w:lang w:eastAsia="bg-BG"/>
        </w:rPr>
        <w:t xml:space="preserve"> по Фондовете на ЕС 2014 – 2020 г. (СПЗ)</w:t>
      </w:r>
      <w:r w:rsidRPr="00D36432">
        <w:rPr>
          <w:rFonts w:cs="Arial"/>
          <w:vertAlign w:val="superscript"/>
          <w:lang w:eastAsia="bg-BG"/>
        </w:rPr>
        <w:footnoteReference w:id="11"/>
      </w:r>
      <w:r w:rsidRPr="00D36432">
        <w:rPr>
          <w:rFonts w:cs="Arial"/>
          <w:lang w:eastAsia="bg-BG"/>
        </w:rPr>
        <w:t>“</w:t>
      </w:r>
      <w:r w:rsidRPr="00D36432">
        <w:rPr>
          <w:lang w:eastAsia="bg-BG"/>
        </w:rPr>
        <w:t xml:space="preserve"> </w:t>
      </w:r>
    </w:p>
    <w:p w:rsidR="0011239E" w:rsidRPr="00D36432" w:rsidRDefault="0011239E" w:rsidP="0011239E">
      <w:pPr>
        <w:numPr>
          <w:ilvl w:val="0"/>
          <w:numId w:val="44"/>
        </w:numPr>
        <w:tabs>
          <w:tab w:val="left" w:pos="1134"/>
        </w:tabs>
        <w:spacing w:after="60"/>
        <w:ind w:left="0" w:firstLine="851"/>
        <w:jc w:val="both"/>
        <w:rPr>
          <w:lang w:eastAsia="bg-BG"/>
        </w:rPr>
      </w:pPr>
      <w:r w:rsidRPr="00D36432">
        <w:rPr>
          <w:lang w:eastAsia="bg-BG"/>
        </w:rPr>
        <w:t xml:space="preserve">100,0 млн. евро (195,6 млн. лв.) - трети транш по Рамково споразумение за заем между Банката за развитие на Съвета на Европа и Република България, Механизъм за </w:t>
      </w:r>
      <w:proofErr w:type="spellStart"/>
      <w:r w:rsidRPr="00D36432">
        <w:rPr>
          <w:lang w:eastAsia="bg-BG"/>
        </w:rPr>
        <w:t>съфинансиране</w:t>
      </w:r>
      <w:proofErr w:type="spellEnd"/>
      <w:r w:rsidRPr="00D36432">
        <w:rPr>
          <w:lang w:eastAsia="bg-BG"/>
        </w:rPr>
        <w:t xml:space="preserve"> на проекти, изпълнявани със средства от ЕС по оперативните програми, </w:t>
      </w:r>
      <w:proofErr w:type="spellStart"/>
      <w:r w:rsidRPr="00D36432">
        <w:rPr>
          <w:lang w:eastAsia="bg-BG"/>
        </w:rPr>
        <w:t>съфинансирани</w:t>
      </w:r>
      <w:proofErr w:type="spellEnd"/>
      <w:r w:rsidRPr="00D36432">
        <w:rPr>
          <w:lang w:eastAsia="bg-BG"/>
        </w:rPr>
        <w:t xml:space="preserve"> от Европейските структурни и инвестиционни фондове за програмния период 2014-2020 г.</w:t>
      </w:r>
    </w:p>
    <w:p w:rsidR="0011239E" w:rsidRPr="00D36432" w:rsidRDefault="0011239E" w:rsidP="0011239E">
      <w:pPr>
        <w:tabs>
          <w:tab w:val="num" w:pos="900"/>
          <w:tab w:val="num" w:pos="1500"/>
        </w:tabs>
        <w:spacing w:before="120" w:after="60"/>
        <w:jc w:val="both"/>
        <w:rPr>
          <w:lang w:val="en-US" w:eastAsia="bg-BG"/>
        </w:rPr>
      </w:pPr>
      <w:r w:rsidRPr="00D36432">
        <w:rPr>
          <w:b/>
          <w:i/>
          <w:lang w:eastAsia="bg-BG"/>
        </w:rPr>
        <w:t>Извършените погашения</w:t>
      </w:r>
      <w:r w:rsidRPr="00D36432">
        <w:rPr>
          <w:lang w:eastAsia="bg-BG"/>
        </w:rPr>
        <w:t xml:space="preserve"> по заеми от чужбина по централния бюджет възлизат на 62,6 млн. лв. и са,</w:t>
      </w:r>
      <w:r w:rsidRPr="00D36432">
        <w:rPr>
          <w:lang w:val="en-US" w:eastAsia="bg-BG"/>
        </w:rPr>
        <w:t xml:space="preserve"> </w:t>
      </w:r>
      <w:r w:rsidRPr="00D36432">
        <w:rPr>
          <w:lang w:eastAsia="bg-BG"/>
        </w:rPr>
        <w:t>както следва</w:t>
      </w:r>
      <w:r w:rsidRPr="00D36432">
        <w:rPr>
          <w:lang w:val="en-US" w:eastAsia="bg-BG"/>
        </w:rPr>
        <w:t>:</w:t>
      </w:r>
    </w:p>
    <w:p w:rsidR="0011239E" w:rsidRPr="00D36432" w:rsidRDefault="0011239E" w:rsidP="0011239E">
      <w:pPr>
        <w:numPr>
          <w:ilvl w:val="0"/>
          <w:numId w:val="44"/>
        </w:numPr>
        <w:tabs>
          <w:tab w:val="num" w:pos="900"/>
          <w:tab w:val="num" w:pos="1134"/>
        </w:tabs>
        <w:spacing w:before="120" w:after="60"/>
        <w:ind w:left="1276" w:hanging="425"/>
        <w:jc w:val="both"/>
        <w:rPr>
          <w:rFonts w:ascii="Arial" w:hAnsi="Arial" w:cs="Arial"/>
          <w:lang w:eastAsia="bg-BG"/>
        </w:rPr>
      </w:pPr>
      <w:r w:rsidRPr="00D36432">
        <w:rPr>
          <w:lang w:val="en-US" w:eastAsia="bg-BG"/>
        </w:rPr>
        <w:t xml:space="preserve"> 47</w:t>
      </w:r>
      <w:r w:rsidRPr="00D36432">
        <w:rPr>
          <w:lang w:eastAsia="bg-BG"/>
        </w:rPr>
        <w:t xml:space="preserve">,6 млн. лв. към Международната банка за възстановяване и развитие </w:t>
      </w:r>
    </w:p>
    <w:p w:rsidR="0011239E" w:rsidRPr="00D36432" w:rsidRDefault="0011239E" w:rsidP="0011239E">
      <w:pPr>
        <w:numPr>
          <w:ilvl w:val="0"/>
          <w:numId w:val="44"/>
        </w:numPr>
        <w:tabs>
          <w:tab w:val="num" w:pos="900"/>
          <w:tab w:val="left" w:pos="1134"/>
        </w:tabs>
        <w:spacing w:before="120" w:after="60"/>
        <w:ind w:left="993" w:hanging="142"/>
        <w:jc w:val="both"/>
        <w:rPr>
          <w:rFonts w:ascii="Arial" w:hAnsi="Arial" w:cs="Arial"/>
          <w:lang w:eastAsia="bg-BG"/>
        </w:rPr>
      </w:pPr>
      <w:r w:rsidRPr="00D36432">
        <w:rPr>
          <w:lang w:eastAsia="bg-BG"/>
        </w:rPr>
        <w:t xml:space="preserve"> 15,0 млн. лв. към </w:t>
      </w:r>
      <w:r w:rsidRPr="00D36432">
        <w:rPr>
          <w:rFonts w:cs="Arial"/>
          <w:lang w:eastAsia="bg-BG"/>
        </w:rPr>
        <w:t>Европейската инвестиционна банка.</w:t>
      </w:r>
    </w:p>
    <w:p w:rsidR="0011239E" w:rsidRPr="00D36432" w:rsidRDefault="0011239E" w:rsidP="0011239E">
      <w:pPr>
        <w:spacing w:after="120"/>
        <w:jc w:val="both"/>
      </w:pPr>
      <w:r w:rsidRPr="00D36432">
        <w:rPr>
          <w:lang w:eastAsia="bg-BG"/>
        </w:rPr>
        <w:t xml:space="preserve">По </w:t>
      </w:r>
      <w:r w:rsidRPr="00D36432">
        <w:rPr>
          <w:b/>
          <w:lang w:eastAsia="bg-BG"/>
        </w:rPr>
        <w:t>държавните инвестиционни заеми</w:t>
      </w:r>
      <w:r w:rsidRPr="00D36432">
        <w:rPr>
          <w:lang w:eastAsia="bg-BG"/>
        </w:rPr>
        <w:t xml:space="preserve">, управлявани от министерства и ведомства, и ДИЗ с краен бенефициент търговско дружество през отчетния период няма </w:t>
      </w:r>
      <w:r w:rsidRPr="00D36432">
        <w:rPr>
          <w:b/>
          <w:i/>
          <w:lang w:eastAsia="bg-BG"/>
        </w:rPr>
        <w:t>усвоени</w:t>
      </w:r>
      <w:r w:rsidRPr="00D36432">
        <w:rPr>
          <w:lang w:eastAsia="bg-BG"/>
        </w:rPr>
        <w:t xml:space="preserve"> средства</w:t>
      </w:r>
      <w:r w:rsidRPr="00D36432">
        <w:t>.</w:t>
      </w:r>
    </w:p>
    <w:p w:rsidR="0011239E" w:rsidRPr="00D36432" w:rsidRDefault="0011239E" w:rsidP="0011239E">
      <w:pPr>
        <w:spacing w:after="120"/>
        <w:jc w:val="both"/>
      </w:pPr>
      <w:r w:rsidRPr="00D36432">
        <w:rPr>
          <w:b/>
          <w:i/>
          <w:lang w:eastAsia="bg-BG"/>
        </w:rPr>
        <w:t>Изплатените погашения</w:t>
      </w:r>
      <w:r w:rsidRPr="00D36432">
        <w:rPr>
          <w:lang w:eastAsia="bg-BG"/>
        </w:rPr>
        <w:t xml:space="preserve"> по ДИЗ, управлявани от министерства и ведомства, са в размер на 69,2 млн. лв. По заемите с краен бенефициент търговско дружество извършените погашения са в размер на 9,</w:t>
      </w:r>
      <w:proofErr w:type="spellStart"/>
      <w:r w:rsidRPr="00D36432">
        <w:rPr>
          <w:lang w:eastAsia="bg-BG"/>
        </w:rPr>
        <w:t>9</w:t>
      </w:r>
      <w:proofErr w:type="spellEnd"/>
      <w:r w:rsidRPr="00D36432">
        <w:rPr>
          <w:lang w:eastAsia="bg-BG"/>
        </w:rPr>
        <w:t xml:space="preserve"> млн. лева.</w:t>
      </w:r>
    </w:p>
    <w:p w:rsidR="0011239E" w:rsidRPr="00D36432" w:rsidRDefault="0011239E" w:rsidP="0011239E">
      <w:pPr>
        <w:spacing w:after="120"/>
        <w:jc w:val="both"/>
        <w:rPr>
          <w:lang w:eastAsia="bg-BG"/>
        </w:rPr>
      </w:pPr>
      <w:r w:rsidRPr="00D36432">
        <w:rPr>
          <w:lang w:eastAsia="bg-BG"/>
        </w:rPr>
        <w:t>Не са използвани средства, предвидени за покриване на риска от активиране на държавни гаранции.</w:t>
      </w:r>
    </w:p>
    <w:p w:rsidR="0011239E" w:rsidRPr="00D36432" w:rsidRDefault="0011239E" w:rsidP="0011239E">
      <w:pPr>
        <w:tabs>
          <w:tab w:val="left" w:pos="9356"/>
        </w:tabs>
        <w:spacing w:after="60"/>
        <w:jc w:val="both"/>
        <w:rPr>
          <w:color w:val="0070C0"/>
          <w:lang w:eastAsia="bg-BG"/>
        </w:rPr>
      </w:pPr>
      <w:r w:rsidRPr="00D36432">
        <w:rPr>
          <w:lang w:eastAsia="bg-BG"/>
        </w:rPr>
        <w:t xml:space="preserve">Операции с </w:t>
      </w:r>
      <w:r w:rsidRPr="00D36432">
        <w:rPr>
          <w:b/>
          <w:lang w:eastAsia="bg-BG"/>
        </w:rPr>
        <w:t xml:space="preserve">държавни ценни книжа </w:t>
      </w:r>
      <w:r w:rsidRPr="00D36432">
        <w:rPr>
          <w:lang w:eastAsia="bg-BG"/>
        </w:rPr>
        <w:t xml:space="preserve">по централния бюджет </w:t>
      </w:r>
      <w:r w:rsidRPr="00D36432">
        <w:rPr>
          <w:b/>
          <w:lang w:eastAsia="bg-BG"/>
        </w:rPr>
        <w:t>(позиция във вътрешното финансиране):</w:t>
      </w:r>
      <w:r w:rsidRPr="00D36432">
        <w:rPr>
          <w:lang w:eastAsia="bg-BG"/>
        </w:rPr>
        <w:t xml:space="preserve"> Към 30 юни 2020 г. е реализирано положително нетно вътрешно финансиране на бюджета с държавни ценни книжа (ДЦК) в размер на 475,0 млн. лв. Общият размер на постъпленията от емисии на ДЦК е 1 197,7 млн. лв. или са емитирани ДЦК на обща номинална стойност 1 200,0 млн. лв., както следва: петгодишни облигации в обем 600 млн. лв. номинална стойност и облигации с </w:t>
      </w:r>
      <w:proofErr w:type="spellStart"/>
      <w:r w:rsidRPr="00D36432">
        <w:rPr>
          <w:lang w:eastAsia="bg-BG"/>
        </w:rPr>
        <w:t>матуритет</w:t>
      </w:r>
      <w:proofErr w:type="spellEnd"/>
      <w:r w:rsidRPr="00D36432">
        <w:rPr>
          <w:lang w:eastAsia="bg-BG"/>
        </w:rPr>
        <w:t xml:space="preserve"> десет години и 6 месеца с номинална стойност 600 млн. лева. През месец юни не са провеждани </w:t>
      </w:r>
      <w:proofErr w:type="spellStart"/>
      <w:r w:rsidRPr="00D36432">
        <w:rPr>
          <w:lang w:eastAsia="bg-BG"/>
        </w:rPr>
        <w:t>аукциони</w:t>
      </w:r>
      <w:proofErr w:type="spellEnd"/>
      <w:r w:rsidRPr="00D36432">
        <w:rPr>
          <w:lang w:eastAsia="bg-BG"/>
        </w:rPr>
        <w:t>.</w:t>
      </w:r>
    </w:p>
    <w:p w:rsidR="0011239E" w:rsidRPr="00D36432" w:rsidRDefault="0011239E" w:rsidP="0011239E">
      <w:pPr>
        <w:tabs>
          <w:tab w:val="left" w:pos="9356"/>
        </w:tabs>
        <w:spacing w:after="60"/>
        <w:jc w:val="both"/>
        <w:rPr>
          <w:lang w:eastAsia="bg-BG"/>
        </w:rPr>
      </w:pPr>
      <w:r w:rsidRPr="00D36432">
        <w:rPr>
          <w:lang w:eastAsia="bg-BG"/>
        </w:rPr>
        <w:t xml:space="preserve">Отчетените погашения за периода са в размер на 722,7 млн. лв., в т.ч. през януари 2020 г. МФ погаси емисия 7-годишни ДЦК от 2013 г. в обем от 165 млн. евро (322,7 млн. лв.); през февруари 2020 г. е изплатена емисия 5-годишни ДЦК от 2015 г. в размер на 400 млн. лв. номинална стойност. През месец </w:t>
      </w:r>
      <w:r w:rsidRPr="00D36432">
        <w:rPr>
          <w:rFonts w:eastAsia="Calibri"/>
        </w:rPr>
        <w:t xml:space="preserve">юни </w:t>
      </w:r>
      <w:r w:rsidRPr="00D36432">
        <w:rPr>
          <w:lang w:eastAsia="bg-BG"/>
        </w:rPr>
        <w:t>няма извършени погашения по вътрешния дълг.</w:t>
      </w:r>
    </w:p>
    <w:p w:rsidR="0011239E" w:rsidRPr="00A67909" w:rsidRDefault="0011239E" w:rsidP="00BA6945">
      <w:pPr>
        <w:pStyle w:val="Heading1"/>
        <w:numPr>
          <w:ilvl w:val="1"/>
          <w:numId w:val="10"/>
        </w:numPr>
        <w:spacing w:before="240" w:after="120"/>
        <w:ind w:left="709" w:right="-108" w:hanging="142"/>
        <w:jc w:val="both"/>
        <w:rPr>
          <w:sz w:val="24"/>
        </w:rPr>
      </w:pPr>
      <w:r w:rsidRPr="00A67909">
        <w:rPr>
          <w:sz w:val="24"/>
        </w:rPr>
        <w:t>Бюджет на съдебната власт</w:t>
      </w:r>
    </w:p>
    <w:p w:rsidR="0011239E" w:rsidRPr="00282402" w:rsidRDefault="0011239E" w:rsidP="0011239E">
      <w:pPr>
        <w:ind w:firstLine="567"/>
        <w:jc w:val="both"/>
      </w:pPr>
      <w:r w:rsidRPr="00635DF0">
        <w:t xml:space="preserve">Със ЗДБРБ за 2020 г. са предвидени общо </w:t>
      </w:r>
      <w:r w:rsidRPr="00635DF0">
        <w:rPr>
          <w:b/>
        </w:rPr>
        <w:t>приходи</w:t>
      </w:r>
      <w:r w:rsidRPr="00635DF0">
        <w:t xml:space="preserve"> по бюджета на съдебната власт в размер на 116,0 млн</w:t>
      </w:r>
      <w:r w:rsidRPr="005D5DC4">
        <w:t>.</w:t>
      </w:r>
      <w:r w:rsidRPr="005D5DC4">
        <w:rPr>
          <w:lang w:val="en-US"/>
        </w:rPr>
        <w:t xml:space="preserve"> </w:t>
      </w:r>
      <w:r w:rsidRPr="005D5DC4">
        <w:t>лв., от тях 100,0 млн.</w:t>
      </w:r>
      <w:r w:rsidRPr="005D5DC4">
        <w:rPr>
          <w:lang w:val="en-US"/>
        </w:rPr>
        <w:t xml:space="preserve"> </w:t>
      </w:r>
      <w:r w:rsidRPr="005D5DC4">
        <w:t>лв. са приходи от съдебни такси. За първото полугодие на 2020 г. са отчетени приходи в размер на 43,0 млн. лв. (3</w:t>
      </w:r>
      <w:r w:rsidR="007A7B2D">
        <w:t>7,0</w:t>
      </w:r>
      <w:r w:rsidRPr="005D5DC4">
        <w:t xml:space="preserve"> % от планираните), от които 34,7 млн. лв. - приходи от съдебни такси. За сравнение, към 30.06.2019 г. са отчетени </w:t>
      </w:r>
      <w:r w:rsidRPr="00CD5E86">
        <w:t xml:space="preserve">общо приходи в размер на 54,8 млн. лв. (47,3 % от закона), от които </w:t>
      </w:r>
      <w:r>
        <w:t>48,1</w:t>
      </w:r>
      <w:r w:rsidRPr="00CD5E86">
        <w:t xml:space="preserve"> млн. лв. - приходи от съдебни такси</w:t>
      </w:r>
      <w:r w:rsidRPr="00282402">
        <w:t>.</w:t>
      </w:r>
    </w:p>
    <w:p w:rsidR="0011239E" w:rsidRPr="008A4E71" w:rsidRDefault="0011239E" w:rsidP="0011239E">
      <w:pPr>
        <w:ind w:firstLine="567"/>
        <w:jc w:val="both"/>
        <w:rPr>
          <w:lang w:val="en-US"/>
        </w:rPr>
      </w:pPr>
      <w:r w:rsidRPr="00282402">
        <w:rPr>
          <w:b/>
        </w:rPr>
        <w:t xml:space="preserve">Разходите </w:t>
      </w:r>
      <w:r w:rsidRPr="00282402">
        <w:t>по бюджета на съдебната власт</w:t>
      </w:r>
      <w:r w:rsidRPr="00282402">
        <w:rPr>
          <w:b/>
        </w:rPr>
        <w:t xml:space="preserve"> </w:t>
      </w:r>
      <w:r w:rsidRPr="00282402">
        <w:t>към 30.06.2020 г.</w:t>
      </w:r>
      <w:r w:rsidRPr="00282402">
        <w:rPr>
          <w:b/>
        </w:rPr>
        <w:t xml:space="preserve"> </w:t>
      </w:r>
      <w:r w:rsidRPr="00282402">
        <w:t xml:space="preserve">са в размер на 369,0 млн. лв. или 47,8 % от планираните </w:t>
      </w:r>
      <w:r w:rsidRPr="009941DF">
        <w:t xml:space="preserve">за годината (771,3 млн. лв.). За сравнение, през същия период на 2019 г. са отчетени разходи в размер 340,8 млн. лв., които представляват 48,4 % от </w:t>
      </w:r>
      <w:r w:rsidRPr="008A4E71">
        <w:t>определените с годишния закон 704,3 млн. лева. За първото полугодие на 2020 г. с най-голям относителен дял от отчетените разходи са тези за персонал – 9</w:t>
      </w:r>
      <w:r w:rsidR="00DD2C33">
        <w:t>2</w:t>
      </w:r>
      <w:r w:rsidRPr="008A4E71">
        <w:t>,</w:t>
      </w:r>
      <w:r w:rsidR="00DD2C33">
        <w:t>2</w:t>
      </w:r>
      <w:r w:rsidRPr="008A4E71">
        <w:t xml:space="preserve"> % (3</w:t>
      </w:r>
      <w:r w:rsidR="00DD2C33">
        <w:t>40</w:t>
      </w:r>
      <w:r w:rsidRPr="008A4E71">
        <w:t>,</w:t>
      </w:r>
      <w:r w:rsidR="00DD2C33">
        <w:t>1</w:t>
      </w:r>
      <w:r w:rsidRPr="008A4E71">
        <w:t xml:space="preserve"> млн. лв.).</w:t>
      </w:r>
    </w:p>
    <w:p w:rsidR="00F521AA" w:rsidRPr="00245EC9" w:rsidRDefault="00F521AA" w:rsidP="00777CBA">
      <w:pPr>
        <w:pStyle w:val="Heading1"/>
        <w:numPr>
          <w:ilvl w:val="0"/>
          <w:numId w:val="10"/>
        </w:numPr>
        <w:spacing w:before="360" w:after="120"/>
        <w:ind w:left="748" w:right="-108" w:hanging="391"/>
        <w:jc w:val="both"/>
        <w:rPr>
          <w:color w:val="000000" w:themeColor="text1"/>
          <w:sz w:val="24"/>
        </w:rPr>
      </w:pPr>
      <w:r w:rsidRPr="00245EC9">
        <w:rPr>
          <w:color w:val="000000" w:themeColor="text1"/>
          <w:sz w:val="24"/>
        </w:rPr>
        <w:lastRenderedPageBreak/>
        <w:t xml:space="preserve">Сметки за средства от ЕС на Разплащателната агенция към ДФ „Земеделие“ и на Националния фонд към Министерството на финансите </w:t>
      </w:r>
    </w:p>
    <w:p w:rsidR="00F521AA" w:rsidRPr="00245EC9" w:rsidRDefault="00F521AA" w:rsidP="00F521AA">
      <w:pPr>
        <w:pStyle w:val="Heading1"/>
        <w:numPr>
          <w:ilvl w:val="1"/>
          <w:numId w:val="10"/>
        </w:numPr>
        <w:spacing w:after="120"/>
        <w:ind w:left="788" w:right="-108" w:hanging="431"/>
        <w:jc w:val="both"/>
        <w:rPr>
          <w:color w:val="000000" w:themeColor="text1"/>
          <w:sz w:val="24"/>
          <w:lang w:val="en-US"/>
        </w:rPr>
      </w:pPr>
      <w:r w:rsidRPr="00245EC9">
        <w:rPr>
          <w:color w:val="000000" w:themeColor="text1"/>
          <w:sz w:val="24"/>
        </w:rPr>
        <w:t xml:space="preserve"> Сметка за Европейски средства на Разплащателна агенция към Държавен фонд „Земеделие” </w:t>
      </w:r>
    </w:p>
    <w:p w:rsidR="00063CF1" w:rsidRPr="00245EC9" w:rsidRDefault="00063CF1" w:rsidP="00063CF1">
      <w:pPr>
        <w:numPr>
          <w:ilvl w:val="0"/>
          <w:numId w:val="28"/>
        </w:numPr>
        <w:tabs>
          <w:tab w:val="num" w:pos="540"/>
        </w:tabs>
        <w:spacing w:before="120" w:after="120" w:line="276" w:lineRule="auto"/>
        <w:contextualSpacing/>
        <w:jc w:val="both"/>
        <w:rPr>
          <w:b/>
          <w:color w:val="000000" w:themeColor="text1"/>
          <w:lang w:eastAsia="bg-BG"/>
        </w:rPr>
      </w:pPr>
      <w:r w:rsidRPr="00245EC9">
        <w:rPr>
          <w:b/>
          <w:color w:val="000000" w:themeColor="text1"/>
          <w:lang w:eastAsia="bg-BG"/>
        </w:rPr>
        <w:t>Приходи</w:t>
      </w:r>
    </w:p>
    <w:p w:rsidR="004B7497" w:rsidRPr="00A12B2A" w:rsidRDefault="004B7497" w:rsidP="004B7497">
      <w:pPr>
        <w:ind w:firstLine="567"/>
        <w:jc w:val="both"/>
      </w:pPr>
      <w:r w:rsidRPr="00245EC9">
        <w:rPr>
          <w:color w:val="000000" w:themeColor="text1"/>
        </w:rPr>
        <w:t xml:space="preserve">За 2020 г. </w:t>
      </w:r>
      <w:r w:rsidRPr="00A12B2A">
        <w:t>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891,3 млн. лева. Към 30.06.2020 г. постъпленията са в размер на 215,6 млн. лв., което представлява 24,2 % от годишния план, при 23,2 % изпълнение на годишния план за същия период на предходната година.</w:t>
      </w:r>
      <w:r w:rsidRPr="00A12B2A">
        <w:rPr>
          <w:lang w:val="en-US"/>
        </w:rPr>
        <w:t xml:space="preserve"> </w:t>
      </w:r>
      <w:r w:rsidRPr="00A12B2A">
        <w:rPr>
          <w:rFonts w:eastAsiaTheme="minorHAnsi"/>
        </w:rPr>
        <w:t>Приходната част е формирана от помощи и дарения от чужбина, приходи от наказателни лихви и коректив на касови постъпления, разпределени както следва:</w:t>
      </w:r>
    </w:p>
    <w:p w:rsidR="004B7497" w:rsidRPr="00A12B2A" w:rsidRDefault="004B7497" w:rsidP="004B7497">
      <w:pPr>
        <w:numPr>
          <w:ilvl w:val="0"/>
          <w:numId w:val="25"/>
        </w:numPr>
        <w:tabs>
          <w:tab w:val="left" w:pos="993"/>
        </w:tabs>
        <w:spacing w:before="120" w:after="120" w:line="276" w:lineRule="auto"/>
        <w:ind w:left="1321" w:firstLine="567"/>
        <w:jc w:val="both"/>
        <w:rPr>
          <w:b/>
          <w:i/>
        </w:rPr>
      </w:pPr>
      <w:r w:rsidRPr="00A12B2A">
        <w:rPr>
          <w:b/>
          <w:i/>
        </w:rPr>
        <w:t>Текущи помощи и дарения от Европейския съюз</w:t>
      </w:r>
    </w:p>
    <w:p w:rsidR="004B7497" w:rsidRPr="00161C39" w:rsidRDefault="004B7497" w:rsidP="004B7497">
      <w:pPr>
        <w:ind w:firstLine="567"/>
        <w:jc w:val="both"/>
      </w:pPr>
      <w:r w:rsidRPr="00161C39">
        <w:t>Общият размер на получените приходи, отчетени в „Текущи помощи и дарения от Европейския съюз“ към края на първото полугодие на 2020 г. е 33,9 млн. лв. при планирани за годината средства в размер на 153,6 млн. лева.</w:t>
      </w:r>
    </w:p>
    <w:p w:rsidR="004B7497" w:rsidRPr="00161C39" w:rsidRDefault="004B7497" w:rsidP="004B7497">
      <w:pPr>
        <w:ind w:firstLine="567"/>
        <w:jc w:val="both"/>
        <w:rPr>
          <w:lang w:val="en-US"/>
        </w:rPr>
      </w:pPr>
      <w:r w:rsidRPr="00161C39">
        <w:t>Получените текущи приходи от възстановяване на средства от Европейски земеделски фонд за развитие на селските райони (ЕЗФРСР) по линия на ПРСР, без директни плащания, към 30.06.2020 г. са 28,1 млн. лв., което е 20,9 % от планираните за годината 134,7 млн. лева.</w:t>
      </w:r>
      <w:r w:rsidRPr="00161C39">
        <w:rPr>
          <w:lang w:val="en-US"/>
        </w:rPr>
        <w:t xml:space="preserve"> </w:t>
      </w:r>
      <w:r w:rsidRPr="00161C39">
        <w:t>За сравнение, изпълнението на плана за първото полугодие на 2019 г. е 14,4 процента.</w:t>
      </w:r>
    </w:p>
    <w:p w:rsidR="004B7497" w:rsidRPr="008B3410" w:rsidRDefault="004B7497" w:rsidP="004B7497">
      <w:pPr>
        <w:ind w:firstLine="567"/>
        <w:jc w:val="both"/>
      </w:pPr>
      <w:r w:rsidRPr="008B3410">
        <w:t xml:space="preserve">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(EФГЗ) към 30.06.2020 г. са 3,6 млн. лв., което представлява 37,9 % от планираните за годината 9,5 млн. лева. За сравнение, за същия период на предходната година възстановените суми по това направление са 16,7 % от годишния план. </w:t>
      </w:r>
    </w:p>
    <w:p w:rsidR="004B7497" w:rsidRPr="000748F2" w:rsidRDefault="004B7497" w:rsidP="004B7497">
      <w:pPr>
        <w:ind w:firstLine="567"/>
        <w:jc w:val="both"/>
      </w:pPr>
      <w:r w:rsidRPr="000748F2">
        <w:t>През първото полугодие на 2020 г. са получени 2,</w:t>
      </w:r>
      <w:proofErr w:type="spellStart"/>
      <w:r w:rsidRPr="000748F2">
        <w:t>2</w:t>
      </w:r>
      <w:proofErr w:type="spellEnd"/>
      <w:r w:rsidRPr="000748F2">
        <w:t xml:space="preserve"> млн. лв. текущи приходи от възстановяване от Европейския фонд за морско дело и рибарство (ЕФМДР), което представлява 23,2 % от планираните за годината 9,5 млн. лева. За същия период на предходната година изпълнението е било 71,2 %. </w:t>
      </w:r>
    </w:p>
    <w:p w:rsidR="004B7497" w:rsidRPr="00F856B7" w:rsidRDefault="004B7497" w:rsidP="004B7497">
      <w:pPr>
        <w:numPr>
          <w:ilvl w:val="0"/>
          <w:numId w:val="25"/>
        </w:numPr>
        <w:tabs>
          <w:tab w:val="left" w:pos="993"/>
        </w:tabs>
        <w:spacing w:before="120" w:after="120" w:line="276" w:lineRule="auto"/>
        <w:ind w:left="1321" w:firstLine="567"/>
        <w:jc w:val="both"/>
        <w:rPr>
          <w:b/>
          <w:i/>
        </w:rPr>
      </w:pPr>
      <w:r w:rsidRPr="00F856B7">
        <w:rPr>
          <w:b/>
          <w:i/>
        </w:rPr>
        <w:t>Капиталови помощи и дарения от Европейския съюз</w:t>
      </w:r>
    </w:p>
    <w:p w:rsidR="004B7497" w:rsidRPr="0095397C" w:rsidRDefault="004B7497" w:rsidP="004B7497">
      <w:pPr>
        <w:ind w:firstLine="567"/>
        <w:jc w:val="both"/>
      </w:pPr>
      <w:r w:rsidRPr="00F856B7">
        <w:t xml:space="preserve">Общият размер на получените приходи, отчетени в „Капиталови помощи и дарения от Европейския съюз“ към 30.06.2020 г. е </w:t>
      </w:r>
      <w:r w:rsidRPr="00F856B7">
        <w:rPr>
          <w:lang w:val="en-US"/>
        </w:rPr>
        <w:t>1</w:t>
      </w:r>
      <w:r w:rsidRPr="00F856B7">
        <w:t xml:space="preserve">82,7 млн. лв. при планирани за годината </w:t>
      </w:r>
      <w:r w:rsidRPr="00F856B7">
        <w:rPr>
          <w:lang w:val="en-US"/>
        </w:rPr>
        <w:t>737</w:t>
      </w:r>
      <w:r w:rsidRPr="00F856B7">
        <w:t>,</w:t>
      </w:r>
      <w:r w:rsidRPr="00F856B7">
        <w:rPr>
          <w:lang w:val="en-US"/>
        </w:rPr>
        <w:t>6</w:t>
      </w:r>
      <w:r w:rsidRPr="00F856B7">
        <w:t xml:space="preserve"> </w:t>
      </w:r>
      <w:r w:rsidRPr="0095397C">
        <w:t>млн. лева.</w:t>
      </w:r>
    </w:p>
    <w:p w:rsidR="004B7497" w:rsidRPr="0095397C" w:rsidRDefault="004B7497" w:rsidP="004B7497">
      <w:pPr>
        <w:ind w:firstLine="567"/>
        <w:jc w:val="both"/>
      </w:pPr>
      <w:r w:rsidRPr="0095397C">
        <w:t>Получените капиталови приходи от ЕЗФРСР по линия на ПРСР без директни плащания до 30.06.2020 г. са 165,9 млн. лв., което е 2</w:t>
      </w:r>
      <w:r w:rsidRPr="0095397C">
        <w:rPr>
          <w:lang w:val="en-US"/>
        </w:rPr>
        <w:t>3</w:t>
      </w:r>
      <w:r w:rsidRPr="0095397C">
        <w:t>,</w:t>
      </w:r>
      <w:r w:rsidRPr="0095397C">
        <w:rPr>
          <w:lang w:val="en-US"/>
        </w:rPr>
        <w:t>4</w:t>
      </w:r>
      <w:r w:rsidRPr="0095397C">
        <w:t xml:space="preserve">  % от годишния план </w:t>
      </w:r>
      <w:r w:rsidRPr="0095397C">
        <w:rPr>
          <w:lang w:val="en-US"/>
        </w:rPr>
        <w:t>(709</w:t>
      </w:r>
      <w:r w:rsidRPr="0095397C">
        <w:t>,</w:t>
      </w:r>
      <w:r w:rsidRPr="0095397C">
        <w:rPr>
          <w:lang w:val="en-US"/>
        </w:rPr>
        <w:t>6</w:t>
      </w:r>
      <w:r w:rsidRPr="0095397C">
        <w:t xml:space="preserve"> млн. лв.</w:t>
      </w:r>
      <w:r w:rsidRPr="0095397C">
        <w:rPr>
          <w:lang w:val="en-US"/>
        </w:rPr>
        <w:t>).</w:t>
      </w:r>
      <w:r w:rsidRPr="0095397C">
        <w:t xml:space="preserve"> За сравнение, през първото полугодие на 2019 г. са получени 159,3 млн. лева.</w:t>
      </w:r>
    </w:p>
    <w:p w:rsidR="004B7497" w:rsidRPr="00DD6459" w:rsidRDefault="004B7497" w:rsidP="004B7497">
      <w:pPr>
        <w:ind w:firstLine="567"/>
        <w:jc w:val="both"/>
      </w:pPr>
      <w:r w:rsidRPr="00DD6459">
        <w:t xml:space="preserve">През първото полугодие на 2020 г. са  получени капиталови приходи в размер на 16,8 млн. лв. </w:t>
      </w:r>
      <w:r w:rsidRPr="00DD6459">
        <w:rPr>
          <w:rFonts w:eastAsiaTheme="minorHAnsi"/>
        </w:rPr>
        <w:t>от фонд ЕФМДР</w:t>
      </w:r>
      <w:r w:rsidRPr="00DD6459">
        <w:t xml:space="preserve"> при планирани за годината 28,0 млн. лв., което е 60,0</w:t>
      </w:r>
      <w:r w:rsidRPr="00DD6459">
        <w:rPr>
          <w:rFonts w:eastAsiaTheme="minorHAnsi"/>
        </w:rPr>
        <w:t xml:space="preserve"> % изпълнение на плана за годината. </w:t>
      </w:r>
      <w:r w:rsidRPr="00DD6459">
        <w:t>За сравнение, изпълнението на годишния план към 30.06.2019 г. е 33,2 процента.</w:t>
      </w:r>
    </w:p>
    <w:p w:rsidR="004B7497" w:rsidRPr="00972021" w:rsidRDefault="004B7497" w:rsidP="004B7497">
      <w:pPr>
        <w:numPr>
          <w:ilvl w:val="0"/>
          <w:numId w:val="25"/>
        </w:numPr>
        <w:tabs>
          <w:tab w:val="left" w:pos="993"/>
        </w:tabs>
        <w:spacing w:before="120" w:after="120"/>
        <w:ind w:left="1321" w:firstLine="567"/>
        <w:jc w:val="both"/>
        <w:rPr>
          <w:b/>
          <w:i/>
        </w:rPr>
      </w:pPr>
      <w:r w:rsidRPr="00972021">
        <w:rPr>
          <w:b/>
          <w:i/>
        </w:rPr>
        <w:t>Приходи от наказателни лихви</w:t>
      </w:r>
    </w:p>
    <w:p w:rsidR="004B7497" w:rsidRPr="00972021" w:rsidRDefault="004B7497" w:rsidP="004B7497">
      <w:pPr>
        <w:tabs>
          <w:tab w:val="left" w:pos="993"/>
        </w:tabs>
        <w:spacing w:before="120" w:after="120"/>
        <w:ind w:firstLine="567"/>
        <w:jc w:val="both"/>
      </w:pPr>
      <w:r w:rsidRPr="00972021">
        <w:t>През първото полугодие на 2020 г. са отчетени приходи от получени наказателни лихви, свързани с вземания за възстановяване на средства от ЕК в размер на 0,1 млн. лева.</w:t>
      </w:r>
    </w:p>
    <w:p w:rsidR="004B7497" w:rsidRPr="00972021" w:rsidRDefault="004B7497" w:rsidP="004B7497">
      <w:pPr>
        <w:numPr>
          <w:ilvl w:val="0"/>
          <w:numId w:val="25"/>
        </w:numPr>
        <w:tabs>
          <w:tab w:val="left" w:pos="993"/>
        </w:tabs>
        <w:spacing w:before="120" w:after="120"/>
        <w:ind w:left="1321" w:firstLine="567"/>
        <w:jc w:val="both"/>
        <w:rPr>
          <w:b/>
          <w:i/>
        </w:rPr>
      </w:pPr>
      <w:r w:rsidRPr="00972021">
        <w:rPr>
          <w:b/>
          <w:i/>
        </w:rPr>
        <w:t xml:space="preserve">Коректив на касови постъпления </w:t>
      </w:r>
    </w:p>
    <w:p w:rsidR="004B7497" w:rsidRPr="00CC7CCD" w:rsidRDefault="004B7497" w:rsidP="004B7497">
      <w:pPr>
        <w:tabs>
          <w:tab w:val="left" w:pos="993"/>
        </w:tabs>
        <w:spacing w:before="120" w:after="120"/>
        <w:ind w:firstLine="567"/>
        <w:jc w:val="both"/>
        <w:rPr>
          <w:bCs/>
          <w:iCs/>
          <w:lang w:val="en-US"/>
        </w:rPr>
      </w:pPr>
      <w:r w:rsidRPr="00CC7CCD">
        <w:rPr>
          <w:bCs/>
          <w:iCs/>
        </w:rPr>
        <w:t>Към 30.06.2020 г. отчетеният коректив на касови постъпления възлиза на -1,</w:t>
      </w:r>
      <w:proofErr w:type="spellStart"/>
      <w:r w:rsidRPr="00CC7CCD">
        <w:rPr>
          <w:bCs/>
          <w:iCs/>
        </w:rPr>
        <w:t>1</w:t>
      </w:r>
      <w:proofErr w:type="spellEnd"/>
      <w:r w:rsidRPr="00CC7CCD">
        <w:rPr>
          <w:bCs/>
          <w:iCs/>
        </w:rPr>
        <w:t xml:space="preserve"> млн. лева. Той е формиран от принудително събрани суми от НАП, за които не е извършен превод на средства по сметката на ДФЗ-РА.</w:t>
      </w:r>
    </w:p>
    <w:p w:rsidR="004B7497" w:rsidRPr="00CC7CCD" w:rsidRDefault="004B7497" w:rsidP="004B7497">
      <w:pPr>
        <w:ind w:firstLine="567"/>
        <w:jc w:val="both"/>
        <w:rPr>
          <w:sz w:val="10"/>
        </w:rPr>
      </w:pPr>
    </w:p>
    <w:p w:rsidR="004B7497" w:rsidRPr="00CC7CCD" w:rsidRDefault="004B7497" w:rsidP="004B7497">
      <w:pPr>
        <w:numPr>
          <w:ilvl w:val="0"/>
          <w:numId w:val="28"/>
        </w:numPr>
        <w:tabs>
          <w:tab w:val="num" w:pos="540"/>
        </w:tabs>
        <w:spacing w:before="120" w:after="120" w:line="276" w:lineRule="auto"/>
        <w:contextualSpacing/>
        <w:jc w:val="both"/>
        <w:rPr>
          <w:b/>
          <w:lang w:eastAsia="bg-BG"/>
        </w:rPr>
      </w:pPr>
      <w:r w:rsidRPr="00CC7CCD">
        <w:rPr>
          <w:b/>
          <w:lang w:eastAsia="bg-BG"/>
        </w:rPr>
        <w:t xml:space="preserve">Разходи </w:t>
      </w:r>
    </w:p>
    <w:p w:rsidR="004B7497" w:rsidRPr="00CF4F0C" w:rsidRDefault="004B7497" w:rsidP="004B7497">
      <w:pPr>
        <w:ind w:firstLine="567"/>
        <w:jc w:val="both"/>
      </w:pPr>
      <w:r w:rsidRPr="00CF4F0C">
        <w:lastRenderedPageBreak/>
        <w:t xml:space="preserve">Общият размер на планираните за 2020 г. разходи по утвърдените годишни разчети на сметката за средства от Европейския съюз на Разплащателната агенция към ДФ „Земеделие” е 1 037,9 млн. лева. </w:t>
      </w:r>
    </w:p>
    <w:p w:rsidR="004B7497" w:rsidRPr="000E77FF" w:rsidRDefault="004B7497" w:rsidP="004B7497">
      <w:pPr>
        <w:ind w:firstLine="567"/>
        <w:jc w:val="both"/>
      </w:pPr>
      <w:r w:rsidRPr="000E77FF">
        <w:t>Уточненият план на субсидиите за текуща дейност и капиталовите трансфери за 2020 г. е 732,5 млн. лева. Изпълнението към 30.06.2020 г. възлиза на 20,0 % от годишния план и е в размер на 146,5 млн. лева.</w:t>
      </w:r>
    </w:p>
    <w:p w:rsidR="004B7497" w:rsidRPr="000E77FF" w:rsidRDefault="004B7497" w:rsidP="004B7497">
      <w:pPr>
        <w:ind w:firstLine="567"/>
        <w:jc w:val="both"/>
      </w:pPr>
      <w:r w:rsidRPr="000E77FF">
        <w:t>Разпределението на разходите е както следва:</w:t>
      </w:r>
    </w:p>
    <w:p w:rsidR="004B7497" w:rsidRPr="00EA47F3" w:rsidRDefault="004B7497" w:rsidP="004B7497">
      <w:pPr>
        <w:numPr>
          <w:ilvl w:val="0"/>
          <w:numId w:val="25"/>
        </w:numPr>
        <w:tabs>
          <w:tab w:val="left" w:pos="993"/>
        </w:tabs>
        <w:spacing w:before="120" w:after="120" w:line="276" w:lineRule="auto"/>
        <w:ind w:left="1321" w:firstLine="567"/>
        <w:jc w:val="both"/>
        <w:rPr>
          <w:b/>
          <w:i/>
        </w:rPr>
      </w:pPr>
      <w:r w:rsidRPr="00EA47F3">
        <w:rPr>
          <w:b/>
          <w:i/>
        </w:rPr>
        <w:t>Субсидии и други текущи трансфери за нефинансови предприятия</w:t>
      </w:r>
    </w:p>
    <w:p w:rsidR="004B7497" w:rsidRPr="00F63A0B" w:rsidRDefault="004B7497" w:rsidP="004B7497">
      <w:pPr>
        <w:ind w:firstLine="567"/>
        <w:jc w:val="both"/>
      </w:pPr>
      <w:r w:rsidRPr="00EA47F3">
        <w:t xml:space="preserve">За 2020 г. са планирани средства в размер на 278,3 млн. лв. за субсидии и други текущи трансфери за нефинансови предприятия. Отчетените към края на първото полугодие на 2020 г. средства представляват 18,9 % от планираните за годината и са в размер на 52,5 млн. лева. За </w:t>
      </w:r>
      <w:r w:rsidRPr="00F63A0B">
        <w:t>същия период на предходната година, изпълнението е 80,5 млн. лева.</w:t>
      </w:r>
    </w:p>
    <w:p w:rsidR="004B7497" w:rsidRPr="00F63A0B" w:rsidRDefault="004B7497" w:rsidP="004B7497">
      <w:pPr>
        <w:ind w:firstLine="567"/>
        <w:jc w:val="both"/>
      </w:pPr>
      <w:r w:rsidRPr="00F63A0B">
        <w:t>Изпълнението по дейности е както следва:</w:t>
      </w:r>
    </w:p>
    <w:p w:rsidR="004B7497" w:rsidRPr="00F63A0B" w:rsidRDefault="004B7497" w:rsidP="004B7497">
      <w:pPr>
        <w:ind w:firstLine="567"/>
        <w:contextualSpacing/>
        <w:jc w:val="both"/>
      </w:pPr>
      <w:r w:rsidRPr="00F63A0B">
        <w:t xml:space="preserve">- национално </w:t>
      </w:r>
      <w:proofErr w:type="spellStart"/>
      <w:r w:rsidRPr="00F63A0B">
        <w:t>съфинансиране</w:t>
      </w:r>
      <w:proofErr w:type="spellEnd"/>
      <w:r w:rsidRPr="00F63A0B">
        <w:t xml:space="preserve"> към ЕЗФРСР за директни плащания – 3</w:t>
      </w:r>
      <w:r w:rsidRPr="00F63A0B">
        <w:rPr>
          <w:lang w:val="en-US"/>
        </w:rPr>
        <w:t>8</w:t>
      </w:r>
      <w:r w:rsidRPr="00F63A0B">
        <w:t>,8 млн. лв., изпълнение 51,9 % на планираните за годината 74,7 млн. лева;</w:t>
      </w:r>
    </w:p>
    <w:p w:rsidR="004B7497" w:rsidRPr="00F63A0B" w:rsidRDefault="004B7497" w:rsidP="004B7497">
      <w:pPr>
        <w:ind w:firstLine="567"/>
        <w:contextualSpacing/>
        <w:jc w:val="both"/>
      </w:pPr>
      <w:r w:rsidRPr="00F63A0B">
        <w:t>- текущи субсидии по Програмата за развитие на селските райони – 1,4 млн. лв., изпълнение от 0,9 % на планираните за годината 147,4 млн. лева;</w:t>
      </w:r>
    </w:p>
    <w:p w:rsidR="004B7497" w:rsidRPr="00F63A0B" w:rsidRDefault="004B7497" w:rsidP="004B7497">
      <w:pPr>
        <w:tabs>
          <w:tab w:val="left" w:pos="851"/>
          <w:tab w:val="left" w:pos="1134"/>
        </w:tabs>
        <w:ind w:firstLine="567"/>
        <w:contextualSpacing/>
        <w:jc w:val="both"/>
      </w:pPr>
      <w:r w:rsidRPr="00F63A0B">
        <w:t>- текущи субсидии за пазарни мерки – 12,3 млн. лв., изпълнение от 21,9 % на планираните за 2020 г. 56,2 млн. лева.</w:t>
      </w:r>
    </w:p>
    <w:p w:rsidR="004B7497" w:rsidRPr="0096671C" w:rsidRDefault="004B7497" w:rsidP="004B7497">
      <w:pPr>
        <w:numPr>
          <w:ilvl w:val="0"/>
          <w:numId w:val="25"/>
        </w:numPr>
        <w:tabs>
          <w:tab w:val="left" w:pos="993"/>
        </w:tabs>
        <w:spacing w:before="120" w:after="120" w:line="276" w:lineRule="auto"/>
        <w:ind w:left="1321" w:firstLine="567"/>
        <w:jc w:val="both"/>
        <w:rPr>
          <w:b/>
          <w:i/>
        </w:rPr>
      </w:pPr>
      <w:r w:rsidRPr="00F63A0B">
        <w:rPr>
          <w:b/>
          <w:i/>
        </w:rPr>
        <w:t xml:space="preserve">Субсидии и други текущи трансфери за юридически лица с </w:t>
      </w:r>
      <w:r w:rsidRPr="0096671C">
        <w:rPr>
          <w:b/>
          <w:i/>
        </w:rPr>
        <w:t>нестопанска цел</w:t>
      </w:r>
    </w:p>
    <w:p w:rsidR="004B7497" w:rsidRPr="0096671C" w:rsidRDefault="004B7497" w:rsidP="004B7497">
      <w:pPr>
        <w:ind w:firstLine="567"/>
        <w:contextualSpacing/>
        <w:jc w:val="both"/>
      </w:pPr>
      <w:r w:rsidRPr="0096671C">
        <w:tab/>
        <w:t>За 2020 г. за субсидии и други текущи трансфери за юридически лица с нестопанска цел са планирани 12,5 млн. лева. Към края на първото полугодие са отчетени разходи в размер на 7,1 млн. лв. при 7,2 млн. лв. за същия период на 2019 година.</w:t>
      </w:r>
    </w:p>
    <w:p w:rsidR="004B7497" w:rsidRPr="0096671C" w:rsidRDefault="004B7497" w:rsidP="004B7497">
      <w:pPr>
        <w:ind w:firstLine="567"/>
        <w:contextualSpacing/>
        <w:jc w:val="both"/>
      </w:pPr>
      <w:r w:rsidRPr="0096671C">
        <w:t>Разпределението по дейности е както следва:</w:t>
      </w:r>
    </w:p>
    <w:p w:rsidR="004B7497" w:rsidRPr="0096671C" w:rsidRDefault="004B7497" w:rsidP="004B7497">
      <w:pPr>
        <w:ind w:firstLine="567"/>
        <w:contextualSpacing/>
        <w:jc w:val="both"/>
      </w:pPr>
      <w:r w:rsidRPr="0096671C">
        <w:t xml:space="preserve">-  национално </w:t>
      </w:r>
      <w:proofErr w:type="spellStart"/>
      <w:r w:rsidRPr="0096671C">
        <w:t>съфинансиране</w:t>
      </w:r>
      <w:proofErr w:type="spellEnd"/>
      <w:r w:rsidRPr="0096671C">
        <w:t xml:space="preserve"> към ЕЗФРСР за директни плащания  – 0,1 млн. лева; </w:t>
      </w:r>
    </w:p>
    <w:p w:rsidR="004B7497" w:rsidRPr="0096671C" w:rsidRDefault="004B7497" w:rsidP="004B7497">
      <w:pPr>
        <w:tabs>
          <w:tab w:val="left" w:pos="851"/>
        </w:tabs>
        <w:ind w:firstLine="567"/>
        <w:contextualSpacing/>
        <w:jc w:val="both"/>
      </w:pPr>
      <w:r w:rsidRPr="0096671C">
        <w:t>-  текущи субсидии по ПМДР – 1,4 млн. лв. при планирани 0,8 млн. лева;</w:t>
      </w:r>
    </w:p>
    <w:p w:rsidR="004B7497" w:rsidRPr="0096671C" w:rsidRDefault="004B7497" w:rsidP="004B7497">
      <w:pPr>
        <w:ind w:firstLine="567"/>
        <w:contextualSpacing/>
        <w:jc w:val="both"/>
      </w:pPr>
      <w:r w:rsidRPr="0096671C">
        <w:t>- текущи субсидии по Програмата за развитие на селските райони – 5,6 млн. лв., изпълнение 47,9 % на планираните 11,7 млн. лева;</w:t>
      </w:r>
    </w:p>
    <w:p w:rsidR="004B7497" w:rsidRPr="0096671C" w:rsidRDefault="004B7497" w:rsidP="004B7497">
      <w:pPr>
        <w:ind w:firstLine="567"/>
        <w:contextualSpacing/>
        <w:jc w:val="both"/>
      </w:pPr>
      <w:r w:rsidRPr="0096671C">
        <w:t>-  текущи субсидии за пазарни мерки – няма усвоени средства през първото полугодие при планирани за годината 0,1 млн. лева.</w:t>
      </w:r>
    </w:p>
    <w:p w:rsidR="004B7497" w:rsidRPr="0096671C" w:rsidRDefault="004B7497" w:rsidP="004B7497">
      <w:pPr>
        <w:numPr>
          <w:ilvl w:val="0"/>
          <w:numId w:val="25"/>
        </w:numPr>
        <w:tabs>
          <w:tab w:val="left" w:pos="993"/>
        </w:tabs>
        <w:spacing w:before="120" w:after="120" w:line="276" w:lineRule="auto"/>
        <w:ind w:left="1321" w:firstLine="567"/>
        <w:jc w:val="both"/>
        <w:rPr>
          <w:b/>
          <w:i/>
        </w:rPr>
      </w:pPr>
      <w:r w:rsidRPr="0096671C">
        <w:rPr>
          <w:b/>
          <w:i/>
        </w:rPr>
        <w:t>Капиталови трансфери за нефинансови предприятия</w:t>
      </w:r>
    </w:p>
    <w:p w:rsidR="004B7497" w:rsidRPr="00F54A7C" w:rsidRDefault="004B7497" w:rsidP="004B7497">
      <w:pPr>
        <w:ind w:firstLine="567"/>
        <w:jc w:val="both"/>
      </w:pPr>
      <w:r w:rsidRPr="00F54A7C">
        <w:t>За 2020 г. за капиталови трансфери за нефинансови предприятия са планирани 412,9 млн. лева. Към 30.06.2020 г. са отчетени 82,3 млн. лв., което е 19,9 % изпълнение на годишния план. Изпълнението за същия период на предходната година е 86,0 млн. лева.</w:t>
      </w:r>
    </w:p>
    <w:p w:rsidR="004B7497" w:rsidRPr="00F54A7C" w:rsidRDefault="004B7497" w:rsidP="004B7497">
      <w:pPr>
        <w:ind w:firstLine="567"/>
        <w:jc w:val="both"/>
      </w:pPr>
      <w:r w:rsidRPr="00F54A7C">
        <w:t>Разпределението по дейности е както следва:</w:t>
      </w:r>
    </w:p>
    <w:p w:rsidR="004B7497" w:rsidRPr="00F54A7C" w:rsidRDefault="004B7497" w:rsidP="004B7497">
      <w:pPr>
        <w:ind w:firstLine="567"/>
        <w:contextualSpacing/>
        <w:jc w:val="both"/>
      </w:pPr>
      <w:r w:rsidRPr="00F54A7C">
        <w:t xml:space="preserve">-  капиталови трансфери по Програмата за морско дело и рибарство </w:t>
      </w:r>
      <w:r w:rsidRPr="00F54A7C">
        <w:rPr>
          <w:lang w:val="en-US"/>
        </w:rPr>
        <w:t>(</w:t>
      </w:r>
      <w:r w:rsidRPr="00F54A7C">
        <w:t>ПМДР</w:t>
      </w:r>
      <w:r w:rsidRPr="00F54A7C">
        <w:rPr>
          <w:lang w:val="en-US"/>
        </w:rPr>
        <w:t>)</w:t>
      </w:r>
      <w:r w:rsidRPr="00F54A7C">
        <w:t xml:space="preserve"> – 2,0 млн. лв., което е 4,</w:t>
      </w:r>
      <w:proofErr w:type="spellStart"/>
      <w:r w:rsidRPr="00F54A7C">
        <w:t>4</w:t>
      </w:r>
      <w:proofErr w:type="spellEnd"/>
      <w:r w:rsidRPr="00F54A7C">
        <w:t xml:space="preserve"> %  изпълнение на годишния план (45,9 млн. лева);</w:t>
      </w:r>
    </w:p>
    <w:p w:rsidR="004B7497" w:rsidRPr="00F54A7C" w:rsidRDefault="004B7497" w:rsidP="004B7497">
      <w:pPr>
        <w:ind w:firstLine="567"/>
        <w:contextualSpacing/>
        <w:jc w:val="both"/>
      </w:pPr>
      <w:r w:rsidRPr="00F54A7C">
        <w:t>-  капиталови трансфери по ПРСР – 78,9 млн. лв., 21,6 %  изпълнение на годишния план (364,7 млн. лв.);</w:t>
      </w:r>
    </w:p>
    <w:p w:rsidR="004B7497" w:rsidRPr="00F54A7C" w:rsidRDefault="004B7497" w:rsidP="004B7497">
      <w:pPr>
        <w:ind w:firstLine="567"/>
        <w:contextualSpacing/>
        <w:jc w:val="both"/>
      </w:pPr>
      <w:r w:rsidRPr="00F54A7C">
        <w:t xml:space="preserve">-  капиталови трансфери за пазарни мерки – 1,4 млн. лв. при планирани в разчетите за годината 2,3 млн. лева. </w:t>
      </w:r>
    </w:p>
    <w:p w:rsidR="004B7497" w:rsidRPr="00747AE5" w:rsidRDefault="004B7497" w:rsidP="004B7497">
      <w:pPr>
        <w:numPr>
          <w:ilvl w:val="0"/>
          <w:numId w:val="25"/>
        </w:numPr>
        <w:tabs>
          <w:tab w:val="left" w:pos="993"/>
        </w:tabs>
        <w:spacing w:before="120" w:after="120" w:line="276" w:lineRule="auto"/>
        <w:ind w:left="1321" w:firstLine="567"/>
        <w:jc w:val="both"/>
        <w:rPr>
          <w:b/>
          <w:i/>
        </w:rPr>
      </w:pPr>
      <w:r w:rsidRPr="00747AE5">
        <w:rPr>
          <w:b/>
          <w:i/>
        </w:rPr>
        <w:t>Капиталови трансфери за организации с нестопанска цел</w:t>
      </w:r>
    </w:p>
    <w:p w:rsidR="004B7497" w:rsidRDefault="004B7497" w:rsidP="004B7497">
      <w:pPr>
        <w:ind w:firstLine="567"/>
        <w:jc w:val="both"/>
      </w:pPr>
      <w:r w:rsidRPr="00747AE5">
        <w:t>За 2020 г. са планирани капиталови трансфери за организации с нестопанска цел в размер на 28,8 млн. лева. Към 30.06.2020 г. са отчетени капиталови трансфери в размер на 4,7 млн. лв., 1</w:t>
      </w:r>
      <w:r>
        <w:t>6,0</w:t>
      </w:r>
      <w:r w:rsidRPr="00747AE5">
        <w:t xml:space="preserve"> % изпълнение на годишния план</w:t>
      </w:r>
      <w:r>
        <w:t>, при отчетени 7,2</w:t>
      </w:r>
      <w:r w:rsidRPr="00747AE5">
        <w:t xml:space="preserve"> </w:t>
      </w:r>
      <w:r>
        <w:t xml:space="preserve">млн. лв. за същия период на предходната година. </w:t>
      </w:r>
    </w:p>
    <w:p w:rsidR="004B7497" w:rsidRDefault="004B7497" w:rsidP="004B7497">
      <w:pPr>
        <w:ind w:firstLine="567"/>
        <w:jc w:val="both"/>
      </w:pPr>
      <w:r>
        <w:t>Разпределението по дейности е както следва:</w:t>
      </w:r>
    </w:p>
    <w:p w:rsidR="004B7497" w:rsidRPr="00747AE5" w:rsidRDefault="004B7497" w:rsidP="004B7497">
      <w:pPr>
        <w:ind w:firstLine="567"/>
        <w:contextualSpacing/>
        <w:jc w:val="both"/>
      </w:pPr>
      <w:r w:rsidRPr="00747AE5">
        <w:t xml:space="preserve">-  капиталови трансфери по Програмата за морско дело и рибарство </w:t>
      </w:r>
      <w:r w:rsidRPr="00747AE5">
        <w:rPr>
          <w:lang w:val="en-US"/>
        </w:rPr>
        <w:t>(</w:t>
      </w:r>
      <w:r w:rsidRPr="00747AE5">
        <w:t>ПМДР</w:t>
      </w:r>
      <w:r w:rsidRPr="00747AE5">
        <w:rPr>
          <w:lang w:val="en-US"/>
        </w:rPr>
        <w:t>)</w:t>
      </w:r>
      <w:r w:rsidRPr="00747AE5">
        <w:t xml:space="preserve"> – няма усвоени средства при планирани за годината 2,0 млн. лв.;</w:t>
      </w:r>
    </w:p>
    <w:p w:rsidR="004B7497" w:rsidRPr="00747AE5" w:rsidRDefault="004B7497" w:rsidP="004B7497">
      <w:pPr>
        <w:ind w:firstLine="567"/>
        <w:contextualSpacing/>
        <w:jc w:val="both"/>
      </w:pPr>
      <w:r w:rsidRPr="00747AE5">
        <w:lastRenderedPageBreak/>
        <w:t>-  капиталови трансфери по ПРСР – 4,7 млн. лв., 17,2 %  изпълнение на годишния план (26,8 млн. лв.).</w:t>
      </w:r>
    </w:p>
    <w:p w:rsidR="004B7497" w:rsidRPr="00747AE5" w:rsidRDefault="004B7497" w:rsidP="004B7497">
      <w:pPr>
        <w:ind w:firstLine="567"/>
        <w:contextualSpacing/>
        <w:jc w:val="both"/>
      </w:pPr>
      <w:r w:rsidRPr="00747AE5">
        <w:t>Планираните разходи в размер 305,3 млн. лв., в т.ч.: за заплати и възнаграждения на персонала 9,3 млн. лв., задължителни осигурителни вноски от работодатели 2,7 млн. лв., издръжка 11,4 млн. лв. и придобиване на ДМА 281,9 млн. лв., подлежат на отчитане в § 63-00 „Трансфери между сметки за средствата от ЕС“.</w:t>
      </w:r>
    </w:p>
    <w:p w:rsidR="004B7497" w:rsidRPr="00747AE5" w:rsidRDefault="004B7497" w:rsidP="004B7497">
      <w:pPr>
        <w:ind w:firstLine="567"/>
        <w:jc w:val="both"/>
        <w:rPr>
          <w:b/>
          <w:sz w:val="12"/>
          <w:u w:val="single"/>
        </w:rPr>
      </w:pPr>
    </w:p>
    <w:p w:rsidR="004B7497" w:rsidRPr="00747AE5" w:rsidRDefault="004B7497" w:rsidP="004B7497">
      <w:pPr>
        <w:numPr>
          <w:ilvl w:val="0"/>
          <w:numId w:val="28"/>
        </w:numPr>
        <w:tabs>
          <w:tab w:val="num" w:pos="540"/>
        </w:tabs>
        <w:spacing w:before="120" w:after="120" w:line="276" w:lineRule="auto"/>
        <w:contextualSpacing/>
        <w:jc w:val="both"/>
        <w:rPr>
          <w:b/>
          <w:lang w:eastAsia="bg-BG"/>
        </w:rPr>
      </w:pPr>
      <w:r w:rsidRPr="00747AE5">
        <w:rPr>
          <w:b/>
          <w:lang w:eastAsia="bg-BG"/>
        </w:rPr>
        <w:t xml:space="preserve">Трансфери </w:t>
      </w:r>
    </w:p>
    <w:p w:rsidR="004B7497" w:rsidRPr="00BA1836" w:rsidRDefault="004B7497" w:rsidP="004B7497">
      <w:pPr>
        <w:ind w:firstLine="567"/>
        <w:jc w:val="both"/>
        <w:rPr>
          <w:lang w:val="en-US"/>
        </w:rPr>
      </w:pPr>
      <w:r w:rsidRPr="00747AE5">
        <w:t>В частта на трансферите, в касовия отчет на ДФЗ-РА към 30.06.2020 г. са отразени следните касови потоци:</w:t>
      </w:r>
    </w:p>
    <w:p w:rsidR="004B7497" w:rsidRPr="00747AE5" w:rsidRDefault="004B7497" w:rsidP="004B7497">
      <w:pPr>
        <w:numPr>
          <w:ilvl w:val="0"/>
          <w:numId w:val="25"/>
        </w:numPr>
        <w:tabs>
          <w:tab w:val="left" w:pos="993"/>
        </w:tabs>
        <w:spacing w:before="120" w:after="120" w:line="276" w:lineRule="auto"/>
        <w:ind w:left="1321" w:firstLine="567"/>
        <w:jc w:val="both"/>
        <w:rPr>
          <w:b/>
          <w:i/>
        </w:rPr>
      </w:pPr>
      <w:r w:rsidRPr="00747AE5">
        <w:rPr>
          <w:b/>
          <w:i/>
        </w:rPr>
        <w:t xml:space="preserve">Трансфери между бюджети и сметки за средства от Европейския съюз </w:t>
      </w:r>
    </w:p>
    <w:p w:rsidR="004B7497" w:rsidRPr="00BA1836" w:rsidRDefault="004B7497" w:rsidP="004B7497">
      <w:pPr>
        <w:ind w:firstLine="567"/>
        <w:jc w:val="both"/>
      </w:pPr>
      <w:r w:rsidRPr="00BA1836">
        <w:t xml:space="preserve">Получените трансфери от бюджетни сметки на бюджетни организации и общини са формирани при възстановяване на суми по вземания по ПРСР, ПМДР и директни плащания. Към 30.06.2020 г. техният размер е 0,7 млн. лева. </w:t>
      </w:r>
    </w:p>
    <w:p w:rsidR="004B7497" w:rsidRPr="00BA1836" w:rsidRDefault="004B7497" w:rsidP="004B7497">
      <w:pPr>
        <w:ind w:firstLine="567"/>
        <w:jc w:val="both"/>
      </w:pPr>
      <w:r w:rsidRPr="00BA1836">
        <w:tab/>
        <w:t>Предоставените през първото полугодие на 2020 г. трансфери във връзка с чл.14 от Закона за подпомагане на земеделските производители възлизат на 0,2 млн. лева.</w:t>
      </w:r>
    </w:p>
    <w:p w:rsidR="004B7497" w:rsidRPr="00BA1836" w:rsidRDefault="004B7497" w:rsidP="004B7497">
      <w:pPr>
        <w:numPr>
          <w:ilvl w:val="0"/>
          <w:numId w:val="25"/>
        </w:numPr>
        <w:tabs>
          <w:tab w:val="left" w:pos="993"/>
        </w:tabs>
        <w:spacing w:before="120" w:after="120" w:line="276" w:lineRule="auto"/>
        <w:ind w:left="1321" w:firstLine="567"/>
        <w:jc w:val="both"/>
        <w:rPr>
          <w:b/>
          <w:i/>
        </w:rPr>
      </w:pPr>
      <w:r w:rsidRPr="00BA1836">
        <w:rPr>
          <w:b/>
          <w:i/>
        </w:rPr>
        <w:t>Трансфери между сметки за средства от Европейския съюз:</w:t>
      </w:r>
    </w:p>
    <w:p w:rsidR="004B7497" w:rsidRPr="00F979CF" w:rsidRDefault="004B7497" w:rsidP="004B7497">
      <w:pPr>
        <w:ind w:firstLine="567"/>
        <w:jc w:val="both"/>
      </w:pPr>
      <w:r w:rsidRPr="00F979CF">
        <w:t>Предоставените трансфери са формирани от изплатените субсидии и възстановените суми от публични бенефициенти. Към края на първото полугодие на 2020 г. са отчетени 110,3 млн. лв., в т.ч.:</w:t>
      </w:r>
    </w:p>
    <w:p w:rsidR="004B7497" w:rsidRPr="004A79D4" w:rsidRDefault="004B7497" w:rsidP="004B7497">
      <w:pPr>
        <w:pStyle w:val="ListParagraph"/>
        <w:numPr>
          <w:ilvl w:val="0"/>
          <w:numId w:val="24"/>
        </w:numPr>
        <w:tabs>
          <w:tab w:val="left" w:pos="1080"/>
        </w:tabs>
        <w:spacing w:line="240" w:lineRule="auto"/>
        <w:ind w:left="706" w:firstLine="14"/>
        <w:rPr>
          <w:rFonts w:ascii="Times New Roman" w:hAnsi="Times New Roman"/>
        </w:rPr>
      </w:pPr>
      <w:r w:rsidRPr="004A79D4">
        <w:rPr>
          <w:rFonts w:ascii="Times New Roman" w:hAnsi="Times New Roman"/>
        </w:rPr>
        <w:t>по Програмата за развитие на селските райони – 109,6 млн. лв.;</w:t>
      </w:r>
    </w:p>
    <w:p w:rsidR="004B7497" w:rsidRPr="004A79D4" w:rsidRDefault="004B7497" w:rsidP="004B7497">
      <w:pPr>
        <w:pStyle w:val="ListParagraph"/>
        <w:numPr>
          <w:ilvl w:val="0"/>
          <w:numId w:val="24"/>
        </w:numPr>
        <w:tabs>
          <w:tab w:val="left" w:pos="1080"/>
        </w:tabs>
        <w:spacing w:line="240" w:lineRule="auto"/>
        <w:ind w:left="706" w:firstLine="14"/>
        <w:rPr>
          <w:rFonts w:ascii="Times New Roman" w:hAnsi="Times New Roman"/>
        </w:rPr>
      </w:pPr>
      <w:r w:rsidRPr="004A79D4">
        <w:rPr>
          <w:rFonts w:ascii="Times New Roman" w:hAnsi="Times New Roman"/>
        </w:rPr>
        <w:t xml:space="preserve">национално </w:t>
      </w:r>
      <w:proofErr w:type="spellStart"/>
      <w:r w:rsidRPr="004A79D4">
        <w:rPr>
          <w:rFonts w:ascii="Times New Roman" w:hAnsi="Times New Roman"/>
        </w:rPr>
        <w:t>съфинансиране</w:t>
      </w:r>
      <w:proofErr w:type="spellEnd"/>
      <w:r w:rsidRPr="004A79D4">
        <w:rPr>
          <w:rFonts w:ascii="Times New Roman" w:hAnsi="Times New Roman"/>
        </w:rPr>
        <w:t xml:space="preserve"> към директни плащания: 0,1 млн. лв.;</w:t>
      </w:r>
    </w:p>
    <w:p w:rsidR="004B7497" w:rsidRPr="004A79D4" w:rsidRDefault="004B7497" w:rsidP="004B7497">
      <w:pPr>
        <w:pStyle w:val="ListParagraph"/>
        <w:numPr>
          <w:ilvl w:val="0"/>
          <w:numId w:val="24"/>
        </w:numPr>
        <w:tabs>
          <w:tab w:val="left" w:pos="1080"/>
        </w:tabs>
        <w:spacing w:line="240" w:lineRule="auto"/>
        <w:ind w:left="706" w:firstLine="14"/>
        <w:rPr>
          <w:rFonts w:ascii="Times New Roman" w:hAnsi="Times New Roman"/>
        </w:rPr>
      </w:pPr>
      <w:r w:rsidRPr="004A79D4">
        <w:rPr>
          <w:rFonts w:ascii="Times New Roman" w:hAnsi="Times New Roman"/>
        </w:rPr>
        <w:t>по Програмата за морско дело и рибарство: 0,5 млн. лв.;</w:t>
      </w:r>
    </w:p>
    <w:p w:rsidR="004B7497" w:rsidRPr="004A79D4" w:rsidRDefault="004B7497" w:rsidP="004B7497">
      <w:pPr>
        <w:pStyle w:val="ListParagraph"/>
        <w:numPr>
          <w:ilvl w:val="0"/>
          <w:numId w:val="24"/>
        </w:numPr>
        <w:tabs>
          <w:tab w:val="left" w:pos="1080"/>
        </w:tabs>
        <w:spacing w:line="240" w:lineRule="auto"/>
        <w:ind w:left="706" w:firstLine="14"/>
        <w:rPr>
          <w:rFonts w:ascii="Times New Roman" w:hAnsi="Times New Roman"/>
        </w:rPr>
      </w:pPr>
      <w:r w:rsidRPr="004A79D4">
        <w:rPr>
          <w:rFonts w:ascii="Times New Roman" w:hAnsi="Times New Roman"/>
        </w:rPr>
        <w:t>училищни схеми: 0,02 млн. лева.</w:t>
      </w:r>
    </w:p>
    <w:p w:rsidR="004B7497" w:rsidRPr="004A79D4" w:rsidRDefault="004B7497" w:rsidP="004B7497">
      <w:pPr>
        <w:ind w:firstLine="567"/>
        <w:jc w:val="both"/>
      </w:pPr>
      <w:r w:rsidRPr="004A79D4">
        <w:t>В сравнение с първото полугодие на 2019 г. се наблюдава намаление в размера на предоставените трансфери (по ПРСР с 6,0 млн. лв. и по ПМДР с 2,3 млн. лв.).</w:t>
      </w:r>
    </w:p>
    <w:p w:rsidR="004B7497" w:rsidRPr="004A79D4" w:rsidRDefault="004B7497" w:rsidP="004B7497">
      <w:pPr>
        <w:tabs>
          <w:tab w:val="left" w:pos="540"/>
        </w:tabs>
        <w:ind w:firstLine="567"/>
        <w:jc w:val="both"/>
      </w:pPr>
      <w:r w:rsidRPr="004A79D4">
        <w:rPr>
          <w:lang w:eastAsia="bg-BG"/>
        </w:rPr>
        <w:tab/>
      </w:r>
    </w:p>
    <w:p w:rsidR="004B7497" w:rsidRPr="004A79D4" w:rsidRDefault="004B7497" w:rsidP="004B7497">
      <w:pPr>
        <w:numPr>
          <w:ilvl w:val="0"/>
          <w:numId w:val="28"/>
        </w:numPr>
        <w:tabs>
          <w:tab w:val="num" w:pos="540"/>
        </w:tabs>
        <w:spacing w:before="120" w:after="120" w:line="276" w:lineRule="auto"/>
        <w:contextualSpacing/>
        <w:jc w:val="both"/>
        <w:rPr>
          <w:b/>
          <w:lang w:eastAsia="bg-BG"/>
        </w:rPr>
      </w:pPr>
      <w:r w:rsidRPr="004A79D4">
        <w:rPr>
          <w:b/>
          <w:lang w:eastAsia="bg-BG"/>
        </w:rPr>
        <w:t>Финансиране</w:t>
      </w:r>
    </w:p>
    <w:p w:rsidR="004B7497" w:rsidRPr="004A79D4" w:rsidRDefault="004B7497" w:rsidP="004B7497">
      <w:pPr>
        <w:ind w:firstLine="567"/>
        <w:jc w:val="both"/>
      </w:pPr>
      <w:r w:rsidRPr="004A79D4">
        <w:t>Към 30.06.2020 г. извършените плащания, възстановените суми, разчетът с централния бюджет и операциите с чужди средства, включени в отчетността в „Друго финансиране“ са в размер на -40,7 млн. лева.</w:t>
      </w:r>
    </w:p>
    <w:p w:rsidR="004B7497" w:rsidRPr="00F15873" w:rsidRDefault="004B7497" w:rsidP="004B7497">
      <w:pPr>
        <w:ind w:firstLine="567"/>
        <w:jc w:val="both"/>
        <w:rPr>
          <w:lang w:eastAsia="bg-BG"/>
        </w:rPr>
      </w:pPr>
      <w:r w:rsidRPr="00F15873">
        <w:rPr>
          <w:lang w:eastAsia="bg-BG"/>
        </w:rPr>
        <w:t xml:space="preserve">Към 30.06.2020 г. са отчетени плащания в общ размер 876,9 млн. лв., 47,1 % от годишните разчети </w:t>
      </w:r>
      <w:r w:rsidRPr="00F15873">
        <w:rPr>
          <w:lang w:val="en-US" w:eastAsia="bg-BG"/>
        </w:rPr>
        <w:t>(</w:t>
      </w:r>
      <w:r w:rsidRPr="00F15873">
        <w:rPr>
          <w:lang w:eastAsia="bg-BG"/>
        </w:rPr>
        <w:t>1 861,0 млн. лв.</w:t>
      </w:r>
      <w:r w:rsidRPr="00F15873">
        <w:rPr>
          <w:lang w:val="en-US" w:eastAsia="bg-BG"/>
        </w:rPr>
        <w:t>)</w:t>
      </w:r>
      <w:r w:rsidRPr="00F15873">
        <w:rPr>
          <w:lang w:eastAsia="bg-BG"/>
        </w:rPr>
        <w:t xml:space="preserve"> при 947,2 млн. лв. за първото полугодие на 2019 г.</w:t>
      </w:r>
    </w:p>
    <w:p w:rsidR="004B7497" w:rsidRPr="00F15873" w:rsidRDefault="004B7497" w:rsidP="004B7497">
      <w:pPr>
        <w:ind w:firstLine="567"/>
        <w:jc w:val="both"/>
        <w:rPr>
          <w:lang w:eastAsia="bg-BG"/>
        </w:rPr>
      </w:pPr>
      <w:r w:rsidRPr="00F15873">
        <w:rPr>
          <w:lang w:eastAsia="bg-BG"/>
        </w:rPr>
        <w:t>Отчетени са плащания по следните направления:</w:t>
      </w:r>
    </w:p>
    <w:p w:rsidR="004B7497" w:rsidRPr="001E1A06" w:rsidRDefault="004B7497" w:rsidP="004B7497">
      <w:pPr>
        <w:numPr>
          <w:ilvl w:val="0"/>
          <w:numId w:val="30"/>
        </w:numPr>
        <w:tabs>
          <w:tab w:val="left" w:pos="993"/>
        </w:tabs>
        <w:ind w:left="0" w:firstLine="562"/>
        <w:contextualSpacing/>
        <w:jc w:val="both"/>
        <w:rPr>
          <w:szCs w:val="20"/>
        </w:rPr>
      </w:pPr>
      <w:r w:rsidRPr="001E1A06">
        <w:rPr>
          <w:szCs w:val="20"/>
        </w:rPr>
        <w:t>759,7 млн. лв. за директни плащания за сметка на ЕФГЗ, представляващи 48,5 % от планираните 1 567,4 млн. лева;</w:t>
      </w:r>
    </w:p>
    <w:p w:rsidR="004B7497" w:rsidRPr="001E1A06" w:rsidRDefault="004B7497" w:rsidP="004B7497">
      <w:pPr>
        <w:numPr>
          <w:ilvl w:val="0"/>
          <w:numId w:val="30"/>
        </w:numPr>
        <w:tabs>
          <w:tab w:val="left" w:pos="993"/>
        </w:tabs>
        <w:ind w:left="0" w:firstLine="562"/>
        <w:contextualSpacing/>
        <w:jc w:val="both"/>
        <w:rPr>
          <w:szCs w:val="20"/>
        </w:rPr>
      </w:pPr>
      <w:r w:rsidRPr="001E1A06">
        <w:rPr>
          <w:szCs w:val="20"/>
        </w:rPr>
        <w:t>118,8 млн. лв. средства от ЕЗФРСР, прехвърлени към директни плащания, което е 53,0 % от планираните 224,2 млн. лева;</w:t>
      </w:r>
    </w:p>
    <w:p w:rsidR="004B7497" w:rsidRPr="001E1A06" w:rsidRDefault="004B7497" w:rsidP="004B7497">
      <w:pPr>
        <w:numPr>
          <w:ilvl w:val="0"/>
          <w:numId w:val="30"/>
        </w:numPr>
        <w:tabs>
          <w:tab w:val="left" w:pos="993"/>
        </w:tabs>
        <w:ind w:left="0" w:firstLine="562"/>
        <w:contextualSpacing/>
        <w:jc w:val="both"/>
        <w:rPr>
          <w:szCs w:val="20"/>
        </w:rPr>
      </w:pPr>
      <w:r w:rsidRPr="001E1A06">
        <w:rPr>
          <w:szCs w:val="20"/>
        </w:rPr>
        <w:t>за пазарни мерки са отчетени възстановени от бенефициенти плащания в размер на 1,6 млн. лв. при годишен разчет 39,5 млн. лева;</w:t>
      </w:r>
    </w:p>
    <w:p w:rsidR="004B7497" w:rsidRPr="001E1A06" w:rsidRDefault="004B7497" w:rsidP="004B7497">
      <w:pPr>
        <w:numPr>
          <w:ilvl w:val="0"/>
          <w:numId w:val="30"/>
        </w:numPr>
        <w:tabs>
          <w:tab w:val="left" w:pos="993"/>
        </w:tabs>
        <w:ind w:left="0" w:firstLine="562"/>
        <w:contextualSpacing/>
        <w:jc w:val="both"/>
        <w:rPr>
          <w:szCs w:val="20"/>
        </w:rPr>
      </w:pPr>
      <w:r w:rsidRPr="001E1A06">
        <w:rPr>
          <w:szCs w:val="20"/>
        </w:rPr>
        <w:t>0,1 млн. лв. суми за преструктуриране, при планирани 29,8 млн. лева.</w:t>
      </w:r>
    </w:p>
    <w:p w:rsidR="004B7497" w:rsidRPr="00245EC9" w:rsidRDefault="004B7497" w:rsidP="004B7497">
      <w:pPr>
        <w:ind w:firstLine="567"/>
        <w:jc w:val="both"/>
        <w:rPr>
          <w:color w:val="4F81BD" w:themeColor="accent1"/>
          <w:sz w:val="12"/>
          <w:szCs w:val="12"/>
          <w:lang w:eastAsia="bg-BG"/>
        </w:rPr>
      </w:pPr>
    </w:p>
    <w:p w:rsidR="004B7497" w:rsidRPr="001E1A06" w:rsidRDefault="004B7497" w:rsidP="004B7497">
      <w:pPr>
        <w:ind w:firstLine="567"/>
        <w:jc w:val="both"/>
        <w:rPr>
          <w:lang w:eastAsia="bg-BG"/>
        </w:rPr>
      </w:pPr>
      <w:r w:rsidRPr="001E1A06">
        <w:rPr>
          <w:lang w:eastAsia="bg-BG"/>
        </w:rPr>
        <w:t>Възстановените суми от Европейския съюз към 30.06.2020 г. възлизат общо на 1 465,5</w:t>
      </w:r>
      <w:r w:rsidRPr="001E1A06">
        <w:t> </w:t>
      </w:r>
      <w:r w:rsidRPr="001E1A06">
        <w:rPr>
          <w:lang w:eastAsia="bg-BG"/>
        </w:rPr>
        <w:t>млн. лв., което е 79,6 % от планираните 1 842,0 млн. лв. и с 3,0 млн. лв. повече от възстановените за същия период на предходната година.</w:t>
      </w:r>
    </w:p>
    <w:p w:rsidR="004B7497" w:rsidRPr="00E921BE" w:rsidRDefault="004B7497" w:rsidP="004B7497">
      <w:pPr>
        <w:ind w:firstLine="567"/>
        <w:jc w:val="both"/>
        <w:rPr>
          <w:lang w:eastAsia="bg-BG"/>
        </w:rPr>
      </w:pPr>
      <w:r w:rsidRPr="00E921BE">
        <w:rPr>
          <w:lang w:eastAsia="bg-BG"/>
        </w:rPr>
        <w:t>Възстановени са суми по следните направления:</w:t>
      </w:r>
    </w:p>
    <w:p w:rsidR="004B7497" w:rsidRPr="00E921BE" w:rsidRDefault="004B7497" w:rsidP="004B7497">
      <w:pPr>
        <w:numPr>
          <w:ilvl w:val="0"/>
          <w:numId w:val="30"/>
        </w:numPr>
        <w:tabs>
          <w:tab w:val="left" w:pos="993"/>
        </w:tabs>
        <w:ind w:left="0" w:firstLine="562"/>
        <w:contextualSpacing/>
        <w:jc w:val="both"/>
        <w:rPr>
          <w:szCs w:val="20"/>
        </w:rPr>
      </w:pPr>
      <w:r w:rsidRPr="00E921BE">
        <w:rPr>
          <w:szCs w:val="20"/>
        </w:rPr>
        <w:t>1 374,5 млн. лв. за директни плащания от ЕФГЗ – 88,2 % от заложените 1 558,2 млн. лева;</w:t>
      </w:r>
    </w:p>
    <w:p w:rsidR="004B7497" w:rsidRPr="00E921BE" w:rsidRDefault="004B7497" w:rsidP="004B7497">
      <w:pPr>
        <w:numPr>
          <w:ilvl w:val="0"/>
          <w:numId w:val="30"/>
        </w:numPr>
        <w:tabs>
          <w:tab w:val="left" w:pos="993"/>
        </w:tabs>
        <w:ind w:left="0" w:firstLine="562"/>
        <w:contextualSpacing/>
        <w:jc w:val="both"/>
        <w:rPr>
          <w:szCs w:val="20"/>
        </w:rPr>
      </w:pPr>
      <w:r w:rsidRPr="00E921BE">
        <w:rPr>
          <w:szCs w:val="20"/>
        </w:rPr>
        <w:t xml:space="preserve">90,9 млн. лв. от ЕЗФРСР, прехвърлени към директни плащания – 40,1 % от заложените 226,5 млн. лева; </w:t>
      </w:r>
    </w:p>
    <w:p w:rsidR="004B7497" w:rsidRPr="00E921BE" w:rsidRDefault="004B7497" w:rsidP="004B7497">
      <w:pPr>
        <w:numPr>
          <w:ilvl w:val="0"/>
          <w:numId w:val="30"/>
        </w:numPr>
        <w:tabs>
          <w:tab w:val="left" w:pos="993"/>
        </w:tabs>
        <w:ind w:left="0" w:firstLine="562"/>
        <w:contextualSpacing/>
        <w:jc w:val="both"/>
        <w:rPr>
          <w:szCs w:val="20"/>
        </w:rPr>
      </w:pPr>
      <w:r w:rsidRPr="00E921BE">
        <w:rPr>
          <w:szCs w:val="20"/>
        </w:rPr>
        <w:lastRenderedPageBreak/>
        <w:t>за пазарни мерки – няма усвоени средства, при планирани 30,3 млн. лева;</w:t>
      </w:r>
    </w:p>
    <w:p w:rsidR="004B7497" w:rsidRPr="00E921BE" w:rsidRDefault="004B7497" w:rsidP="004B7497">
      <w:pPr>
        <w:numPr>
          <w:ilvl w:val="0"/>
          <w:numId w:val="30"/>
        </w:numPr>
        <w:tabs>
          <w:tab w:val="left" w:pos="993"/>
        </w:tabs>
        <w:ind w:left="0" w:firstLine="562"/>
        <w:contextualSpacing/>
        <w:jc w:val="both"/>
      </w:pPr>
      <w:r w:rsidRPr="00E921BE">
        <w:rPr>
          <w:szCs w:val="20"/>
        </w:rPr>
        <w:t>0,1 млн. лв. суми за преструктуриране, при планирани 27,0</w:t>
      </w:r>
      <w:r w:rsidRPr="00E921BE">
        <w:t> </w:t>
      </w:r>
      <w:r w:rsidRPr="00E921BE">
        <w:rPr>
          <w:szCs w:val="20"/>
        </w:rPr>
        <w:t>млн. лева.</w:t>
      </w:r>
    </w:p>
    <w:p w:rsidR="004B7497" w:rsidRPr="00E921BE" w:rsidRDefault="004B7497" w:rsidP="004B7497">
      <w:pPr>
        <w:spacing w:before="120"/>
        <w:ind w:firstLine="567"/>
        <w:jc w:val="both"/>
        <w:rPr>
          <w:lang w:val="en-US"/>
        </w:rPr>
      </w:pPr>
      <w:r w:rsidRPr="00E921BE">
        <w:t xml:space="preserve">Възстановените суми (нето) по разчети с ЦБ за финансиране на плащания при недостиг на средства по сметки възлизат на 547,8 млн. лева. при планирани -100,1 млн. лева. </w:t>
      </w:r>
    </w:p>
    <w:p w:rsidR="00477886" w:rsidRPr="00245EC9" w:rsidRDefault="004B7497" w:rsidP="004B7497">
      <w:pPr>
        <w:tabs>
          <w:tab w:val="left" w:pos="540"/>
        </w:tabs>
        <w:spacing w:before="120"/>
        <w:ind w:firstLine="567"/>
        <w:jc w:val="both"/>
        <w:rPr>
          <w:color w:val="4F81BD" w:themeColor="accent1"/>
          <w:lang w:eastAsia="bg-BG"/>
        </w:rPr>
      </w:pPr>
      <w:r w:rsidRPr="00E921BE">
        <w:rPr>
          <w:lang w:val="en-US" w:eastAsia="bg-BG"/>
        </w:rPr>
        <w:tab/>
        <w:t xml:space="preserve">   </w:t>
      </w:r>
      <w:r w:rsidRPr="00E921BE">
        <w:t>За първото полугодие на 2020 г. сумата по разчети за поети данъци, формирани от удържан и внесен окончателен данък на физически лица, съгл. чл. 65, ал. 14 от ЗДДФЛ възлиза нето на 0,01 млн. лева.</w:t>
      </w:r>
    </w:p>
    <w:p w:rsidR="00063CF1" w:rsidRPr="00245EC9" w:rsidRDefault="00063CF1" w:rsidP="00063CF1">
      <w:pPr>
        <w:rPr>
          <w:color w:val="4F81BD" w:themeColor="accent1"/>
          <w:lang w:val="en-US"/>
        </w:rPr>
      </w:pPr>
    </w:p>
    <w:p w:rsidR="002B1377" w:rsidRPr="00C357D2" w:rsidRDefault="002B1377" w:rsidP="005F3781">
      <w:pPr>
        <w:pStyle w:val="Heading1"/>
        <w:numPr>
          <w:ilvl w:val="1"/>
          <w:numId w:val="10"/>
        </w:numPr>
        <w:ind w:left="788" w:right="-108" w:hanging="431"/>
        <w:jc w:val="both"/>
        <w:rPr>
          <w:sz w:val="24"/>
        </w:rPr>
      </w:pPr>
      <w:r w:rsidRPr="00C357D2">
        <w:rPr>
          <w:sz w:val="24"/>
        </w:rPr>
        <w:t>Национален фонд към Министерство на финансите</w:t>
      </w:r>
    </w:p>
    <w:p w:rsidR="00C357D2" w:rsidRPr="00786BFF" w:rsidRDefault="00C357D2" w:rsidP="00C357D2">
      <w:pPr>
        <w:pStyle w:val="BodyTextIndent"/>
        <w:spacing w:before="120"/>
        <w:ind w:left="288" w:firstLine="691"/>
        <w:jc w:val="both"/>
        <w:rPr>
          <w:bCs/>
          <w:color w:val="000000" w:themeColor="text1"/>
        </w:rPr>
      </w:pPr>
      <w:r w:rsidRPr="00786BFF">
        <w:rPr>
          <w:bCs/>
          <w:color w:val="000000" w:themeColor="text1"/>
        </w:rPr>
        <w:t>По сметките на НФ към 3</w:t>
      </w:r>
      <w:r w:rsidRPr="00786BFF">
        <w:rPr>
          <w:bCs/>
          <w:color w:val="000000" w:themeColor="text1"/>
          <w:lang w:val="ru-RU"/>
        </w:rPr>
        <w:t>0</w:t>
      </w:r>
      <w:r w:rsidRPr="00786BFF">
        <w:rPr>
          <w:bCs/>
          <w:color w:val="000000" w:themeColor="text1"/>
        </w:rPr>
        <w:t>.</w:t>
      </w:r>
      <w:r w:rsidRPr="00786BFF">
        <w:rPr>
          <w:bCs/>
          <w:color w:val="000000" w:themeColor="text1"/>
          <w:lang w:val="ru-RU"/>
        </w:rPr>
        <w:t>06</w:t>
      </w:r>
      <w:r w:rsidRPr="00786BFF">
        <w:rPr>
          <w:bCs/>
          <w:color w:val="000000" w:themeColor="text1"/>
        </w:rPr>
        <w:t>.2020 г. са постъпили приходи  (нето) в размер на 1</w:t>
      </w:r>
      <w:r>
        <w:rPr>
          <w:bCs/>
          <w:color w:val="000000" w:themeColor="text1"/>
        </w:rPr>
        <w:t> </w:t>
      </w:r>
      <w:r w:rsidRPr="00786BFF">
        <w:rPr>
          <w:bCs/>
          <w:color w:val="000000" w:themeColor="text1"/>
        </w:rPr>
        <w:t>192</w:t>
      </w:r>
      <w:r>
        <w:rPr>
          <w:bCs/>
          <w:color w:val="000000" w:themeColor="text1"/>
        </w:rPr>
        <w:t>,</w:t>
      </w:r>
      <w:r w:rsidRPr="00786BFF">
        <w:rPr>
          <w:bCs/>
          <w:color w:val="000000" w:themeColor="text1"/>
          <w:lang w:val="ru-RU"/>
        </w:rPr>
        <w:t>0</w:t>
      </w:r>
      <w:r w:rsidRPr="00786BFF">
        <w:rPr>
          <w:bCs/>
          <w:color w:val="000000" w:themeColor="text1"/>
        </w:rPr>
        <w:t xml:space="preserve"> млн. лева по програмите, </w:t>
      </w:r>
      <w:proofErr w:type="spellStart"/>
      <w:r w:rsidRPr="00786BFF">
        <w:rPr>
          <w:bCs/>
          <w:color w:val="000000" w:themeColor="text1"/>
        </w:rPr>
        <w:t>съфинансирани</w:t>
      </w:r>
      <w:proofErr w:type="spellEnd"/>
      <w:r w:rsidRPr="00786BFF">
        <w:rPr>
          <w:bCs/>
          <w:color w:val="000000" w:themeColor="text1"/>
        </w:rPr>
        <w:t xml:space="preserve"> от Европейския фонд за регионално развитие, Европейския социален фонд (включително Инициативата за младежка заетост), </w:t>
      </w:r>
      <w:proofErr w:type="spellStart"/>
      <w:r w:rsidRPr="00786BFF">
        <w:rPr>
          <w:bCs/>
          <w:color w:val="000000" w:themeColor="text1"/>
        </w:rPr>
        <w:t>Кохезионния</w:t>
      </w:r>
      <w:proofErr w:type="spellEnd"/>
      <w:r w:rsidRPr="00786BFF">
        <w:rPr>
          <w:bCs/>
          <w:color w:val="000000" w:themeColor="text1"/>
        </w:rPr>
        <w:t xml:space="preserve"> фонд и Фонда за европейско подпомагане на най-нуждаещите се лица (ФЕПНЛ) на ЕС за финансовата рамка 2014–2020 г., Финансовия механизъм на Европейското икономическо пространство (ФМ на ЕИП) 2009–2014 г. и 2014–2021 г., Норвежкия финансов механизъм (НФМ) 2009–2014 г. и 2014–2021 г., двустранните програми за трансгранично сътрудничество по външните граници на EС (ПТСВГ) за периода 2014–2020 г. и Българо-швейцарската програма за сътрудничество (БШПС),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w:t>
      </w:r>
    </w:p>
    <w:p w:rsidR="00C357D2" w:rsidRPr="005C6F6A" w:rsidRDefault="00C357D2" w:rsidP="00C357D2">
      <w:pPr>
        <w:pStyle w:val="BodyTextIndent"/>
        <w:ind w:firstLine="686"/>
        <w:jc w:val="both"/>
        <w:rPr>
          <w:bCs/>
          <w:color w:val="000000" w:themeColor="text1"/>
        </w:rPr>
      </w:pPr>
      <w:r w:rsidRPr="003E582F">
        <w:rPr>
          <w:bCs/>
          <w:color w:val="000000" w:themeColor="text1"/>
        </w:rPr>
        <w:t>Извършените разходи (нето) за периода с натрупване чрез сметките на НФ възлизат на 229</w:t>
      </w:r>
      <w:r>
        <w:rPr>
          <w:bCs/>
          <w:color w:val="000000" w:themeColor="text1"/>
        </w:rPr>
        <w:t>,</w:t>
      </w:r>
      <w:r w:rsidRPr="003E582F">
        <w:rPr>
          <w:bCs/>
          <w:color w:val="000000" w:themeColor="text1"/>
        </w:rPr>
        <w:t>5 млн. лева</w:t>
      </w:r>
      <w:r w:rsidRPr="005C6F6A">
        <w:rPr>
          <w:bCs/>
          <w:color w:val="000000" w:themeColor="text1"/>
        </w:rPr>
        <w:t>. По видове разходи изпълнението е както следва: 74</w:t>
      </w:r>
      <w:r>
        <w:rPr>
          <w:bCs/>
          <w:color w:val="000000" w:themeColor="text1"/>
        </w:rPr>
        <w:t>,</w:t>
      </w:r>
      <w:r w:rsidRPr="005C6F6A">
        <w:rPr>
          <w:bCs/>
          <w:color w:val="000000" w:themeColor="text1"/>
        </w:rPr>
        <w:t>37</w:t>
      </w:r>
      <w:r>
        <w:rPr>
          <w:bCs/>
          <w:color w:val="000000" w:themeColor="text1"/>
        </w:rPr>
        <w:t xml:space="preserve"> </w:t>
      </w:r>
      <w:r w:rsidRPr="005C6F6A">
        <w:rPr>
          <w:bCs/>
          <w:color w:val="000000" w:themeColor="text1"/>
        </w:rPr>
        <w:t>% от общата стойност са капиталови трансфери, 24</w:t>
      </w:r>
      <w:r>
        <w:rPr>
          <w:bCs/>
          <w:color w:val="000000" w:themeColor="text1"/>
        </w:rPr>
        <w:t>,</w:t>
      </w:r>
      <w:r w:rsidRPr="005C6F6A">
        <w:rPr>
          <w:bCs/>
          <w:color w:val="000000" w:themeColor="text1"/>
        </w:rPr>
        <w:t>14</w:t>
      </w:r>
      <w:r>
        <w:rPr>
          <w:bCs/>
          <w:color w:val="000000" w:themeColor="text1"/>
        </w:rPr>
        <w:t xml:space="preserve"> </w:t>
      </w:r>
      <w:r w:rsidRPr="005C6F6A">
        <w:rPr>
          <w:bCs/>
          <w:color w:val="000000" w:themeColor="text1"/>
        </w:rPr>
        <w:t>% са субсидии, 1</w:t>
      </w:r>
      <w:r>
        <w:rPr>
          <w:bCs/>
          <w:color w:val="000000" w:themeColor="text1"/>
        </w:rPr>
        <w:t>,</w:t>
      </w:r>
      <w:r w:rsidRPr="005C6F6A">
        <w:rPr>
          <w:bCs/>
          <w:color w:val="000000" w:themeColor="text1"/>
        </w:rPr>
        <w:t>48</w:t>
      </w:r>
      <w:r>
        <w:rPr>
          <w:bCs/>
          <w:color w:val="000000" w:themeColor="text1"/>
        </w:rPr>
        <w:t xml:space="preserve"> </w:t>
      </w:r>
      <w:r w:rsidRPr="005C6F6A">
        <w:rPr>
          <w:bCs/>
          <w:color w:val="000000" w:themeColor="text1"/>
        </w:rPr>
        <w:t>% предоставени текущи и капиталови трансфери за чужбина и 0</w:t>
      </w:r>
      <w:r>
        <w:rPr>
          <w:bCs/>
          <w:color w:val="000000" w:themeColor="text1"/>
        </w:rPr>
        <w:t>,</w:t>
      </w:r>
      <w:r w:rsidRPr="005C6F6A">
        <w:rPr>
          <w:bCs/>
          <w:color w:val="000000" w:themeColor="text1"/>
        </w:rPr>
        <w:t>01</w:t>
      </w:r>
      <w:r>
        <w:rPr>
          <w:bCs/>
          <w:color w:val="000000" w:themeColor="text1"/>
        </w:rPr>
        <w:t xml:space="preserve"> </w:t>
      </w:r>
      <w:r w:rsidRPr="005C6F6A">
        <w:rPr>
          <w:bCs/>
          <w:color w:val="000000" w:themeColor="text1"/>
        </w:rPr>
        <w:t>% - издръжка.</w:t>
      </w:r>
    </w:p>
    <w:p w:rsidR="00C357D2" w:rsidRPr="00352E48" w:rsidRDefault="00C357D2" w:rsidP="00C357D2">
      <w:pPr>
        <w:pStyle w:val="BodyTextIndent"/>
        <w:ind w:firstLine="686"/>
        <w:jc w:val="both"/>
        <w:rPr>
          <w:bCs/>
          <w:color w:val="365F91" w:themeColor="accent1" w:themeShade="BF"/>
        </w:rPr>
      </w:pPr>
      <w:r w:rsidRPr="003C772A">
        <w:rPr>
          <w:bCs/>
          <w:color w:val="000000" w:themeColor="text1"/>
        </w:rPr>
        <w:t>Трансферите (нето), временните безлихвени заеми (нето) и временна възмездна финансова помощ за разглеждания период са на стойност 579</w:t>
      </w:r>
      <w:r>
        <w:rPr>
          <w:bCs/>
          <w:color w:val="000000" w:themeColor="text1"/>
        </w:rPr>
        <w:t>,</w:t>
      </w:r>
      <w:r w:rsidRPr="003C772A">
        <w:rPr>
          <w:bCs/>
          <w:color w:val="000000" w:themeColor="text1"/>
          <w:lang w:val="ru-RU"/>
        </w:rPr>
        <w:t>8</w:t>
      </w:r>
      <w:r w:rsidRPr="003C772A">
        <w:rPr>
          <w:bCs/>
          <w:color w:val="000000" w:themeColor="text1"/>
        </w:rPr>
        <w:t xml:space="preserve"> млн. лв. (включват предоставените трансфери към бенефициенти по Оперативните програми (ОП) на ЕС - програмен период 2014 – 2020 г., ПТСВГ за периода 2014 – 2020 г., ФМ на ЕИП 2014–2021</w:t>
      </w:r>
      <w:r>
        <w:rPr>
          <w:bCs/>
          <w:color w:val="000000" w:themeColor="text1"/>
        </w:rPr>
        <w:t> </w:t>
      </w:r>
      <w:r w:rsidRPr="003C772A">
        <w:rPr>
          <w:bCs/>
          <w:color w:val="000000" w:themeColor="text1"/>
        </w:rPr>
        <w:t>г., НФМ 2014–2021 г. и БШПС,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rsidR="00C357D2" w:rsidRPr="004B554E" w:rsidRDefault="00C357D2" w:rsidP="00C357D2">
      <w:pPr>
        <w:pStyle w:val="BodyTextIndent"/>
        <w:ind w:firstLine="686"/>
        <w:jc w:val="both"/>
        <w:rPr>
          <w:bCs/>
          <w:color w:val="000000" w:themeColor="text1"/>
        </w:rPr>
      </w:pPr>
      <w:r w:rsidRPr="00352E48">
        <w:rPr>
          <w:bCs/>
          <w:color w:val="365F91" w:themeColor="accent1" w:themeShade="BF"/>
        </w:rPr>
        <w:t xml:space="preserve"> </w:t>
      </w:r>
      <w:r w:rsidRPr="004B554E">
        <w:rPr>
          <w:bCs/>
          <w:color w:val="000000" w:themeColor="text1"/>
        </w:rPr>
        <w:t>Във връзка с изпълнение на ОП - програмен период 2014 – 2020 г., ЕИП и НФМ 2014–2021 г. и ПТСВГ 2014 – 2020 г. по сметките на НФ са получени трансфери от централния бюджет на стойност 133</w:t>
      </w:r>
      <w:r>
        <w:rPr>
          <w:bCs/>
          <w:color w:val="000000" w:themeColor="text1"/>
        </w:rPr>
        <w:t>,</w:t>
      </w:r>
      <w:r w:rsidRPr="004B554E">
        <w:rPr>
          <w:bCs/>
          <w:color w:val="000000" w:themeColor="text1"/>
        </w:rPr>
        <w:t>3 млн. лева.</w:t>
      </w:r>
    </w:p>
    <w:p w:rsidR="00C357D2" w:rsidRPr="000B2D35" w:rsidRDefault="00C357D2" w:rsidP="00C357D2">
      <w:pPr>
        <w:pStyle w:val="BodyTextIndent"/>
        <w:ind w:firstLine="686"/>
        <w:jc w:val="both"/>
        <w:rPr>
          <w:bCs/>
        </w:rPr>
      </w:pPr>
      <w:r w:rsidRPr="000B2D35">
        <w:rPr>
          <w:bCs/>
        </w:rPr>
        <w:t xml:space="preserve">Общата сума от други приходи, постъпили по сметките на НФ, </w:t>
      </w:r>
      <w:r>
        <w:rPr>
          <w:bCs/>
        </w:rPr>
        <w:t>е</w:t>
      </w:r>
      <w:r w:rsidRPr="000B2D35">
        <w:rPr>
          <w:bCs/>
        </w:rPr>
        <w:t xml:space="preserve"> в размер на 0</w:t>
      </w:r>
      <w:r>
        <w:rPr>
          <w:bCs/>
        </w:rPr>
        <w:t>,</w:t>
      </w:r>
      <w:r w:rsidRPr="000B2D35">
        <w:rPr>
          <w:bCs/>
          <w:lang w:val="ru-RU"/>
        </w:rPr>
        <w:t>1</w:t>
      </w:r>
      <w:r w:rsidRPr="000B2D35">
        <w:rPr>
          <w:bCs/>
        </w:rPr>
        <w:t xml:space="preserve"> млн.</w:t>
      </w:r>
      <w:r>
        <w:rPr>
          <w:bCs/>
        </w:rPr>
        <w:t> </w:t>
      </w:r>
      <w:r w:rsidRPr="000B2D35">
        <w:rPr>
          <w:bCs/>
        </w:rPr>
        <w:t>лева.</w:t>
      </w:r>
    </w:p>
    <w:p w:rsidR="00C357D2" w:rsidRPr="009179F4" w:rsidRDefault="00C357D2" w:rsidP="00C357D2">
      <w:pPr>
        <w:pStyle w:val="BodyTextIndent"/>
        <w:ind w:firstLine="686"/>
        <w:jc w:val="both"/>
        <w:rPr>
          <w:bCs/>
        </w:rPr>
      </w:pPr>
      <w:r w:rsidRPr="009179F4">
        <w:rPr>
          <w:bCs/>
        </w:rPr>
        <w:t>Наличностите по сметката за средства от ЕС на НФ към 30.06.2020 г. възлизат на</w:t>
      </w:r>
      <w:r>
        <w:rPr>
          <w:bCs/>
        </w:rPr>
        <w:t xml:space="preserve"> 3 031,7</w:t>
      </w:r>
      <w:r w:rsidRPr="009179F4">
        <w:rPr>
          <w:bCs/>
        </w:rPr>
        <w:t xml:space="preserve"> млн. лв. (в отчета на НФ са включени и наличностите на Фонда мениджър на финансови инструменти в България (Фонд на фондовете), които са на стойност 202</w:t>
      </w:r>
      <w:r>
        <w:rPr>
          <w:bCs/>
        </w:rPr>
        <w:t>,</w:t>
      </w:r>
      <w:r w:rsidRPr="009179F4">
        <w:rPr>
          <w:bCs/>
        </w:rPr>
        <w:t>1 млн.</w:t>
      </w:r>
      <w:r>
        <w:rPr>
          <w:bCs/>
        </w:rPr>
        <w:t> </w:t>
      </w:r>
      <w:r w:rsidRPr="009179F4">
        <w:rPr>
          <w:bCs/>
        </w:rPr>
        <w:t>лв.), като в БНБ наличните средства са в размер на 3</w:t>
      </w:r>
      <w:r>
        <w:rPr>
          <w:bCs/>
        </w:rPr>
        <w:t> </w:t>
      </w:r>
      <w:r w:rsidRPr="009179F4">
        <w:rPr>
          <w:bCs/>
        </w:rPr>
        <w:t>031</w:t>
      </w:r>
      <w:r>
        <w:rPr>
          <w:bCs/>
        </w:rPr>
        <w:t>,</w:t>
      </w:r>
      <w:r w:rsidRPr="009179F4">
        <w:rPr>
          <w:bCs/>
        </w:rPr>
        <w:t>6</w:t>
      </w:r>
      <w:r>
        <w:rPr>
          <w:bCs/>
          <w:lang w:val="en-US"/>
        </w:rPr>
        <w:t>4</w:t>
      </w:r>
      <w:r w:rsidRPr="009179F4">
        <w:rPr>
          <w:bCs/>
        </w:rPr>
        <w:t xml:space="preserve"> млн. лв., а в търговските банки (</w:t>
      </w:r>
      <w:proofErr w:type="spellStart"/>
      <w:r w:rsidRPr="009179F4">
        <w:rPr>
          <w:bCs/>
        </w:rPr>
        <w:t>УниКредит</w:t>
      </w:r>
      <w:proofErr w:type="spellEnd"/>
      <w:r w:rsidRPr="009179F4">
        <w:rPr>
          <w:bCs/>
        </w:rPr>
        <w:t xml:space="preserve"> Булбанк АД и Банка ДСК ЕАД) са в размер на 0</w:t>
      </w:r>
      <w:r>
        <w:rPr>
          <w:bCs/>
        </w:rPr>
        <w:t>,</w:t>
      </w:r>
      <w:r>
        <w:rPr>
          <w:bCs/>
          <w:lang w:val="en-US"/>
        </w:rPr>
        <w:t>0</w:t>
      </w:r>
      <w:r w:rsidRPr="009179F4">
        <w:rPr>
          <w:bCs/>
        </w:rPr>
        <w:t>7 млн. лева.</w:t>
      </w:r>
    </w:p>
    <w:p w:rsidR="00C357D2" w:rsidRPr="000B2D35" w:rsidRDefault="00C357D2" w:rsidP="00C357D2">
      <w:pPr>
        <w:pStyle w:val="BodyTextIndent"/>
        <w:spacing w:before="120"/>
        <w:ind w:left="544" w:firstLine="425"/>
        <w:jc w:val="both"/>
        <w:rPr>
          <w:b/>
          <w:bCs/>
        </w:rPr>
      </w:pPr>
      <w:r w:rsidRPr="000B2D35">
        <w:rPr>
          <w:b/>
          <w:bCs/>
        </w:rPr>
        <w:t xml:space="preserve">Структурни и </w:t>
      </w:r>
      <w:proofErr w:type="spellStart"/>
      <w:r w:rsidRPr="000B2D35">
        <w:rPr>
          <w:b/>
          <w:bCs/>
        </w:rPr>
        <w:t>Кохезионен</w:t>
      </w:r>
      <w:proofErr w:type="spellEnd"/>
      <w:r w:rsidRPr="000B2D35">
        <w:rPr>
          <w:b/>
          <w:bCs/>
        </w:rPr>
        <w:t xml:space="preserve"> фондове (СКФ) 2007 – 2013 г.</w:t>
      </w:r>
    </w:p>
    <w:p w:rsidR="00C357D2" w:rsidRPr="000B2D35" w:rsidRDefault="00C357D2" w:rsidP="00C357D2">
      <w:pPr>
        <w:pStyle w:val="BodyTextIndent"/>
        <w:ind w:firstLine="686"/>
        <w:jc w:val="both"/>
        <w:rPr>
          <w:bCs/>
        </w:rPr>
      </w:pPr>
      <w:r w:rsidRPr="000B2D35">
        <w:rPr>
          <w:bCs/>
        </w:rPr>
        <w:t>През отчетния период са постъпили (нето) възстановени суми от бенефициенти по сметките на Национален фонд на стойност 0</w:t>
      </w:r>
      <w:r>
        <w:rPr>
          <w:bCs/>
        </w:rPr>
        <w:t>,</w:t>
      </w:r>
      <w:r w:rsidRPr="000B2D35">
        <w:rPr>
          <w:bCs/>
        </w:rPr>
        <w:t>2 млн. л</w:t>
      </w:r>
      <w:r>
        <w:rPr>
          <w:bCs/>
        </w:rPr>
        <w:t>е</w:t>
      </w:r>
      <w:r w:rsidRPr="000B2D35">
        <w:rPr>
          <w:bCs/>
        </w:rPr>
        <w:t>в</w:t>
      </w:r>
      <w:r>
        <w:rPr>
          <w:bCs/>
        </w:rPr>
        <w:t>а</w:t>
      </w:r>
      <w:r w:rsidRPr="000B2D35">
        <w:rPr>
          <w:bCs/>
        </w:rPr>
        <w:t>.</w:t>
      </w:r>
    </w:p>
    <w:p w:rsidR="00C357D2" w:rsidRPr="00777532" w:rsidRDefault="00C357D2" w:rsidP="00C357D2">
      <w:pPr>
        <w:pStyle w:val="BodyTextIndent"/>
        <w:ind w:firstLine="686"/>
        <w:jc w:val="both"/>
        <w:rPr>
          <w:bCs/>
        </w:rPr>
      </w:pPr>
      <w:r w:rsidRPr="000B2D35">
        <w:rPr>
          <w:bCs/>
        </w:rPr>
        <w:lastRenderedPageBreak/>
        <w:t>През отчетния период е възстановено авансово финансиране, предоставено по реда на ДДС6/</w:t>
      </w:r>
      <w:r w:rsidRPr="00777532">
        <w:rPr>
          <w:bCs/>
        </w:rPr>
        <w:t>2011 г. на бюджетни организации на стойност 1</w:t>
      </w:r>
      <w:r>
        <w:rPr>
          <w:bCs/>
        </w:rPr>
        <w:t>,</w:t>
      </w:r>
      <w:proofErr w:type="spellStart"/>
      <w:r w:rsidRPr="00777532">
        <w:rPr>
          <w:bCs/>
        </w:rPr>
        <w:t>1</w:t>
      </w:r>
      <w:proofErr w:type="spellEnd"/>
      <w:r w:rsidRPr="00777532">
        <w:rPr>
          <w:bCs/>
        </w:rPr>
        <w:t xml:space="preserve"> млн. л</w:t>
      </w:r>
      <w:r>
        <w:rPr>
          <w:bCs/>
        </w:rPr>
        <w:t>е</w:t>
      </w:r>
      <w:r w:rsidRPr="00777532">
        <w:rPr>
          <w:bCs/>
        </w:rPr>
        <w:t>в</w:t>
      </w:r>
      <w:r>
        <w:rPr>
          <w:bCs/>
        </w:rPr>
        <w:t>а</w:t>
      </w:r>
      <w:r w:rsidRPr="00777532">
        <w:rPr>
          <w:bCs/>
        </w:rPr>
        <w:t xml:space="preserve">. </w:t>
      </w:r>
    </w:p>
    <w:p w:rsidR="00C357D2" w:rsidRPr="00777532" w:rsidRDefault="00C357D2" w:rsidP="00C357D2">
      <w:pPr>
        <w:pStyle w:val="BodyTextIndent"/>
        <w:spacing w:before="120"/>
        <w:ind w:firstLine="686"/>
        <w:jc w:val="both"/>
        <w:rPr>
          <w:b/>
          <w:bCs/>
        </w:rPr>
      </w:pPr>
      <w:r w:rsidRPr="00777532">
        <w:rPr>
          <w:b/>
          <w:bCs/>
        </w:rPr>
        <w:t xml:space="preserve">Европейски фонд за регионално развитие, Европейски социален фонд (включително Инициативата за младежка заетост), </w:t>
      </w:r>
      <w:proofErr w:type="spellStart"/>
      <w:r w:rsidRPr="00777532">
        <w:rPr>
          <w:b/>
          <w:bCs/>
        </w:rPr>
        <w:t>Кохезионния</w:t>
      </w:r>
      <w:proofErr w:type="spellEnd"/>
      <w:r w:rsidRPr="00777532">
        <w:rPr>
          <w:b/>
          <w:bCs/>
        </w:rPr>
        <w:t xml:space="preserve"> фонд и ФЕПНЛ на Европейския съюз за финансова рамка 2014 – 2020 г.</w:t>
      </w:r>
    </w:p>
    <w:p w:rsidR="00C357D2" w:rsidRPr="00777532" w:rsidRDefault="00C357D2" w:rsidP="00C357D2">
      <w:pPr>
        <w:pStyle w:val="BodyTextIndent"/>
        <w:ind w:firstLine="686"/>
        <w:jc w:val="both"/>
        <w:rPr>
          <w:bCs/>
        </w:rPr>
      </w:pPr>
      <w:r w:rsidRPr="00777532">
        <w:rPr>
          <w:bCs/>
        </w:rPr>
        <w:t>Общо получените средства (нето) от ЕК за периода са в размер на 1</w:t>
      </w:r>
      <w:r>
        <w:rPr>
          <w:bCs/>
        </w:rPr>
        <w:t> </w:t>
      </w:r>
      <w:r w:rsidRPr="00777532">
        <w:rPr>
          <w:bCs/>
        </w:rPr>
        <w:t>165</w:t>
      </w:r>
      <w:r>
        <w:rPr>
          <w:bCs/>
        </w:rPr>
        <w:t>,</w:t>
      </w:r>
      <w:r w:rsidRPr="00777532">
        <w:rPr>
          <w:bCs/>
        </w:rPr>
        <w:t>3 млн. лв., включващи възстановени средства от ЕК, както и авансите (бруто) за 2020 г. и са разпределени както следва:</w:t>
      </w:r>
    </w:p>
    <w:p w:rsidR="00C357D2" w:rsidRPr="00777532" w:rsidRDefault="00C357D2" w:rsidP="00C357D2">
      <w:pPr>
        <w:pStyle w:val="BodyTextIndent"/>
        <w:numPr>
          <w:ilvl w:val="0"/>
          <w:numId w:val="12"/>
        </w:numPr>
        <w:tabs>
          <w:tab w:val="clear" w:pos="1101"/>
          <w:tab w:val="num" w:pos="786"/>
        </w:tabs>
        <w:spacing w:after="0"/>
        <w:ind w:left="786"/>
        <w:jc w:val="both"/>
        <w:rPr>
          <w:bCs/>
        </w:rPr>
      </w:pPr>
      <w:r w:rsidRPr="00777532">
        <w:rPr>
          <w:bCs/>
        </w:rPr>
        <w:t>ОП „Иновации и конкурентоспособност” – 128</w:t>
      </w:r>
      <w:r>
        <w:rPr>
          <w:bCs/>
        </w:rPr>
        <w:t>,</w:t>
      </w:r>
      <w:r w:rsidRPr="00777532">
        <w:rPr>
          <w:bCs/>
        </w:rPr>
        <w:t xml:space="preserve">2 млн. лв.;  </w:t>
      </w:r>
    </w:p>
    <w:p w:rsidR="00C357D2" w:rsidRPr="00777532" w:rsidRDefault="00C357D2" w:rsidP="00C357D2">
      <w:pPr>
        <w:pStyle w:val="BodyTextIndent"/>
        <w:numPr>
          <w:ilvl w:val="0"/>
          <w:numId w:val="12"/>
        </w:numPr>
        <w:tabs>
          <w:tab w:val="clear" w:pos="1101"/>
          <w:tab w:val="num" w:pos="786"/>
        </w:tabs>
        <w:spacing w:after="0"/>
        <w:ind w:left="786"/>
        <w:jc w:val="both"/>
        <w:rPr>
          <w:bCs/>
        </w:rPr>
      </w:pPr>
      <w:r w:rsidRPr="00777532">
        <w:rPr>
          <w:bCs/>
        </w:rPr>
        <w:t>ОП „Добро управление” – 42</w:t>
      </w:r>
      <w:r>
        <w:rPr>
          <w:bCs/>
        </w:rPr>
        <w:t>,</w:t>
      </w:r>
      <w:r w:rsidRPr="00777532">
        <w:rPr>
          <w:bCs/>
        </w:rPr>
        <w:t>9 млн. лв.;</w:t>
      </w:r>
    </w:p>
    <w:p w:rsidR="00C357D2" w:rsidRPr="00777532" w:rsidRDefault="00C357D2" w:rsidP="00C357D2">
      <w:pPr>
        <w:pStyle w:val="BodyTextIndent"/>
        <w:numPr>
          <w:ilvl w:val="0"/>
          <w:numId w:val="12"/>
        </w:numPr>
        <w:tabs>
          <w:tab w:val="clear" w:pos="1101"/>
          <w:tab w:val="num" w:pos="786"/>
        </w:tabs>
        <w:spacing w:after="0"/>
        <w:ind w:left="786"/>
        <w:jc w:val="both"/>
        <w:rPr>
          <w:bCs/>
        </w:rPr>
      </w:pPr>
      <w:r w:rsidRPr="00777532">
        <w:rPr>
          <w:bCs/>
        </w:rPr>
        <w:t>ОП „Транспорт и транспортна инфраструктура” – 294</w:t>
      </w:r>
      <w:r>
        <w:rPr>
          <w:bCs/>
        </w:rPr>
        <w:t>,</w:t>
      </w:r>
      <w:r w:rsidRPr="00777532">
        <w:rPr>
          <w:bCs/>
        </w:rPr>
        <w:t>2 млн. лв.;</w:t>
      </w:r>
    </w:p>
    <w:p w:rsidR="00C357D2" w:rsidRPr="00777532" w:rsidRDefault="00C357D2" w:rsidP="00C357D2">
      <w:pPr>
        <w:pStyle w:val="BodyTextIndent"/>
        <w:numPr>
          <w:ilvl w:val="0"/>
          <w:numId w:val="12"/>
        </w:numPr>
        <w:tabs>
          <w:tab w:val="clear" w:pos="1101"/>
          <w:tab w:val="num" w:pos="786"/>
        </w:tabs>
        <w:spacing w:after="0"/>
        <w:ind w:left="786"/>
        <w:jc w:val="both"/>
        <w:rPr>
          <w:bCs/>
        </w:rPr>
      </w:pPr>
      <w:r w:rsidRPr="00777532">
        <w:rPr>
          <w:bCs/>
        </w:rPr>
        <w:t>ОП „Околна среда 2014 – 2020 г.“ – 223</w:t>
      </w:r>
      <w:r>
        <w:rPr>
          <w:bCs/>
        </w:rPr>
        <w:t>,</w:t>
      </w:r>
      <w:r w:rsidRPr="00777532">
        <w:rPr>
          <w:bCs/>
        </w:rPr>
        <w:t>6 млн. лв.;</w:t>
      </w:r>
    </w:p>
    <w:p w:rsidR="00C357D2" w:rsidRPr="00352E48" w:rsidRDefault="00C357D2" w:rsidP="00C357D2">
      <w:pPr>
        <w:pStyle w:val="BodyTextIndent"/>
        <w:numPr>
          <w:ilvl w:val="0"/>
          <w:numId w:val="12"/>
        </w:numPr>
        <w:tabs>
          <w:tab w:val="clear" w:pos="1101"/>
          <w:tab w:val="num" w:pos="786"/>
        </w:tabs>
        <w:spacing w:after="0"/>
        <w:ind w:left="786"/>
        <w:jc w:val="both"/>
        <w:rPr>
          <w:bCs/>
          <w:color w:val="365F91" w:themeColor="accent1" w:themeShade="BF"/>
        </w:rPr>
      </w:pPr>
      <w:r w:rsidRPr="00777532">
        <w:rPr>
          <w:bCs/>
        </w:rPr>
        <w:t xml:space="preserve">ОП „Развитие на човешките ресурси 2014 </w:t>
      </w:r>
      <w:r w:rsidRPr="00E205D1">
        <w:rPr>
          <w:bCs/>
        </w:rPr>
        <w:t>- 2020 г.” – 151</w:t>
      </w:r>
      <w:r>
        <w:rPr>
          <w:bCs/>
        </w:rPr>
        <w:t>,</w:t>
      </w:r>
      <w:r w:rsidRPr="00E205D1">
        <w:rPr>
          <w:bCs/>
        </w:rPr>
        <w:t>4 млн. лв.;</w:t>
      </w:r>
    </w:p>
    <w:p w:rsidR="00C357D2" w:rsidRPr="00E205D1" w:rsidRDefault="00C357D2" w:rsidP="00C357D2">
      <w:pPr>
        <w:pStyle w:val="BodyTextIndent"/>
        <w:numPr>
          <w:ilvl w:val="0"/>
          <w:numId w:val="12"/>
        </w:numPr>
        <w:tabs>
          <w:tab w:val="clear" w:pos="1101"/>
          <w:tab w:val="num" w:pos="786"/>
        </w:tabs>
        <w:spacing w:after="0"/>
        <w:ind w:left="786"/>
        <w:jc w:val="both"/>
        <w:rPr>
          <w:bCs/>
        </w:rPr>
      </w:pPr>
      <w:r w:rsidRPr="00E205D1">
        <w:rPr>
          <w:bCs/>
        </w:rPr>
        <w:t>Инициативата за младежка заетост – 6</w:t>
      </w:r>
      <w:r>
        <w:rPr>
          <w:bCs/>
        </w:rPr>
        <w:t>,</w:t>
      </w:r>
      <w:r w:rsidRPr="00E205D1">
        <w:rPr>
          <w:bCs/>
        </w:rPr>
        <w:t>9 млн. лв.;</w:t>
      </w:r>
    </w:p>
    <w:p w:rsidR="00C357D2" w:rsidRPr="00D30472" w:rsidRDefault="00C357D2" w:rsidP="00C357D2">
      <w:pPr>
        <w:pStyle w:val="BodyTextIndent"/>
        <w:numPr>
          <w:ilvl w:val="0"/>
          <w:numId w:val="12"/>
        </w:numPr>
        <w:tabs>
          <w:tab w:val="clear" w:pos="1101"/>
          <w:tab w:val="num" w:pos="786"/>
        </w:tabs>
        <w:spacing w:after="0"/>
        <w:ind w:left="786"/>
        <w:jc w:val="both"/>
        <w:rPr>
          <w:bCs/>
        </w:rPr>
      </w:pPr>
      <w:r w:rsidRPr="00D30472">
        <w:rPr>
          <w:bCs/>
        </w:rPr>
        <w:t>ОП „Региони в растеж“ – 218</w:t>
      </w:r>
      <w:r>
        <w:rPr>
          <w:bCs/>
        </w:rPr>
        <w:t>,</w:t>
      </w:r>
      <w:r w:rsidRPr="00D30472">
        <w:rPr>
          <w:bCs/>
        </w:rPr>
        <w:t>8 млн. лв.;</w:t>
      </w:r>
    </w:p>
    <w:p w:rsidR="00C357D2" w:rsidRPr="00D30472" w:rsidRDefault="00C357D2" w:rsidP="00C357D2">
      <w:pPr>
        <w:pStyle w:val="BodyTextIndent"/>
        <w:numPr>
          <w:ilvl w:val="0"/>
          <w:numId w:val="12"/>
        </w:numPr>
        <w:tabs>
          <w:tab w:val="clear" w:pos="1101"/>
          <w:tab w:val="num" w:pos="786"/>
        </w:tabs>
        <w:spacing w:after="0"/>
        <w:ind w:left="786"/>
        <w:jc w:val="both"/>
        <w:rPr>
          <w:bCs/>
        </w:rPr>
      </w:pPr>
      <w:r w:rsidRPr="00D30472">
        <w:rPr>
          <w:bCs/>
        </w:rPr>
        <w:t>ОП за храни и/или основно материално подпомагане от Фонда за европейско подпомагане на най-нуждаещите се лица в България за периода 2014 – 2020 г. – 16</w:t>
      </w:r>
      <w:r>
        <w:rPr>
          <w:bCs/>
        </w:rPr>
        <w:t>,</w:t>
      </w:r>
      <w:r w:rsidRPr="00D30472">
        <w:rPr>
          <w:bCs/>
        </w:rPr>
        <w:t>4 млн. лв. и</w:t>
      </w:r>
    </w:p>
    <w:p w:rsidR="00C357D2" w:rsidRPr="00D30472" w:rsidRDefault="00C357D2" w:rsidP="00C357D2">
      <w:pPr>
        <w:pStyle w:val="BodyTextIndent"/>
        <w:numPr>
          <w:ilvl w:val="0"/>
          <w:numId w:val="12"/>
        </w:numPr>
        <w:tabs>
          <w:tab w:val="clear" w:pos="1101"/>
          <w:tab w:val="num" w:pos="786"/>
        </w:tabs>
        <w:spacing w:after="0"/>
        <w:ind w:left="786"/>
        <w:jc w:val="both"/>
        <w:rPr>
          <w:bCs/>
        </w:rPr>
      </w:pPr>
      <w:r w:rsidRPr="00D30472">
        <w:rPr>
          <w:bCs/>
        </w:rPr>
        <w:t>ОП „Наука и образование за интелигентен растеж” – 82</w:t>
      </w:r>
      <w:r>
        <w:rPr>
          <w:bCs/>
        </w:rPr>
        <w:t>,</w:t>
      </w:r>
      <w:r w:rsidRPr="00D30472">
        <w:rPr>
          <w:bCs/>
        </w:rPr>
        <w:t>9 млн. л</w:t>
      </w:r>
      <w:r>
        <w:rPr>
          <w:bCs/>
        </w:rPr>
        <w:t>е</w:t>
      </w:r>
      <w:r w:rsidRPr="00D30472">
        <w:rPr>
          <w:bCs/>
        </w:rPr>
        <w:t>в</w:t>
      </w:r>
      <w:r>
        <w:rPr>
          <w:bCs/>
        </w:rPr>
        <w:t>а</w:t>
      </w:r>
      <w:r w:rsidRPr="00D30472">
        <w:rPr>
          <w:bCs/>
        </w:rPr>
        <w:t>.</w:t>
      </w:r>
    </w:p>
    <w:p w:rsidR="00C357D2" w:rsidRPr="00942DBF" w:rsidRDefault="00C357D2" w:rsidP="00C357D2">
      <w:pPr>
        <w:pStyle w:val="BodyTextIndent"/>
        <w:spacing w:before="120"/>
        <w:ind w:left="288"/>
        <w:jc w:val="both"/>
        <w:rPr>
          <w:bCs/>
        </w:rPr>
      </w:pPr>
      <w:r w:rsidRPr="00352E48">
        <w:rPr>
          <w:bCs/>
          <w:color w:val="365F91" w:themeColor="accent1" w:themeShade="BF"/>
        </w:rPr>
        <w:t xml:space="preserve"> </w:t>
      </w:r>
      <w:r>
        <w:rPr>
          <w:bCs/>
          <w:color w:val="365F91" w:themeColor="accent1" w:themeShade="BF"/>
        </w:rPr>
        <w:tab/>
      </w:r>
      <w:r w:rsidRPr="00352E48">
        <w:rPr>
          <w:bCs/>
          <w:color w:val="365F91" w:themeColor="accent1" w:themeShade="BF"/>
        </w:rPr>
        <w:t xml:space="preserve"> </w:t>
      </w:r>
      <w:r w:rsidRPr="00942DBF">
        <w:rPr>
          <w:bCs/>
        </w:rPr>
        <w:t>Направените разходи (нето) по Оперативни програми и трансферите (нето) към бюджетни организации и операции с активи към края на годината са на стойност 769</w:t>
      </w:r>
      <w:r>
        <w:rPr>
          <w:bCs/>
        </w:rPr>
        <w:t>,</w:t>
      </w:r>
      <w:r w:rsidRPr="00942DBF">
        <w:rPr>
          <w:bCs/>
        </w:rPr>
        <w:t>0 млн.</w:t>
      </w:r>
      <w:r>
        <w:rPr>
          <w:bCs/>
        </w:rPr>
        <w:t> </w:t>
      </w:r>
      <w:r w:rsidRPr="00942DBF">
        <w:rPr>
          <w:bCs/>
        </w:rPr>
        <w:t>лв., като разпределението по Оперативни програми е следното:</w:t>
      </w:r>
    </w:p>
    <w:p w:rsidR="00C357D2" w:rsidRPr="00942DBF" w:rsidRDefault="00C357D2" w:rsidP="00C357D2">
      <w:pPr>
        <w:pStyle w:val="BodyTextIndent"/>
        <w:numPr>
          <w:ilvl w:val="0"/>
          <w:numId w:val="12"/>
        </w:numPr>
        <w:tabs>
          <w:tab w:val="clear" w:pos="1101"/>
          <w:tab w:val="num" w:pos="786"/>
        </w:tabs>
        <w:spacing w:after="0"/>
        <w:ind w:left="786"/>
        <w:jc w:val="both"/>
        <w:rPr>
          <w:bCs/>
        </w:rPr>
      </w:pPr>
      <w:r w:rsidRPr="00942DBF">
        <w:rPr>
          <w:bCs/>
        </w:rPr>
        <w:t>ОП „Развитие на човешките ресурси 2014 - 2020 г.” – 158</w:t>
      </w:r>
      <w:r>
        <w:rPr>
          <w:bCs/>
        </w:rPr>
        <w:t>,</w:t>
      </w:r>
      <w:r w:rsidRPr="00942DBF">
        <w:rPr>
          <w:bCs/>
        </w:rPr>
        <w:t>4 млн. лв.;</w:t>
      </w:r>
    </w:p>
    <w:p w:rsidR="00C357D2" w:rsidRPr="00DE645B" w:rsidRDefault="00C357D2" w:rsidP="00C357D2">
      <w:pPr>
        <w:pStyle w:val="BodyTextIndent"/>
        <w:numPr>
          <w:ilvl w:val="0"/>
          <w:numId w:val="12"/>
        </w:numPr>
        <w:tabs>
          <w:tab w:val="clear" w:pos="1101"/>
          <w:tab w:val="num" w:pos="786"/>
        </w:tabs>
        <w:spacing w:after="0"/>
        <w:ind w:left="786"/>
        <w:jc w:val="both"/>
        <w:rPr>
          <w:bCs/>
        </w:rPr>
      </w:pPr>
      <w:r w:rsidRPr="00942DBF">
        <w:rPr>
          <w:bCs/>
        </w:rPr>
        <w:t xml:space="preserve">Инициативата за младежка заетост </w:t>
      </w:r>
      <w:r w:rsidRPr="00DE645B">
        <w:rPr>
          <w:bCs/>
        </w:rPr>
        <w:t>– 14</w:t>
      </w:r>
      <w:r>
        <w:rPr>
          <w:bCs/>
        </w:rPr>
        <w:t>,</w:t>
      </w:r>
      <w:r w:rsidRPr="00DE645B">
        <w:rPr>
          <w:bCs/>
        </w:rPr>
        <w:t>5 млн. лв.;</w:t>
      </w:r>
    </w:p>
    <w:p w:rsidR="00C357D2" w:rsidRPr="00DE645B" w:rsidRDefault="00C357D2" w:rsidP="00C357D2">
      <w:pPr>
        <w:pStyle w:val="BodyTextIndent"/>
        <w:numPr>
          <w:ilvl w:val="0"/>
          <w:numId w:val="12"/>
        </w:numPr>
        <w:tabs>
          <w:tab w:val="clear" w:pos="1101"/>
          <w:tab w:val="num" w:pos="786"/>
        </w:tabs>
        <w:spacing w:after="0"/>
        <w:ind w:left="786"/>
        <w:jc w:val="both"/>
        <w:rPr>
          <w:bCs/>
        </w:rPr>
      </w:pPr>
      <w:r w:rsidRPr="00DE645B">
        <w:rPr>
          <w:bCs/>
        </w:rPr>
        <w:t>ОП за храни и/или основно материално подпомагане от Фонда за европейско подпомагане на най-нуждаещите се лица в България за периода 2014 – 2020 г. – 24</w:t>
      </w:r>
      <w:r>
        <w:rPr>
          <w:bCs/>
        </w:rPr>
        <w:t>,</w:t>
      </w:r>
      <w:r w:rsidRPr="00DE645B">
        <w:rPr>
          <w:bCs/>
        </w:rPr>
        <w:t>7 млн. лева;</w:t>
      </w:r>
    </w:p>
    <w:p w:rsidR="00C357D2" w:rsidRPr="009E30E7" w:rsidRDefault="00C357D2" w:rsidP="00C357D2">
      <w:pPr>
        <w:pStyle w:val="BodyTextIndent"/>
        <w:numPr>
          <w:ilvl w:val="0"/>
          <w:numId w:val="12"/>
        </w:numPr>
        <w:tabs>
          <w:tab w:val="clear" w:pos="1101"/>
          <w:tab w:val="num" w:pos="786"/>
        </w:tabs>
        <w:spacing w:after="0"/>
        <w:ind w:left="786"/>
        <w:jc w:val="both"/>
        <w:rPr>
          <w:bCs/>
        </w:rPr>
      </w:pPr>
      <w:r w:rsidRPr="009E30E7">
        <w:rPr>
          <w:bCs/>
        </w:rPr>
        <w:t>ОП „Иновации и конкурентоспособност” – 104</w:t>
      </w:r>
      <w:r>
        <w:rPr>
          <w:bCs/>
        </w:rPr>
        <w:t>,</w:t>
      </w:r>
      <w:r w:rsidRPr="009E30E7">
        <w:rPr>
          <w:bCs/>
        </w:rPr>
        <w:t>9 млн. лв.;</w:t>
      </w:r>
    </w:p>
    <w:p w:rsidR="00C357D2" w:rsidRPr="009E30E7" w:rsidRDefault="00C357D2" w:rsidP="00C357D2">
      <w:pPr>
        <w:pStyle w:val="BodyTextIndent"/>
        <w:numPr>
          <w:ilvl w:val="0"/>
          <w:numId w:val="12"/>
        </w:numPr>
        <w:tabs>
          <w:tab w:val="clear" w:pos="1101"/>
          <w:tab w:val="num" w:pos="786"/>
        </w:tabs>
        <w:spacing w:after="0"/>
        <w:ind w:left="786"/>
        <w:jc w:val="both"/>
        <w:rPr>
          <w:bCs/>
        </w:rPr>
      </w:pPr>
      <w:r w:rsidRPr="009E30E7">
        <w:rPr>
          <w:bCs/>
        </w:rPr>
        <w:t>ОП „Добро управление” – 29</w:t>
      </w:r>
      <w:r>
        <w:rPr>
          <w:bCs/>
        </w:rPr>
        <w:t>,</w:t>
      </w:r>
      <w:r w:rsidRPr="009E30E7">
        <w:rPr>
          <w:bCs/>
        </w:rPr>
        <w:t>5 млн. лв.;</w:t>
      </w:r>
    </w:p>
    <w:p w:rsidR="00C357D2" w:rsidRPr="00E81FAF" w:rsidRDefault="00C357D2" w:rsidP="00C357D2">
      <w:pPr>
        <w:pStyle w:val="BodyTextIndent"/>
        <w:numPr>
          <w:ilvl w:val="0"/>
          <w:numId w:val="12"/>
        </w:numPr>
        <w:tabs>
          <w:tab w:val="clear" w:pos="1101"/>
          <w:tab w:val="num" w:pos="786"/>
        </w:tabs>
        <w:spacing w:after="0"/>
        <w:ind w:left="786"/>
        <w:jc w:val="both"/>
        <w:rPr>
          <w:bCs/>
        </w:rPr>
      </w:pPr>
      <w:r w:rsidRPr="00E81FAF">
        <w:rPr>
          <w:bCs/>
        </w:rPr>
        <w:t>ОП „Региони в растеж“ – 120,2 млн. лв.;</w:t>
      </w:r>
    </w:p>
    <w:p w:rsidR="00C357D2" w:rsidRPr="00463AAA" w:rsidRDefault="00C357D2" w:rsidP="00C357D2">
      <w:pPr>
        <w:pStyle w:val="BodyTextIndent"/>
        <w:numPr>
          <w:ilvl w:val="0"/>
          <w:numId w:val="12"/>
        </w:numPr>
        <w:tabs>
          <w:tab w:val="clear" w:pos="1101"/>
          <w:tab w:val="num" w:pos="786"/>
        </w:tabs>
        <w:spacing w:after="0"/>
        <w:ind w:left="786"/>
        <w:jc w:val="both"/>
        <w:rPr>
          <w:bCs/>
        </w:rPr>
      </w:pPr>
      <w:r w:rsidRPr="00E81FAF">
        <w:rPr>
          <w:bCs/>
        </w:rPr>
        <w:t>ОП „Транспорт и транспортна инфраструктура” – 117,3 млн. лв.;</w:t>
      </w:r>
    </w:p>
    <w:p w:rsidR="00C357D2" w:rsidRPr="00463AAA" w:rsidRDefault="00C357D2" w:rsidP="00C357D2">
      <w:pPr>
        <w:pStyle w:val="BodyTextIndent"/>
        <w:numPr>
          <w:ilvl w:val="0"/>
          <w:numId w:val="12"/>
        </w:numPr>
        <w:tabs>
          <w:tab w:val="clear" w:pos="1101"/>
          <w:tab w:val="num" w:pos="786"/>
        </w:tabs>
        <w:spacing w:after="0"/>
        <w:ind w:left="786"/>
        <w:jc w:val="both"/>
        <w:rPr>
          <w:bCs/>
        </w:rPr>
      </w:pPr>
      <w:r w:rsidRPr="00E81FAF">
        <w:rPr>
          <w:bCs/>
        </w:rPr>
        <w:t>ОП „Наука и образование за интелигентен растеж” – 91,8 млн. лв. и</w:t>
      </w:r>
    </w:p>
    <w:p w:rsidR="00C357D2" w:rsidRPr="00E3663C" w:rsidRDefault="00C357D2" w:rsidP="00C357D2">
      <w:pPr>
        <w:pStyle w:val="BodyTextIndent"/>
        <w:numPr>
          <w:ilvl w:val="0"/>
          <w:numId w:val="12"/>
        </w:numPr>
        <w:tabs>
          <w:tab w:val="clear" w:pos="1101"/>
          <w:tab w:val="num" w:pos="786"/>
        </w:tabs>
        <w:spacing w:after="0"/>
        <w:ind w:left="786"/>
        <w:jc w:val="both"/>
        <w:rPr>
          <w:bCs/>
        </w:rPr>
      </w:pPr>
      <w:r w:rsidRPr="00E3663C">
        <w:rPr>
          <w:bCs/>
        </w:rPr>
        <w:t>ОП „Околна среда 2014 – 2020 г.“ – 107</w:t>
      </w:r>
      <w:r>
        <w:rPr>
          <w:bCs/>
        </w:rPr>
        <w:t>,</w:t>
      </w:r>
      <w:r w:rsidRPr="00E3663C">
        <w:rPr>
          <w:bCs/>
        </w:rPr>
        <w:t>7 млн. л</w:t>
      </w:r>
      <w:r>
        <w:rPr>
          <w:bCs/>
        </w:rPr>
        <w:t>е</w:t>
      </w:r>
      <w:r w:rsidRPr="00E3663C">
        <w:rPr>
          <w:bCs/>
        </w:rPr>
        <w:t>в</w:t>
      </w:r>
      <w:r>
        <w:rPr>
          <w:bCs/>
        </w:rPr>
        <w:t>а</w:t>
      </w:r>
      <w:r w:rsidRPr="00E3663C">
        <w:rPr>
          <w:bCs/>
        </w:rPr>
        <w:t>.</w:t>
      </w:r>
    </w:p>
    <w:p w:rsidR="00C357D2" w:rsidRPr="00B92FEB" w:rsidRDefault="00C357D2" w:rsidP="00C357D2">
      <w:pPr>
        <w:pStyle w:val="BodyTextIndent"/>
        <w:spacing w:before="120"/>
        <w:ind w:left="288" w:firstLine="420"/>
        <w:jc w:val="both"/>
        <w:rPr>
          <w:bCs/>
        </w:rPr>
      </w:pPr>
      <w:r w:rsidRPr="00B92FEB">
        <w:rPr>
          <w:bCs/>
        </w:rPr>
        <w:t>Предоставеното авансово финансиране по реда на ДДС6/2011 г. към бюджетни организации за периода е на стойност 19</w:t>
      </w:r>
      <w:r>
        <w:rPr>
          <w:bCs/>
        </w:rPr>
        <w:t>,</w:t>
      </w:r>
      <w:r w:rsidRPr="00B92FEB">
        <w:rPr>
          <w:bCs/>
        </w:rPr>
        <w:t>5 млн. лева, а възстановените средства – 8</w:t>
      </w:r>
      <w:r>
        <w:rPr>
          <w:bCs/>
        </w:rPr>
        <w:t>,</w:t>
      </w:r>
      <w:r w:rsidRPr="00B92FEB">
        <w:rPr>
          <w:bCs/>
        </w:rPr>
        <w:t>2 млн.</w:t>
      </w:r>
      <w:r>
        <w:rPr>
          <w:bCs/>
        </w:rPr>
        <w:t> </w:t>
      </w:r>
      <w:r w:rsidRPr="00B92FEB">
        <w:rPr>
          <w:bCs/>
        </w:rPr>
        <w:t>лева.</w:t>
      </w:r>
    </w:p>
    <w:p w:rsidR="00C357D2" w:rsidRDefault="00C357D2" w:rsidP="00C357D2">
      <w:pPr>
        <w:pStyle w:val="BodyTextIndent"/>
        <w:ind w:firstLine="425"/>
        <w:jc w:val="both"/>
        <w:rPr>
          <w:bCs/>
        </w:rPr>
      </w:pPr>
      <w:r w:rsidRPr="00B92FEB">
        <w:rPr>
          <w:bCs/>
        </w:rPr>
        <w:t xml:space="preserve">По реда </w:t>
      </w:r>
      <w:r w:rsidRPr="00C827D6">
        <w:rPr>
          <w:bCs/>
        </w:rPr>
        <w:t xml:space="preserve">на ДДС6/2011 г., също така е предоставена </w:t>
      </w:r>
      <w:r>
        <w:rPr>
          <w:bCs/>
        </w:rPr>
        <w:t>и</w:t>
      </w:r>
      <w:r w:rsidRPr="00C827D6">
        <w:rPr>
          <w:bCs/>
        </w:rPr>
        <w:t xml:space="preserve"> възмездна финансова помощ в размер на </w:t>
      </w:r>
      <w:r>
        <w:rPr>
          <w:bCs/>
        </w:rPr>
        <w:t>20,6</w:t>
      </w:r>
      <w:r w:rsidRPr="00C827D6">
        <w:rPr>
          <w:bCs/>
        </w:rPr>
        <w:t xml:space="preserve"> млн. лева на ОП „Транспорт и транспортна инфраструктура”.</w:t>
      </w:r>
    </w:p>
    <w:p w:rsidR="00C357D2" w:rsidRPr="007125F3" w:rsidRDefault="00C357D2" w:rsidP="00C357D2">
      <w:pPr>
        <w:pStyle w:val="BodyTextIndent"/>
        <w:ind w:firstLine="425"/>
        <w:jc w:val="both"/>
        <w:rPr>
          <w:bCs/>
        </w:rPr>
      </w:pPr>
      <w:r>
        <w:rPr>
          <w:bCs/>
        </w:rPr>
        <w:t>След разрешение</w:t>
      </w:r>
      <w:r w:rsidRPr="007125F3">
        <w:rPr>
          <w:bCs/>
        </w:rPr>
        <w:t xml:space="preserve"> от </w:t>
      </w:r>
      <w:r>
        <w:rPr>
          <w:bCs/>
        </w:rPr>
        <w:t>ЕК</w:t>
      </w:r>
      <w:r w:rsidRPr="007125F3">
        <w:rPr>
          <w:bCs/>
        </w:rPr>
        <w:t xml:space="preserve"> част о</w:t>
      </w:r>
      <w:r>
        <w:rPr>
          <w:bCs/>
        </w:rPr>
        <w:t>т средствата по оперативни прог</w:t>
      </w:r>
      <w:r w:rsidRPr="007125F3">
        <w:rPr>
          <w:bCs/>
        </w:rPr>
        <w:t xml:space="preserve">рами </w:t>
      </w:r>
      <w:r>
        <w:rPr>
          <w:bCs/>
        </w:rPr>
        <w:t>бяха</w:t>
      </w:r>
      <w:r w:rsidRPr="007125F3">
        <w:rPr>
          <w:bCs/>
        </w:rPr>
        <w:t xml:space="preserve"> насочени за борба с разпространен</w:t>
      </w:r>
      <w:r>
        <w:rPr>
          <w:bCs/>
        </w:rPr>
        <w:t>ието на корона вируса и преодоляване</w:t>
      </w:r>
      <w:r w:rsidRPr="007125F3">
        <w:rPr>
          <w:bCs/>
        </w:rPr>
        <w:t xml:space="preserve"> на последиците от него. Съвместно с </w:t>
      </w:r>
      <w:r>
        <w:rPr>
          <w:bCs/>
        </w:rPr>
        <w:t>УО по отделните опера</w:t>
      </w:r>
      <w:r w:rsidRPr="007125F3">
        <w:rPr>
          <w:bCs/>
        </w:rPr>
        <w:t xml:space="preserve">тивни програми бяха идентифицирани потенциалните ресурси, програми и мерки, които </w:t>
      </w:r>
      <w:r>
        <w:rPr>
          <w:bCs/>
        </w:rPr>
        <w:t>бяха</w:t>
      </w:r>
      <w:r w:rsidRPr="007125F3">
        <w:rPr>
          <w:bCs/>
        </w:rPr>
        <w:t xml:space="preserve"> мобилизирани за непосредствен от</w:t>
      </w:r>
      <w:r>
        <w:rPr>
          <w:bCs/>
        </w:rPr>
        <w:t>говор на задълбочаващата се кри</w:t>
      </w:r>
      <w:r w:rsidRPr="007125F3">
        <w:rPr>
          <w:bCs/>
        </w:rPr>
        <w:t>за. Въз основа на информацията за вътрешното раз</w:t>
      </w:r>
      <w:r>
        <w:rPr>
          <w:bCs/>
        </w:rPr>
        <w:t>пределение на ресурса по програ</w:t>
      </w:r>
      <w:r w:rsidRPr="007125F3">
        <w:rPr>
          <w:bCs/>
        </w:rPr>
        <w:t xml:space="preserve">ми и необходимия допълнителен бюджет за финансиране на конкретни мерки, </w:t>
      </w:r>
      <w:r>
        <w:rPr>
          <w:bCs/>
        </w:rPr>
        <w:t>бяха</w:t>
      </w:r>
      <w:r w:rsidRPr="007125F3">
        <w:rPr>
          <w:bCs/>
        </w:rPr>
        <w:t xml:space="preserve"> определени трансфери на средства от и към определени опер</w:t>
      </w:r>
      <w:r>
        <w:rPr>
          <w:bCs/>
        </w:rPr>
        <w:t>ативни програми, позво</w:t>
      </w:r>
      <w:r w:rsidRPr="007125F3">
        <w:rPr>
          <w:bCs/>
        </w:rPr>
        <w:t xml:space="preserve">ляващи финансиране на необходими предвид ситуацията </w:t>
      </w:r>
      <w:r>
        <w:rPr>
          <w:bCs/>
        </w:rPr>
        <w:t>мерки</w:t>
      </w:r>
      <w:r w:rsidRPr="007125F3">
        <w:rPr>
          <w:bCs/>
        </w:rPr>
        <w:t xml:space="preserve">. </w:t>
      </w:r>
    </w:p>
    <w:p w:rsidR="00C357D2" w:rsidRDefault="0055185A" w:rsidP="00C357D2">
      <w:pPr>
        <w:pStyle w:val="BodyTextIndent"/>
        <w:ind w:firstLine="425"/>
        <w:jc w:val="both"/>
        <w:rPr>
          <w:bCs/>
          <w:highlight w:val="yellow"/>
        </w:rPr>
      </w:pPr>
      <w:r>
        <w:rPr>
          <w:bCs/>
        </w:rPr>
        <w:t>Ф</w:t>
      </w:r>
      <w:r w:rsidR="00C357D2" w:rsidRPr="007125F3">
        <w:rPr>
          <w:bCs/>
        </w:rPr>
        <w:t xml:space="preserve">ормиран е финансов пакет от над </w:t>
      </w:r>
      <w:r w:rsidR="00C357D2">
        <w:rPr>
          <w:bCs/>
        </w:rPr>
        <w:t>1 008,0</w:t>
      </w:r>
      <w:r w:rsidR="00C357D2" w:rsidRPr="007125F3">
        <w:rPr>
          <w:bCs/>
        </w:rPr>
        <w:t xml:space="preserve"> млн. лева, с който ще бъдат финансирани мерки от социално-икономически характер за подкр</w:t>
      </w:r>
      <w:r w:rsidR="00C357D2">
        <w:rPr>
          <w:bCs/>
        </w:rPr>
        <w:t>епа на непосредствено засегнати</w:t>
      </w:r>
      <w:r w:rsidR="00C357D2" w:rsidRPr="007125F3">
        <w:rPr>
          <w:bCs/>
        </w:rPr>
        <w:t>те от кризата лица и предприятия. За източници слу</w:t>
      </w:r>
      <w:r w:rsidR="00C357D2">
        <w:rPr>
          <w:bCs/>
        </w:rPr>
        <w:t>жат вътрешен ресурс от недогово</w:t>
      </w:r>
      <w:r w:rsidR="00C357D2" w:rsidRPr="007125F3">
        <w:rPr>
          <w:bCs/>
        </w:rPr>
        <w:t xml:space="preserve">рени и </w:t>
      </w:r>
      <w:r w:rsidR="00C357D2" w:rsidRPr="007125F3">
        <w:rPr>
          <w:bCs/>
        </w:rPr>
        <w:lastRenderedPageBreak/>
        <w:t>спестени от текущи операции средства</w:t>
      </w:r>
      <w:r w:rsidR="00C357D2" w:rsidRPr="00466710">
        <w:rPr>
          <w:bCs/>
        </w:rPr>
        <w:t xml:space="preserve"> </w:t>
      </w:r>
      <w:r w:rsidR="00C357D2">
        <w:rPr>
          <w:bCs/>
          <w:lang w:val="en-US"/>
        </w:rPr>
        <w:t>(</w:t>
      </w:r>
      <w:r w:rsidR="00C357D2">
        <w:rPr>
          <w:bCs/>
        </w:rPr>
        <w:t>ОП „</w:t>
      </w:r>
      <w:r w:rsidR="00C357D2" w:rsidRPr="007125F3">
        <w:rPr>
          <w:bCs/>
        </w:rPr>
        <w:t>Региони в р</w:t>
      </w:r>
      <w:r w:rsidR="00C357D2">
        <w:rPr>
          <w:bCs/>
        </w:rPr>
        <w:t>астеж“</w:t>
      </w:r>
      <w:r w:rsidR="00C357D2">
        <w:rPr>
          <w:bCs/>
          <w:lang w:val="en-US"/>
        </w:rPr>
        <w:t>)</w:t>
      </w:r>
      <w:r w:rsidR="00C357D2" w:rsidRPr="007125F3">
        <w:rPr>
          <w:bCs/>
        </w:rPr>
        <w:t>, какт</w:t>
      </w:r>
      <w:r w:rsidR="00C357D2">
        <w:rPr>
          <w:bCs/>
        </w:rPr>
        <w:t>о и прех</w:t>
      </w:r>
      <w:r w:rsidR="00C357D2" w:rsidRPr="007125F3">
        <w:rPr>
          <w:bCs/>
        </w:rPr>
        <w:t>върляне на средства към оперативни програми „Развитие на човешките ресурси“</w:t>
      </w:r>
      <w:r w:rsidR="00C357D2">
        <w:rPr>
          <w:bCs/>
          <w:lang w:val="en-US"/>
        </w:rPr>
        <w:t xml:space="preserve"> </w:t>
      </w:r>
      <w:r w:rsidR="00C357D2">
        <w:rPr>
          <w:bCs/>
        </w:rPr>
        <w:t>и</w:t>
      </w:r>
      <w:r w:rsidR="00C357D2" w:rsidRPr="007125F3">
        <w:rPr>
          <w:bCs/>
        </w:rPr>
        <w:t xml:space="preserve"> „Инов</w:t>
      </w:r>
      <w:r w:rsidR="00C357D2">
        <w:rPr>
          <w:bCs/>
        </w:rPr>
        <w:t>ации и конкурентоспособност“. Прехвърлянето на средст</w:t>
      </w:r>
      <w:r w:rsidR="00C357D2" w:rsidRPr="007125F3">
        <w:rPr>
          <w:bCs/>
        </w:rPr>
        <w:t xml:space="preserve">ва между оперативните програми и насочването </w:t>
      </w:r>
      <w:r w:rsidR="00C357D2">
        <w:rPr>
          <w:bCs/>
        </w:rPr>
        <w:t>им към специфични мерки за мини</w:t>
      </w:r>
      <w:r w:rsidR="00C357D2" w:rsidRPr="007125F3">
        <w:rPr>
          <w:bCs/>
        </w:rPr>
        <w:t>мизиране на отрицателните последици от епидемичното разпространение на COV</w:t>
      </w:r>
      <w:r w:rsidR="0063379F">
        <w:rPr>
          <w:bCs/>
          <w:lang w:val="en-US"/>
        </w:rPr>
        <w:t>I</w:t>
      </w:r>
      <w:r w:rsidR="00C357D2" w:rsidRPr="007125F3">
        <w:rPr>
          <w:bCs/>
        </w:rPr>
        <w:t xml:space="preserve">D-19 стартира с Решение на Министерския съвет № 256 от 14.04.2020 г., като </w:t>
      </w:r>
      <w:r w:rsidR="00C357D2">
        <w:rPr>
          <w:bCs/>
        </w:rPr>
        <w:t>последва</w:t>
      </w:r>
      <w:r w:rsidR="00C357D2" w:rsidRPr="007125F3">
        <w:rPr>
          <w:bCs/>
        </w:rPr>
        <w:t xml:space="preserve"> изменение и на самите програми.</w:t>
      </w:r>
      <w:r w:rsidR="00C357D2" w:rsidRPr="00732412">
        <w:t xml:space="preserve"> </w:t>
      </w:r>
      <w:r w:rsidR="00C357D2" w:rsidRPr="00732412">
        <w:rPr>
          <w:bCs/>
        </w:rPr>
        <w:t>В зависимост от своята насоченост част от мерките вече са в процес на реализация</w:t>
      </w:r>
      <w:r w:rsidR="00C357D2">
        <w:rPr>
          <w:bCs/>
        </w:rPr>
        <w:t>.</w:t>
      </w:r>
    </w:p>
    <w:p w:rsidR="00C357D2" w:rsidRDefault="00C357D2" w:rsidP="00C357D2">
      <w:pPr>
        <w:pStyle w:val="BodyTextIndent"/>
        <w:ind w:firstLine="425"/>
        <w:jc w:val="both"/>
        <w:rPr>
          <w:bCs/>
        </w:rPr>
      </w:pPr>
      <w:r w:rsidRPr="00DE28E1">
        <w:rPr>
          <w:bCs/>
        </w:rPr>
        <w:t>Спрямо заложените разходи и трансфери в план-сметката на НФ изпълнението за първото полугодие на 2020 г. е над 36</w:t>
      </w:r>
      <w:r>
        <w:rPr>
          <w:bCs/>
        </w:rPr>
        <w:t xml:space="preserve"> </w:t>
      </w:r>
      <w:r w:rsidRPr="00DE28E1">
        <w:rPr>
          <w:bCs/>
        </w:rPr>
        <w:t>%, като се очаква в края на годината изпълнението да достигне пълния размер на заложеното във връзка със засиления темп на плащане по оперативните програми през последното тримесечие на годината, както и усвояването на осигурения финансов ресурс по гореспоменатите мерки.</w:t>
      </w:r>
    </w:p>
    <w:p w:rsidR="00C357D2" w:rsidRPr="00C827D6" w:rsidRDefault="00C357D2" w:rsidP="00C357D2">
      <w:pPr>
        <w:pStyle w:val="BodyTextIndent"/>
        <w:spacing w:before="120"/>
        <w:ind w:firstLine="425"/>
        <w:jc w:val="both"/>
        <w:rPr>
          <w:b/>
          <w:bCs/>
        </w:rPr>
      </w:pPr>
      <w:r w:rsidRPr="00C827D6">
        <w:rPr>
          <w:b/>
          <w:bCs/>
        </w:rPr>
        <w:t>Програма ФАР и Преходен финансов инструмент</w:t>
      </w:r>
    </w:p>
    <w:p w:rsidR="00C357D2" w:rsidRPr="00352E48" w:rsidRDefault="00C357D2" w:rsidP="00C357D2">
      <w:pPr>
        <w:pStyle w:val="BodyTextIndent"/>
        <w:ind w:firstLine="425"/>
        <w:jc w:val="both"/>
        <w:rPr>
          <w:bCs/>
          <w:color w:val="365F91" w:themeColor="accent1" w:themeShade="BF"/>
        </w:rPr>
      </w:pPr>
      <w:r w:rsidRPr="00C827D6">
        <w:rPr>
          <w:bCs/>
        </w:rPr>
        <w:t xml:space="preserve">През отчетния период са възстановени суми от бенефициенти по сметките </w:t>
      </w:r>
      <w:r w:rsidRPr="001004B4">
        <w:rPr>
          <w:bCs/>
        </w:rPr>
        <w:t>на Национален фонд на стойност 0</w:t>
      </w:r>
      <w:r>
        <w:rPr>
          <w:bCs/>
        </w:rPr>
        <w:t>,</w:t>
      </w:r>
      <w:r w:rsidRPr="001004B4">
        <w:rPr>
          <w:bCs/>
        </w:rPr>
        <w:t>02 млн. л</w:t>
      </w:r>
      <w:r>
        <w:rPr>
          <w:bCs/>
        </w:rPr>
        <w:t>е</w:t>
      </w:r>
      <w:r w:rsidRPr="001004B4">
        <w:rPr>
          <w:bCs/>
        </w:rPr>
        <w:t>в</w:t>
      </w:r>
      <w:r>
        <w:rPr>
          <w:bCs/>
        </w:rPr>
        <w:t>а</w:t>
      </w:r>
      <w:r w:rsidRPr="001004B4">
        <w:rPr>
          <w:bCs/>
        </w:rPr>
        <w:t>.</w:t>
      </w:r>
    </w:p>
    <w:p w:rsidR="00C357D2" w:rsidRPr="001004B4" w:rsidRDefault="00C357D2" w:rsidP="00C357D2">
      <w:pPr>
        <w:pStyle w:val="BodyTextIndent"/>
        <w:spacing w:before="120"/>
        <w:ind w:firstLine="425"/>
        <w:jc w:val="both"/>
        <w:rPr>
          <w:b/>
          <w:bCs/>
        </w:rPr>
      </w:pPr>
      <w:r w:rsidRPr="001004B4">
        <w:rPr>
          <w:b/>
          <w:bCs/>
        </w:rPr>
        <w:t xml:space="preserve">Програма САПАРД </w:t>
      </w:r>
    </w:p>
    <w:p w:rsidR="00C357D2" w:rsidRPr="001004B4" w:rsidRDefault="00C357D2" w:rsidP="00C357D2">
      <w:pPr>
        <w:pStyle w:val="BodyTextIndent"/>
        <w:ind w:firstLine="425"/>
        <w:jc w:val="both"/>
        <w:rPr>
          <w:bCs/>
        </w:rPr>
      </w:pPr>
      <w:r w:rsidRPr="001004B4">
        <w:rPr>
          <w:bCs/>
        </w:rPr>
        <w:t>През периода са извършени възстановявания от бенефициенти по дългове на стойност 0</w:t>
      </w:r>
      <w:r>
        <w:rPr>
          <w:bCs/>
        </w:rPr>
        <w:t>,</w:t>
      </w:r>
      <w:r w:rsidRPr="001004B4">
        <w:rPr>
          <w:bCs/>
        </w:rPr>
        <w:t>05 млн. л</w:t>
      </w:r>
      <w:r>
        <w:rPr>
          <w:bCs/>
        </w:rPr>
        <w:t>е</w:t>
      </w:r>
      <w:r w:rsidRPr="001004B4">
        <w:rPr>
          <w:bCs/>
        </w:rPr>
        <w:t>в</w:t>
      </w:r>
      <w:r>
        <w:rPr>
          <w:bCs/>
        </w:rPr>
        <w:t>а</w:t>
      </w:r>
      <w:r w:rsidRPr="001004B4">
        <w:rPr>
          <w:bCs/>
        </w:rPr>
        <w:t>.</w:t>
      </w:r>
    </w:p>
    <w:p w:rsidR="00C357D2" w:rsidRPr="001004B4" w:rsidRDefault="00C357D2" w:rsidP="00C357D2">
      <w:pPr>
        <w:pStyle w:val="BodyTextIndent"/>
        <w:spacing w:before="120"/>
        <w:ind w:firstLine="425"/>
        <w:jc w:val="both"/>
        <w:rPr>
          <w:b/>
          <w:bCs/>
        </w:rPr>
      </w:pPr>
      <w:r w:rsidRPr="001004B4">
        <w:rPr>
          <w:b/>
          <w:bCs/>
        </w:rPr>
        <w:t>Двустранни програми за трансгранично сътрудничество по външните граници на Европейския съюз 2014 – 2020 г.</w:t>
      </w:r>
    </w:p>
    <w:p w:rsidR="00C357D2" w:rsidRPr="001004B4" w:rsidRDefault="00C357D2" w:rsidP="00C357D2">
      <w:pPr>
        <w:pStyle w:val="BodyTextIndent"/>
        <w:ind w:firstLine="425"/>
        <w:jc w:val="both"/>
        <w:rPr>
          <w:bCs/>
        </w:rPr>
      </w:pPr>
      <w:r w:rsidRPr="001004B4">
        <w:rPr>
          <w:bCs/>
        </w:rPr>
        <w:t xml:space="preserve">Получените средства към 30.06.2020 г. са на стойност 8.6 млн. лв., представляващи възстановени разходи от ЕК и постъпили средства за </w:t>
      </w:r>
      <w:proofErr w:type="spellStart"/>
      <w:r w:rsidRPr="001004B4">
        <w:rPr>
          <w:bCs/>
        </w:rPr>
        <w:t>съфинансиране</w:t>
      </w:r>
      <w:proofErr w:type="spellEnd"/>
      <w:r w:rsidRPr="001004B4">
        <w:rPr>
          <w:bCs/>
        </w:rPr>
        <w:t xml:space="preserve"> от страните-партньори, както разпределени към администратори в чужбина за сметка на средствата, получени от страната-партньор.</w:t>
      </w:r>
    </w:p>
    <w:p w:rsidR="00C357D2" w:rsidRPr="00D54FF4" w:rsidRDefault="00C357D2" w:rsidP="00C357D2">
      <w:pPr>
        <w:pStyle w:val="BodyTextIndent"/>
        <w:ind w:firstLine="425"/>
        <w:jc w:val="both"/>
        <w:rPr>
          <w:bCs/>
        </w:rPr>
      </w:pPr>
      <w:r w:rsidRPr="001004B4">
        <w:rPr>
          <w:bCs/>
        </w:rPr>
        <w:t xml:space="preserve">Сумата на разходите и трансферите (нето) към бюджетни организации в страната, които са направени през същия период по двустранните програми </w:t>
      </w:r>
      <w:r>
        <w:rPr>
          <w:bCs/>
        </w:rPr>
        <w:t>е</w:t>
      </w:r>
      <w:r w:rsidRPr="001004B4">
        <w:rPr>
          <w:bCs/>
        </w:rPr>
        <w:t xml:space="preserve"> на обща стойност 10</w:t>
      </w:r>
      <w:r>
        <w:rPr>
          <w:bCs/>
        </w:rPr>
        <w:t>,</w:t>
      </w:r>
      <w:r w:rsidRPr="00D54FF4">
        <w:rPr>
          <w:bCs/>
        </w:rPr>
        <w:t>6</w:t>
      </w:r>
      <w:r w:rsidRPr="001004B4">
        <w:rPr>
          <w:bCs/>
        </w:rPr>
        <w:t xml:space="preserve"> млн.</w:t>
      </w:r>
      <w:r>
        <w:rPr>
          <w:bCs/>
        </w:rPr>
        <w:t> </w:t>
      </w:r>
      <w:r w:rsidRPr="001004B4">
        <w:rPr>
          <w:bCs/>
        </w:rPr>
        <w:t xml:space="preserve">лв., включително за плащания към бенефициенти в страната, извършени за сметка на полученото финансиране от страната-партньор по тези програми. </w:t>
      </w:r>
    </w:p>
    <w:p w:rsidR="00C357D2" w:rsidRPr="001F4E77" w:rsidRDefault="00C357D2" w:rsidP="00C357D2">
      <w:pPr>
        <w:pStyle w:val="BodyTextIndent"/>
        <w:spacing w:before="120"/>
        <w:ind w:firstLine="425"/>
        <w:jc w:val="both"/>
        <w:rPr>
          <w:b/>
          <w:bCs/>
        </w:rPr>
      </w:pPr>
      <w:r w:rsidRPr="001F4E77">
        <w:rPr>
          <w:b/>
          <w:bCs/>
        </w:rPr>
        <w:t>Финансов механизъм на Европейското икономическо пространство и Норвежки финансов механизъм за периода 2009-2014 г. и 2014-2021 г.</w:t>
      </w:r>
    </w:p>
    <w:p w:rsidR="00C357D2" w:rsidRPr="001F4E77" w:rsidRDefault="00C357D2" w:rsidP="00C357D2">
      <w:pPr>
        <w:pStyle w:val="BodyTextIndent"/>
        <w:ind w:firstLine="425"/>
        <w:jc w:val="both"/>
        <w:rPr>
          <w:bCs/>
        </w:rPr>
      </w:pPr>
      <w:r w:rsidRPr="001F4E77">
        <w:rPr>
          <w:bCs/>
        </w:rPr>
        <w:t>Възстановените към Офиса от НФ средства общо по ЕИП и НФМ за периода са на стойност 0</w:t>
      </w:r>
      <w:r>
        <w:rPr>
          <w:bCs/>
        </w:rPr>
        <w:t>,08</w:t>
      </w:r>
      <w:r w:rsidRPr="001F4E77">
        <w:rPr>
          <w:bCs/>
        </w:rPr>
        <w:t xml:space="preserve"> млн. лева, а получените са в размер на 13</w:t>
      </w:r>
      <w:r>
        <w:rPr>
          <w:bCs/>
        </w:rPr>
        <w:t>,1</w:t>
      </w:r>
      <w:r w:rsidRPr="001F4E77">
        <w:rPr>
          <w:bCs/>
        </w:rPr>
        <w:t xml:space="preserve"> млн. лева.</w:t>
      </w:r>
    </w:p>
    <w:p w:rsidR="00C357D2" w:rsidRPr="001F4E77" w:rsidRDefault="00C357D2" w:rsidP="00C357D2">
      <w:pPr>
        <w:pStyle w:val="BodyTextIndent"/>
        <w:ind w:firstLine="425"/>
        <w:jc w:val="both"/>
        <w:rPr>
          <w:bCs/>
        </w:rPr>
      </w:pPr>
      <w:r w:rsidRPr="001F4E77">
        <w:rPr>
          <w:bCs/>
        </w:rPr>
        <w:t xml:space="preserve">Сумата на разходите и трансферите (нето) към 30.06.2020 г. с натрупване </w:t>
      </w:r>
      <w:r>
        <w:rPr>
          <w:bCs/>
        </w:rPr>
        <w:t>е</w:t>
      </w:r>
      <w:r w:rsidRPr="001F4E77">
        <w:rPr>
          <w:bCs/>
        </w:rPr>
        <w:t xml:space="preserve"> на обща стойност 13</w:t>
      </w:r>
      <w:r>
        <w:rPr>
          <w:bCs/>
        </w:rPr>
        <w:t>,</w:t>
      </w:r>
      <w:r w:rsidRPr="001F4E77">
        <w:rPr>
          <w:bCs/>
        </w:rPr>
        <w:t>0 млн. лева.</w:t>
      </w:r>
    </w:p>
    <w:p w:rsidR="00C357D2" w:rsidRPr="00572277" w:rsidRDefault="00C357D2" w:rsidP="00C357D2">
      <w:pPr>
        <w:pStyle w:val="BodyTextIndent"/>
        <w:spacing w:before="120"/>
        <w:ind w:firstLine="425"/>
        <w:jc w:val="both"/>
        <w:rPr>
          <w:b/>
          <w:bCs/>
        </w:rPr>
      </w:pPr>
      <w:r w:rsidRPr="00572277">
        <w:rPr>
          <w:b/>
          <w:bCs/>
        </w:rPr>
        <w:t>Българо-швейцарска програма за сътрудничество за намаляване на икономическите и социални неравенства в рамките на разширения Европейски съюз</w:t>
      </w:r>
    </w:p>
    <w:p w:rsidR="00C357D2" w:rsidRPr="00572277" w:rsidRDefault="00C357D2" w:rsidP="00C357D2">
      <w:pPr>
        <w:pStyle w:val="BodyTextIndent"/>
        <w:ind w:firstLine="425"/>
        <w:jc w:val="both"/>
        <w:rPr>
          <w:bCs/>
        </w:rPr>
      </w:pPr>
      <w:r w:rsidRPr="00572277">
        <w:rPr>
          <w:bCs/>
        </w:rPr>
        <w:t>Получените средства по програмата за периода са в размер на 4</w:t>
      </w:r>
      <w:r>
        <w:rPr>
          <w:bCs/>
        </w:rPr>
        <w:t>,3</w:t>
      </w:r>
      <w:r w:rsidRPr="00572277">
        <w:rPr>
          <w:bCs/>
        </w:rPr>
        <w:t xml:space="preserve"> млн. лева.</w:t>
      </w:r>
    </w:p>
    <w:p w:rsidR="00C357D2" w:rsidRPr="00572277" w:rsidRDefault="00C357D2" w:rsidP="00C357D2">
      <w:pPr>
        <w:pStyle w:val="BodyTextIndent"/>
        <w:ind w:firstLine="425"/>
        <w:jc w:val="both"/>
        <w:rPr>
          <w:bCs/>
        </w:rPr>
      </w:pPr>
      <w:r w:rsidRPr="00572277">
        <w:rPr>
          <w:bCs/>
        </w:rPr>
        <w:t>Извършените изходящи трансфери към бенефициенти-бюджетни организации от началото на годината са в размер на 2</w:t>
      </w:r>
      <w:r>
        <w:rPr>
          <w:bCs/>
        </w:rPr>
        <w:t>,</w:t>
      </w:r>
      <w:r w:rsidRPr="00572277">
        <w:rPr>
          <w:bCs/>
        </w:rPr>
        <w:t>6 млн. лева.</w:t>
      </w:r>
    </w:p>
    <w:p w:rsidR="00251963" w:rsidRPr="00E4665D" w:rsidRDefault="00251963" w:rsidP="00F0069C">
      <w:pPr>
        <w:pStyle w:val="Heading1"/>
        <w:numPr>
          <w:ilvl w:val="0"/>
          <w:numId w:val="10"/>
        </w:numPr>
        <w:spacing w:before="480"/>
        <w:ind w:left="533" w:right="-108" w:hanging="391"/>
        <w:jc w:val="both"/>
        <w:rPr>
          <w:sz w:val="24"/>
        </w:rPr>
      </w:pPr>
      <w:r w:rsidRPr="00E4665D">
        <w:rPr>
          <w:sz w:val="24"/>
        </w:rPr>
        <w:t>Бюджети на социално и здравно-осигурителните фондове и бюджети по чл. 13, ал. 2 и ал. 3 на Закона за публичните финанси</w:t>
      </w:r>
    </w:p>
    <w:p w:rsidR="00251963" w:rsidRPr="00E4665D" w:rsidRDefault="00251963" w:rsidP="00394407">
      <w:pPr>
        <w:pStyle w:val="Heading1"/>
        <w:numPr>
          <w:ilvl w:val="1"/>
          <w:numId w:val="10"/>
        </w:numPr>
        <w:spacing w:before="240"/>
        <w:ind w:left="788" w:right="-108" w:hanging="431"/>
        <w:jc w:val="both"/>
        <w:rPr>
          <w:sz w:val="24"/>
          <w:lang w:val="en-US"/>
        </w:rPr>
      </w:pPr>
      <w:r w:rsidRPr="00E4665D">
        <w:rPr>
          <w:sz w:val="24"/>
        </w:rPr>
        <w:t>Социално и здравно-осигурителни фондове</w:t>
      </w:r>
    </w:p>
    <w:p w:rsidR="00251963" w:rsidRPr="00E4665D" w:rsidRDefault="00251963" w:rsidP="00394407">
      <w:pPr>
        <w:numPr>
          <w:ilvl w:val="1"/>
          <w:numId w:val="6"/>
        </w:numPr>
        <w:spacing w:before="240" w:line="276" w:lineRule="auto"/>
        <w:ind w:left="992" w:hanging="357"/>
        <w:jc w:val="both"/>
        <w:rPr>
          <w:b/>
          <w:bCs/>
        </w:rPr>
      </w:pPr>
      <w:r w:rsidRPr="00E4665D">
        <w:rPr>
          <w:b/>
        </w:rPr>
        <w:t>Държавно обществено осигуряване</w:t>
      </w:r>
    </w:p>
    <w:p w:rsidR="00394407" w:rsidRPr="00394407" w:rsidRDefault="00394407" w:rsidP="00394407">
      <w:pPr>
        <w:ind w:firstLine="567"/>
        <w:jc w:val="both"/>
      </w:pPr>
      <w:r w:rsidRPr="00394407">
        <w:t>Безпрецедентна</w:t>
      </w:r>
      <w:r w:rsidR="003C71EB">
        <w:t>та</w:t>
      </w:r>
      <w:r w:rsidRPr="00394407">
        <w:t xml:space="preserve"> ситуация, в която попадна България, както и много от държавите по света, за ограничаване</w:t>
      </w:r>
      <w:r w:rsidRPr="00394407">
        <w:rPr>
          <w:lang w:val="en-US"/>
        </w:rPr>
        <w:t xml:space="preserve"> и </w:t>
      </w:r>
      <w:proofErr w:type="spellStart"/>
      <w:r w:rsidRPr="00394407">
        <w:rPr>
          <w:lang w:val="en-US"/>
        </w:rPr>
        <w:t>овладяване</w:t>
      </w:r>
      <w:proofErr w:type="spellEnd"/>
      <w:r w:rsidRPr="00394407">
        <w:t xml:space="preserve"> разпространението на заразата с COVID-19, настъпилата </w:t>
      </w:r>
      <w:r w:rsidRPr="00394407">
        <w:lastRenderedPageBreak/>
        <w:t>криза в световната, европейската и националната икономика и в тази връзка очертаващата се невъзможност да бъдат постигнати заложените фискални цели с разчетите към ЗДБРБ за 2020</w:t>
      </w:r>
      <w:r w:rsidR="00E81FAF">
        <w:t> </w:t>
      </w:r>
      <w:r w:rsidRPr="00394407">
        <w:t xml:space="preserve">г. доведе до необходимостта от изготвяне на проект на Закон за изменение и допълнение на Закона за държавния бюджет на Република България за 2020 г. (ЗИД на ЗДБРБ за 2020 г.), с който се извършиха и промени в Закона за бюджета на държавното обществено осигуряване за 2020 г. </w:t>
      </w:r>
      <w:r w:rsidRPr="00394407">
        <w:rPr>
          <w:lang w:val="en-US"/>
        </w:rPr>
        <w:t>(</w:t>
      </w:r>
      <w:r w:rsidRPr="00394407">
        <w:t>ЗБДОО за 2020 г.</w:t>
      </w:r>
      <w:r w:rsidRPr="00394407">
        <w:rPr>
          <w:lang w:val="en-US"/>
        </w:rPr>
        <w:t>)</w:t>
      </w:r>
      <w:r w:rsidRPr="00394407">
        <w:t>.</w:t>
      </w:r>
    </w:p>
    <w:p w:rsidR="00394407" w:rsidRPr="00394407" w:rsidRDefault="00394407" w:rsidP="00394407">
      <w:pPr>
        <w:ind w:firstLine="567"/>
        <w:jc w:val="both"/>
        <w:rPr>
          <w:color w:val="5B9BD5"/>
        </w:rPr>
      </w:pPr>
      <w:r w:rsidRPr="00394407">
        <w:t xml:space="preserve">Извършените промени в ЗБДОО за 2020 г. </w:t>
      </w:r>
      <w:r w:rsidRPr="00394407">
        <w:rPr>
          <w:bCs/>
        </w:rPr>
        <w:t>(</w:t>
      </w:r>
      <w:proofErr w:type="spellStart"/>
      <w:r w:rsidRPr="00394407">
        <w:t>обн</w:t>
      </w:r>
      <w:proofErr w:type="spellEnd"/>
      <w:r w:rsidRPr="00394407">
        <w:t>. ДВ. бр. 99 от 17 декември 2019 г., изм. ДВ. бр. 34 от 9 април 2020 г.</w:t>
      </w:r>
      <w:r w:rsidRPr="00394407">
        <w:rPr>
          <w:bCs/>
        </w:rPr>
        <w:t xml:space="preserve">) </w:t>
      </w:r>
      <w:r w:rsidRPr="00394407">
        <w:t>са във връзка с очакваното неизпълнение на приходите от социално-осигурителни вноски, като приходите са намалени с 0,43 млрд. лв., а за обезпечаване на допълнителните средства за реализиране на мерките за запазване на работните места в страната (т.н. мярка „60/40“) са предвидени допълнителни разходи в размер на 1,0 млрд. лв. Направена е и произтичащата от горните изменения промяна на бюджетното взаимоотношение с държавния бюджет за покриване на недостига по бюджета на ДОО за 2020 г., с която то се увеличава с 1,43 млрд. лв.</w:t>
      </w:r>
    </w:p>
    <w:p w:rsidR="00394407" w:rsidRPr="00394407" w:rsidRDefault="00394407" w:rsidP="00394407">
      <w:pPr>
        <w:ind w:firstLine="567"/>
        <w:jc w:val="both"/>
        <w:rPr>
          <w:color w:val="5B9BD5"/>
        </w:rPr>
      </w:pPr>
      <w:r w:rsidRPr="00394407">
        <w:t xml:space="preserve">Общата сума на </w:t>
      </w:r>
      <w:r w:rsidRPr="00394407">
        <w:rPr>
          <w:b/>
        </w:rPr>
        <w:t>приходите, помощите и даренията</w:t>
      </w:r>
      <w:r w:rsidRPr="00394407">
        <w:t xml:space="preserve"> по бюджета на Държавното обществено осигуряване (ДОО) към 30.06.2020 г. възлиза на 3 880,2 млн. лв.</w:t>
      </w:r>
      <w:r w:rsidRPr="00394407">
        <w:rPr>
          <w:bCs/>
        </w:rPr>
        <w:t>, което представлява 50,3 % от заложените по актуализирания бюджет на ДОО за 20</w:t>
      </w:r>
      <w:r w:rsidRPr="00394407">
        <w:rPr>
          <w:bCs/>
          <w:lang w:val="en-US"/>
        </w:rPr>
        <w:t>20</w:t>
      </w:r>
      <w:r w:rsidRPr="00394407">
        <w:rPr>
          <w:bCs/>
        </w:rPr>
        <w:t xml:space="preserve"> г. 7 </w:t>
      </w:r>
      <w:r w:rsidRPr="00394407">
        <w:rPr>
          <w:bCs/>
          <w:lang w:val="en-US"/>
        </w:rPr>
        <w:t>713</w:t>
      </w:r>
      <w:r w:rsidR="003C71EB">
        <w:rPr>
          <w:bCs/>
        </w:rPr>
        <w:t>,2</w:t>
      </w:r>
      <w:r w:rsidRPr="00394407">
        <w:rPr>
          <w:bCs/>
        </w:rPr>
        <w:t> млн.</w:t>
      </w:r>
      <w:r w:rsidRPr="00394407">
        <w:rPr>
          <w:bCs/>
          <w:lang w:val="en-US"/>
        </w:rPr>
        <w:t xml:space="preserve"> </w:t>
      </w:r>
      <w:r w:rsidRPr="00394407">
        <w:rPr>
          <w:bCs/>
        </w:rPr>
        <w:t>лв.</w:t>
      </w:r>
      <w:r w:rsidRPr="00394407">
        <w:t xml:space="preserve"> </w:t>
      </w:r>
      <w:r w:rsidRPr="00394407">
        <w:rPr>
          <w:bCs/>
        </w:rPr>
        <w:t xml:space="preserve">Най-голям е делът на приходите от осигурителни вноски, които за отчетния период са в размер на 3 806,3 млн. лв. и представляват 98,1 % от общите приходи. </w:t>
      </w:r>
    </w:p>
    <w:p w:rsidR="00394407" w:rsidRPr="00394407" w:rsidRDefault="00394407" w:rsidP="00394407">
      <w:pPr>
        <w:ind w:firstLine="709"/>
        <w:jc w:val="both"/>
        <w:rPr>
          <w:rFonts w:eastAsia="Calibri"/>
          <w:color w:val="5B9BD5"/>
        </w:rPr>
      </w:pPr>
      <w:r w:rsidRPr="00394407">
        <w:t xml:space="preserve">Съпоставени с първото полугодие на 2019 г., приходите по бюджета на ДОО нарастват със 126,2 млн. лв. (3,4 %). </w:t>
      </w:r>
      <w:r w:rsidRPr="00394407">
        <w:rPr>
          <w:bCs/>
        </w:rPr>
        <w:t>Върху състоянието на приходите през 20</w:t>
      </w:r>
      <w:r w:rsidRPr="00394407">
        <w:rPr>
          <w:bCs/>
          <w:lang w:val="en-US"/>
        </w:rPr>
        <w:t>20</w:t>
      </w:r>
      <w:r w:rsidRPr="00394407">
        <w:rPr>
          <w:bCs/>
        </w:rPr>
        <w:t xml:space="preserve"> г. влияние оказват следните административни мерки: з</w:t>
      </w:r>
      <w:r w:rsidRPr="00394407">
        <w:t>апазване равнищата на минималните осигурителни доходи по основните икономически дейности и квалификационни групи професии от 201</w:t>
      </w:r>
      <w:r w:rsidRPr="00394407">
        <w:rPr>
          <w:lang w:val="en-US"/>
        </w:rPr>
        <w:t>9</w:t>
      </w:r>
      <w:r w:rsidRPr="00394407">
        <w:t xml:space="preserve"> г., с изключение на позициите, които са под новия размер на минималната работна заплата за 20</w:t>
      </w:r>
      <w:r w:rsidRPr="00394407">
        <w:rPr>
          <w:lang w:val="en-US"/>
        </w:rPr>
        <w:t>20</w:t>
      </w:r>
      <w:r w:rsidR="00463AAA">
        <w:t> </w:t>
      </w:r>
      <w:r w:rsidRPr="00394407">
        <w:t>г. (</w:t>
      </w:r>
      <w:r w:rsidRPr="00394407">
        <w:rPr>
          <w:lang w:val="en-US"/>
        </w:rPr>
        <w:t>610</w:t>
      </w:r>
      <w:r w:rsidRPr="00394407">
        <w:t xml:space="preserve"> лв.) и съответно те бяха приравнени на нея, с което </w:t>
      </w:r>
      <w:r w:rsidR="00E81FAF">
        <w:t xml:space="preserve">се постигна </w:t>
      </w:r>
      <w:r w:rsidRPr="00394407">
        <w:t>средно нарастване на минималните осигурителни доходи през 20</w:t>
      </w:r>
      <w:r w:rsidRPr="00394407">
        <w:rPr>
          <w:lang w:val="en-US"/>
        </w:rPr>
        <w:t>20</w:t>
      </w:r>
      <w:r w:rsidRPr="00394407">
        <w:t xml:space="preserve"> г. с около </w:t>
      </w:r>
      <w:r w:rsidRPr="00394407">
        <w:rPr>
          <w:lang w:val="en-US"/>
        </w:rPr>
        <w:t>5</w:t>
      </w:r>
      <w:r w:rsidRPr="00394407">
        <w:t>,</w:t>
      </w:r>
      <w:r w:rsidRPr="00394407">
        <w:rPr>
          <w:lang w:val="en-US"/>
        </w:rPr>
        <w:t>5</w:t>
      </w:r>
      <w:r w:rsidRPr="00394407">
        <w:t xml:space="preserve"> на сто спрямо 201</w:t>
      </w:r>
      <w:r w:rsidRPr="00394407">
        <w:rPr>
          <w:lang w:val="en-US"/>
        </w:rPr>
        <w:t>9</w:t>
      </w:r>
      <w:r w:rsidRPr="00394407">
        <w:t xml:space="preserve"> година; увеличението с 10 % на разходите за персонал в бюджетната сфера и поредната стъпка от увеличението на възнагражденията в сектор „Образование“. </w:t>
      </w:r>
    </w:p>
    <w:p w:rsidR="00394407" w:rsidRPr="00394407" w:rsidRDefault="00394407" w:rsidP="00394407">
      <w:pPr>
        <w:ind w:firstLine="567"/>
        <w:jc w:val="both"/>
        <w:rPr>
          <w:bCs/>
        </w:rPr>
      </w:pPr>
      <w:r w:rsidRPr="00394407">
        <w:rPr>
          <w:bCs/>
        </w:rPr>
        <w:t xml:space="preserve">Отчетените неданъчни приходи към края на юни 2020 г. по бюджета на ДОО възлизат на 74,0 млн. лв., в т.ч. 63,5 млн. лв. постъпили средства по чл. 4б, чл. 4в и чл. 69б от Кодекса за социално осигуряване </w:t>
      </w:r>
      <w:r w:rsidRPr="00394407">
        <w:rPr>
          <w:bCs/>
          <w:lang w:val="en-US"/>
        </w:rPr>
        <w:t>(</w:t>
      </w:r>
      <w:r w:rsidRPr="00394407">
        <w:rPr>
          <w:bCs/>
        </w:rPr>
        <w:t>КСО</w:t>
      </w:r>
      <w:r w:rsidRPr="00394407">
        <w:t xml:space="preserve">) </w:t>
      </w:r>
      <w:r w:rsidRPr="00394407">
        <w:rPr>
          <w:bCs/>
        </w:rPr>
        <w:t>(п</w:t>
      </w:r>
      <w:r w:rsidRPr="00394407">
        <w:t xml:space="preserve">рехвърлени </w:t>
      </w:r>
      <w:r w:rsidRPr="00394407">
        <w:rPr>
          <w:lang w:val="en-US"/>
        </w:rPr>
        <w:t>(</w:t>
      </w:r>
      <w:r w:rsidRPr="00394407">
        <w:t>възстановени</w:t>
      </w:r>
      <w:r w:rsidRPr="00394407">
        <w:rPr>
          <w:lang w:val="en-US"/>
        </w:rPr>
        <w:t>)</w:t>
      </w:r>
      <w:r w:rsidRPr="00394407">
        <w:t xml:space="preserve"> акумулирани средства от осигурителни вноски).</w:t>
      </w:r>
      <w:r w:rsidRPr="00394407">
        <w:rPr>
          <w:bCs/>
        </w:rPr>
        <w:t xml:space="preserve"> </w:t>
      </w:r>
    </w:p>
    <w:p w:rsidR="00394407" w:rsidRPr="00844C3E" w:rsidRDefault="00394407" w:rsidP="00844C3E">
      <w:pPr>
        <w:tabs>
          <w:tab w:val="num" w:pos="1499"/>
          <w:tab w:val="num" w:pos="2148"/>
        </w:tabs>
        <w:spacing w:after="120"/>
        <w:ind w:firstLine="567"/>
        <w:jc w:val="both"/>
      </w:pPr>
      <w:r w:rsidRPr="00394407">
        <w:rPr>
          <w:bCs/>
        </w:rPr>
        <w:t xml:space="preserve">Размерът на извършените </w:t>
      </w:r>
      <w:r w:rsidRPr="00394407">
        <w:rPr>
          <w:b/>
          <w:bCs/>
        </w:rPr>
        <w:t xml:space="preserve">разходи </w:t>
      </w:r>
      <w:r w:rsidRPr="00394407">
        <w:rPr>
          <w:bCs/>
        </w:rPr>
        <w:t>за първото полугодие на 2020 г. по актуализирания бюджет на ДОО е 6 205,4 млн. лв., което представлява 46,1 % от предвидените по бюджета за 20</w:t>
      </w:r>
      <w:r w:rsidRPr="00394407">
        <w:rPr>
          <w:bCs/>
          <w:lang w:val="en-US"/>
        </w:rPr>
        <w:t>20</w:t>
      </w:r>
      <w:r w:rsidRPr="00394407">
        <w:rPr>
          <w:bCs/>
        </w:rPr>
        <w:t xml:space="preserve"> г. средства. Спрямо същия период на миналата година, общо разходите по бюджета на ДОО са с 598,2 млн. лв. (10,7 %) повече. От структурна гледна точка с най-голям относителен дял в общите разходи са разходите за пенсии, обезщетения и помощи, изплащани на основание Кодекса за социално осигуряване – общо 6 022,4 млн. лв. или 97,1 % от общия размер на разходите за отчетния период. Отчетените разходи за </w:t>
      </w:r>
      <w:r w:rsidRPr="00394407">
        <w:rPr>
          <w:b/>
          <w:bCs/>
        </w:rPr>
        <w:t>пенсии</w:t>
      </w:r>
      <w:r w:rsidRPr="00394407">
        <w:rPr>
          <w:bCs/>
        </w:rPr>
        <w:t xml:space="preserve"> по бюджета на ДОО към 30.06.2020 г. възлизат на 5 120,2 млн. лв., което е с 361,5 млн. лв. повече спрямо първите шест месеца на 2019 г. </w:t>
      </w:r>
      <w:r w:rsidRPr="00394407">
        <w:t xml:space="preserve">Отчетените разходи за </w:t>
      </w:r>
      <w:r w:rsidRPr="00394407">
        <w:rPr>
          <w:b/>
        </w:rPr>
        <w:t>краткосрочни обезщетения и помощи по КСО</w:t>
      </w:r>
      <w:r w:rsidRPr="00394407">
        <w:t xml:space="preserve"> са в размер на 902,2 млн. лева. Спрямо същия период на миналата година изплатените обезщетения по КСО са със 113,3 млн. лв. (14,4 %) повече.</w:t>
      </w:r>
    </w:p>
    <w:p w:rsidR="00394407" w:rsidRPr="00394407" w:rsidRDefault="00394407" w:rsidP="00394407">
      <w:pPr>
        <w:numPr>
          <w:ilvl w:val="1"/>
          <w:numId w:val="6"/>
        </w:numPr>
        <w:tabs>
          <w:tab w:val="num" w:pos="709"/>
          <w:tab w:val="left" w:pos="851"/>
          <w:tab w:val="left" w:pos="1134"/>
        </w:tabs>
        <w:spacing w:before="240" w:line="276" w:lineRule="auto"/>
        <w:ind w:left="709" w:hanging="357"/>
        <w:jc w:val="both"/>
        <w:rPr>
          <w:b/>
          <w:bCs/>
        </w:rPr>
      </w:pPr>
      <w:r w:rsidRPr="00394407">
        <w:rPr>
          <w:b/>
          <w:bCs/>
        </w:rPr>
        <w:t>Национална здравноосигурителна каса</w:t>
      </w:r>
    </w:p>
    <w:p w:rsidR="00394407" w:rsidRPr="00394407" w:rsidRDefault="00394407" w:rsidP="00394407">
      <w:pPr>
        <w:ind w:firstLine="567"/>
        <w:jc w:val="both"/>
      </w:pPr>
      <w:r w:rsidRPr="00394407">
        <w:t xml:space="preserve">Общият размер на събраните </w:t>
      </w:r>
      <w:r w:rsidRPr="00394407">
        <w:rPr>
          <w:b/>
        </w:rPr>
        <w:t>приходи</w:t>
      </w:r>
      <w:r w:rsidRPr="00394407">
        <w:t xml:space="preserve"> по бюджета на НЗОК за първите шест месеца на 2020 г. възлиза на 1 482,1 млн. лв., което представлява 47,4 % от предвидените със Закона за бюджета на НЗОК (ЗБНЗОК) за 2020 г. – 3 127,7 млн. лева. Постъпленията от здравноосигурителни вноски са в размер на 1 473,7 млн. лв., което е 47,4 % изпълнение на утвърдените със ЗБНЗОК за 2020 г. средства в размер на 3 107,1 млн. лева. Събраните неданъчни приходи за първото полугодие на 2020 г. са 8,4 млн. лв. или 40,8 % от заложените в ЗБНЗОК за 2020 г., като основната част от тях са приходи от глоби, санкции и наказателни лихви. </w:t>
      </w:r>
    </w:p>
    <w:p w:rsidR="00394407" w:rsidRPr="00394407" w:rsidRDefault="00394407" w:rsidP="00394407">
      <w:pPr>
        <w:ind w:firstLine="567"/>
        <w:jc w:val="both"/>
        <w:rPr>
          <w:color w:val="5B9BD5"/>
        </w:rPr>
      </w:pPr>
      <w:r w:rsidRPr="00394407">
        <w:lastRenderedPageBreak/>
        <w:t>Полученият трансфер от МЗ за</w:t>
      </w:r>
      <w:r w:rsidRPr="00394407">
        <w:rPr>
          <w:szCs w:val="20"/>
        </w:rPr>
        <w:t xml:space="preserve">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w:t>
      </w:r>
      <w:proofErr w:type="spellStart"/>
      <w:r w:rsidRPr="00394407">
        <w:rPr>
          <w:szCs w:val="20"/>
        </w:rPr>
        <w:t>здравнонеосигурени</w:t>
      </w:r>
      <w:proofErr w:type="spellEnd"/>
      <w:r w:rsidRPr="00394407">
        <w:rPr>
          <w:szCs w:val="20"/>
        </w:rPr>
        <w:t xml:space="preserve">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задължителното здравно осигуряване за отчетния период</w:t>
      </w:r>
      <w:r w:rsidRPr="00394407">
        <w:rPr>
          <w:szCs w:val="20"/>
          <w:lang w:val="en-US"/>
        </w:rPr>
        <w:t xml:space="preserve"> e</w:t>
      </w:r>
      <w:r w:rsidRPr="00394407">
        <w:rPr>
          <w:szCs w:val="20"/>
        </w:rPr>
        <w:t xml:space="preserve"> в размер на 31,0</w:t>
      </w:r>
      <w:r w:rsidRPr="00394407">
        <w:t xml:space="preserve"> млн. лева. </w:t>
      </w:r>
    </w:p>
    <w:p w:rsidR="00394407" w:rsidRPr="00394407" w:rsidRDefault="00394407" w:rsidP="00394407">
      <w:pPr>
        <w:ind w:firstLine="567"/>
        <w:jc w:val="both"/>
      </w:pPr>
      <w:r w:rsidRPr="00394407">
        <w:t>Трансферите за здравно осигуряване от централния бюджет за периода са 766,9 млн. лв.</w:t>
      </w:r>
    </w:p>
    <w:p w:rsidR="00394407" w:rsidRPr="00394407" w:rsidRDefault="00394407" w:rsidP="00394407">
      <w:pPr>
        <w:ind w:firstLine="567"/>
        <w:jc w:val="both"/>
        <w:rPr>
          <w:color w:val="5B9BD5"/>
        </w:rPr>
      </w:pPr>
      <w:r w:rsidRPr="00394407">
        <w:t xml:space="preserve">Отчетените </w:t>
      </w:r>
      <w:r w:rsidRPr="00394407">
        <w:rPr>
          <w:b/>
        </w:rPr>
        <w:t>разходи</w:t>
      </w:r>
      <w:r w:rsidRPr="00394407">
        <w:t xml:space="preserve"> към 30.06.2020 г. са в размер на 2 104,0 млн. лв. и представляват 44,4 % от предвидените в ЗБНЗОК за 2020 г. 4 739,2 млн. лева. Най-голям относителен дял (97,1 %) заемат здравноосигурителните плащания, които възлизат на 2 043,0 млн. лева. В отделните направления на здравноосигурителни плащания изпълнението на бюджета за първото полугодие на 2020 г. е следното:</w:t>
      </w:r>
    </w:p>
    <w:p w:rsidR="00394407" w:rsidRPr="00394407" w:rsidRDefault="00394407" w:rsidP="00394407">
      <w:pPr>
        <w:numPr>
          <w:ilvl w:val="0"/>
          <w:numId w:val="18"/>
        </w:numPr>
        <w:tabs>
          <w:tab w:val="num" w:pos="0"/>
          <w:tab w:val="left" w:pos="720"/>
          <w:tab w:val="left" w:pos="1134"/>
        </w:tabs>
        <w:spacing w:before="120" w:line="276" w:lineRule="auto"/>
        <w:ind w:hanging="6169"/>
        <w:jc w:val="both"/>
        <w:rPr>
          <w:bCs/>
        </w:rPr>
      </w:pPr>
      <w:r w:rsidRPr="00394407">
        <w:rPr>
          <w:b/>
          <w:i/>
        </w:rPr>
        <w:t xml:space="preserve">първична </w:t>
      </w:r>
      <w:proofErr w:type="spellStart"/>
      <w:r w:rsidRPr="00394407">
        <w:rPr>
          <w:b/>
          <w:i/>
        </w:rPr>
        <w:t>извънболнична</w:t>
      </w:r>
      <w:proofErr w:type="spellEnd"/>
      <w:r w:rsidRPr="00394407">
        <w:rPr>
          <w:b/>
          <w:i/>
        </w:rPr>
        <w:t xml:space="preserve"> медицинска помощ</w:t>
      </w:r>
      <w:r w:rsidRPr="00394407">
        <w:rPr>
          <w:i/>
        </w:rPr>
        <w:t xml:space="preserve"> –</w:t>
      </w:r>
      <w:r w:rsidRPr="00394407">
        <w:t xml:space="preserve"> 115,0 млн. лева;</w:t>
      </w:r>
      <w:r w:rsidRPr="00394407">
        <w:rPr>
          <w:bCs/>
        </w:rPr>
        <w:t xml:space="preserve"> </w:t>
      </w:r>
    </w:p>
    <w:p w:rsidR="00394407" w:rsidRPr="00394407" w:rsidRDefault="00394407" w:rsidP="00394407">
      <w:pPr>
        <w:numPr>
          <w:ilvl w:val="0"/>
          <w:numId w:val="18"/>
        </w:numPr>
        <w:tabs>
          <w:tab w:val="num" w:pos="0"/>
          <w:tab w:val="left" w:pos="720"/>
          <w:tab w:val="left" w:pos="1134"/>
        </w:tabs>
        <w:spacing w:line="276" w:lineRule="auto"/>
        <w:ind w:hanging="6169"/>
        <w:jc w:val="both"/>
        <w:rPr>
          <w:i/>
        </w:rPr>
      </w:pPr>
      <w:r w:rsidRPr="00394407">
        <w:rPr>
          <w:b/>
          <w:i/>
        </w:rPr>
        <w:t xml:space="preserve">специализирана </w:t>
      </w:r>
      <w:proofErr w:type="spellStart"/>
      <w:r w:rsidRPr="00394407">
        <w:rPr>
          <w:b/>
          <w:i/>
        </w:rPr>
        <w:t>извънболнична</w:t>
      </w:r>
      <w:proofErr w:type="spellEnd"/>
      <w:r w:rsidRPr="00394407">
        <w:rPr>
          <w:b/>
          <w:i/>
        </w:rPr>
        <w:t xml:space="preserve"> медицинска помощ </w:t>
      </w:r>
      <w:r w:rsidRPr="00394407">
        <w:t xml:space="preserve"> – 119,3 млн. лева;</w:t>
      </w:r>
    </w:p>
    <w:p w:rsidR="00394407" w:rsidRPr="00394407" w:rsidRDefault="00394407" w:rsidP="00394407">
      <w:pPr>
        <w:numPr>
          <w:ilvl w:val="0"/>
          <w:numId w:val="18"/>
        </w:numPr>
        <w:tabs>
          <w:tab w:val="num" w:pos="0"/>
          <w:tab w:val="left" w:pos="720"/>
          <w:tab w:val="left" w:pos="1134"/>
        </w:tabs>
        <w:spacing w:line="276" w:lineRule="auto"/>
        <w:ind w:hanging="6169"/>
        <w:jc w:val="both"/>
        <w:rPr>
          <w:b/>
        </w:rPr>
      </w:pPr>
      <w:proofErr w:type="spellStart"/>
      <w:r w:rsidRPr="00394407">
        <w:rPr>
          <w:b/>
          <w:i/>
        </w:rPr>
        <w:t>дентална</w:t>
      </w:r>
      <w:proofErr w:type="spellEnd"/>
      <w:r w:rsidRPr="00394407">
        <w:rPr>
          <w:b/>
          <w:i/>
        </w:rPr>
        <w:t xml:space="preserve"> помощ – </w:t>
      </w:r>
      <w:r w:rsidRPr="00394407">
        <w:t>94,6 млн. лева;</w:t>
      </w:r>
    </w:p>
    <w:p w:rsidR="00394407" w:rsidRPr="00394407" w:rsidRDefault="00394407" w:rsidP="00394407">
      <w:pPr>
        <w:numPr>
          <w:ilvl w:val="0"/>
          <w:numId w:val="18"/>
        </w:numPr>
        <w:tabs>
          <w:tab w:val="num" w:pos="0"/>
          <w:tab w:val="left" w:pos="720"/>
          <w:tab w:val="left" w:pos="1134"/>
        </w:tabs>
        <w:spacing w:line="276" w:lineRule="auto"/>
        <w:ind w:hanging="6169"/>
        <w:jc w:val="both"/>
        <w:rPr>
          <w:b/>
          <w:i/>
        </w:rPr>
      </w:pPr>
      <w:r w:rsidRPr="00394407">
        <w:rPr>
          <w:b/>
          <w:i/>
        </w:rPr>
        <w:t xml:space="preserve">медико-диагностична дейност – </w:t>
      </w:r>
      <w:r w:rsidRPr="00394407">
        <w:t>42,6 млн. лева;</w:t>
      </w:r>
      <w:r w:rsidRPr="00394407">
        <w:rPr>
          <w:b/>
          <w:i/>
        </w:rPr>
        <w:t xml:space="preserve"> </w:t>
      </w:r>
    </w:p>
    <w:p w:rsidR="00394407" w:rsidRPr="00394407" w:rsidRDefault="00394407" w:rsidP="00394407">
      <w:pPr>
        <w:numPr>
          <w:ilvl w:val="0"/>
          <w:numId w:val="18"/>
        </w:numPr>
        <w:tabs>
          <w:tab w:val="num" w:pos="0"/>
          <w:tab w:val="left" w:pos="1134"/>
        </w:tabs>
        <w:spacing w:line="276" w:lineRule="auto"/>
        <w:ind w:left="1134" w:hanging="425"/>
        <w:jc w:val="both"/>
      </w:pPr>
      <w:r w:rsidRPr="00394407">
        <w:rPr>
          <w:b/>
          <w:i/>
        </w:rPr>
        <w:t xml:space="preserve">лекарствени продукти, медицински изделия и диетични храни за домашно лечение на територията на страната </w:t>
      </w:r>
      <w:r w:rsidRPr="00394407">
        <w:rPr>
          <w:b/>
          <w:i/>
          <w:lang w:val="en-US"/>
        </w:rPr>
        <w:t xml:space="preserve"> - </w:t>
      </w:r>
      <w:r w:rsidRPr="00394407">
        <w:t>430,2 млн. лв.</w:t>
      </w:r>
    </w:p>
    <w:p w:rsidR="00394407" w:rsidRPr="00394407" w:rsidRDefault="00394407" w:rsidP="00394407">
      <w:pPr>
        <w:numPr>
          <w:ilvl w:val="0"/>
          <w:numId w:val="18"/>
        </w:numPr>
        <w:tabs>
          <w:tab w:val="num" w:pos="0"/>
          <w:tab w:val="left" w:pos="1134"/>
          <w:tab w:val="num" w:pos="6096"/>
        </w:tabs>
        <w:spacing w:line="276" w:lineRule="auto"/>
        <w:ind w:left="1134" w:hanging="425"/>
        <w:jc w:val="both"/>
      </w:pPr>
      <w:r w:rsidRPr="00394407">
        <w:rPr>
          <w:b/>
          <w:i/>
          <w:lang w:val="en-US"/>
        </w:rPr>
        <w:t xml:space="preserve"> </w:t>
      </w:r>
      <w:r w:rsidRPr="00394407">
        <w:rPr>
          <w:b/>
          <w:i/>
        </w:rPr>
        <w:t xml:space="preserve">лекарствени продукти за лечение на злокачествени заболявания в условията на болнична медицинска помощ </w:t>
      </w:r>
      <w:r w:rsidRPr="00394407">
        <w:t xml:space="preserve"> – 258,3 млн. лева;</w:t>
      </w:r>
    </w:p>
    <w:p w:rsidR="00394407" w:rsidRPr="00394407" w:rsidRDefault="00394407" w:rsidP="00394407">
      <w:pPr>
        <w:numPr>
          <w:ilvl w:val="0"/>
          <w:numId w:val="18"/>
        </w:numPr>
        <w:tabs>
          <w:tab w:val="num" w:pos="0"/>
          <w:tab w:val="left" w:pos="720"/>
          <w:tab w:val="num" w:pos="1134"/>
        </w:tabs>
        <w:spacing w:line="276" w:lineRule="auto"/>
        <w:ind w:left="1134" w:hanging="425"/>
        <w:jc w:val="both"/>
      </w:pPr>
      <w:r w:rsidRPr="00394407">
        <w:rPr>
          <w:b/>
          <w:i/>
        </w:rPr>
        <w:t>медицински изделия, прилагани в болничната  помощ –</w:t>
      </w:r>
      <w:r w:rsidRPr="00394407">
        <w:t xml:space="preserve"> 39,0 млн. лева;</w:t>
      </w:r>
    </w:p>
    <w:p w:rsidR="00394407" w:rsidRPr="00394407" w:rsidRDefault="00394407" w:rsidP="00394407">
      <w:pPr>
        <w:numPr>
          <w:ilvl w:val="0"/>
          <w:numId w:val="18"/>
        </w:numPr>
        <w:tabs>
          <w:tab w:val="num" w:pos="0"/>
          <w:tab w:val="left" w:pos="720"/>
          <w:tab w:val="left" w:pos="1134"/>
        </w:tabs>
        <w:spacing w:line="276" w:lineRule="auto"/>
        <w:ind w:hanging="6169"/>
        <w:jc w:val="both"/>
      </w:pPr>
      <w:r w:rsidRPr="00394407">
        <w:rPr>
          <w:b/>
          <w:i/>
        </w:rPr>
        <w:t>болнична медицинска помощ –</w:t>
      </w:r>
      <w:r w:rsidRPr="00394407">
        <w:t xml:space="preserve"> 911,1 млн. лева.</w:t>
      </w:r>
      <w:r w:rsidRPr="00394407">
        <w:tab/>
        <w:t xml:space="preserve"> </w:t>
      </w:r>
    </w:p>
    <w:p w:rsidR="00394407" w:rsidRPr="00394407" w:rsidRDefault="00394407" w:rsidP="00394407">
      <w:pPr>
        <w:numPr>
          <w:ilvl w:val="0"/>
          <w:numId w:val="18"/>
        </w:numPr>
        <w:tabs>
          <w:tab w:val="num" w:pos="0"/>
          <w:tab w:val="left" w:pos="720"/>
          <w:tab w:val="left" w:pos="1134"/>
        </w:tabs>
        <w:spacing w:line="276" w:lineRule="auto"/>
        <w:ind w:hanging="6169"/>
        <w:jc w:val="both"/>
      </w:pPr>
      <w:r w:rsidRPr="00394407">
        <w:rPr>
          <w:b/>
          <w:i/>
        </w:rPr>
        <w:t xml:space="preserve">други здравноосигурителни плащания – </w:t>
      </w:r>
      <w:r w:rsidRPr="00394407">
        <w:t>32,8 млн. лева.</w:t>
      </w:r>
    </w:p>
    <w:p w:rsidR="00394407" w:rsidRPr="00394407" w:rsidRDefault="00394407" w:rsidP="00394407">
      <w:pPr>
        <w:spacing w:before="120"/>
        <w:ind w:firstLine="567"/>
        <w:jc w:val="both"/>
        <w:rPr>
          <w:color w:val="5B9BD5"/>
        </w:rPr>
      </w:pPr>
      <w:r w:rsidRPr="00394407">
        <w:t>Като здравноосигурителни плащания следва да се третират и преведените 49,3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2 092,3 млн. лв.</w:t>
      </w:r>
    </w:p>
    <w:p w:rsidR="00394407" w:rsidRPr="00394407" w:rsidRDefault="00394407" w:rsidP="00394407">
      <w:pPr>
        <w:ind w:firstLine="567"/>
        <w:jc w:val="both"/>
      </w:pPr>
      <w:r w:rsidRPr="00394407">
        <w:t xml:space="preserve">За периода са отчетени плащания в размер на 30,7 млн. лв. от предоставения трансфер  от Министерството на здравеопазването за дейности за </w:t>
      </w:r>
      <w:proofErr w:type="spellStart"/>
      <w:r w:rsidRPr="00394407">
        <w:t>здравнонеосигурени</w:t>
      </w:r>
      <w:proofErr w:type="spellEnd"/>
      <w:r w:rsidRPr="00394407">
        <w:t xml:space="preserve"> лица, лекарствени продукти и за потребителска такса.</w:t>
      </w:r>
    </w:p>
    <w:p w:rsidR="00394407" w:rsidRPr="00394407" w:rsidRDefault="00394407" w:rsidP="00394407">
      <w:pPr>
        <w:ind w:firstLine="567"/>
        <w:jc w:val="both"/>
      </w:pPr>
      <w:r w:rsidRPr="00394407">
        <w:t>По бюджета на НЗОК за 2020 година са утвърдени 57,6 млн. лв. за административни разходи на институцията, които включват разходите за персонал и за текуща издръжка. За първите шест месеца са отчетени 28,0 млн. лв., което представлява 48,6 % от годишния разчет. Усвоените средства за административни разходи заемат 1,3 на сто в структурата на общите разходи за отчетния период.</w:t>
      </w:r>
    </w:p>
    <w:p w:rsidR="00CF6248" w:rsidRPr="00245EC9" w:rsidRDefault="00CF6248" w:rsidP="00CF6248">
      <w:pPr>
        <w:tabs>
          <w:tab w:val="num" w:pos="1499"/>
          <w:tab w:val="num" w:pos="2148"/>
        </w:tabs>
        <w:spacing w:after="120"/>
        <w:ind w:firstLine="567"/>
        <w:jc w:val="both"/>
        <w:rPr>
          <w:color w:val="4F81BD" w:themeColor="accent1"/>
          <w:sz w:val="8"/>
        </w:rPr>
      </w:pPr>
    </w:p>
    <w:p w:rsidR="00BD2711" w:rsidRPr="00E4665D" w:rsidRDefault="00BD2711" w:rsidP="00780EBC">
      <w:pPr>
        <w:pStyle w:val="Heading1"/>
        <w:numPr>
          <w:ilvl w:val="1"/>
          <w:numId w:val="10"/>
        </w:numPr>
        <w:spacing w:before="240"/>
        <w:ind w:left="788" w:right="-108" w:hanging="431"/>
        <w:jc w:val="both"/>
        <w:rPr>
          <w:sz w:val="24"/>
        </w:rPr>
      </w:pPr>
      <w:r w:rsidRPr="00E4665D">
        <w:rPr>
          <w:sz w:val="24"/>
        </w:rPr>
        <w:t>Общински бюджети</w:t>
      </w:r>
    </w:p>
    <w:p w:rsidR="007C7AB4" w:rsidRPr="008C410B" w:rsidRDefault="007C7AB4" w:rsidP="007C7AB4">
      <w:pPr>
        <w:numPr>
          <w:ilvl w:val="0"/>
          <w:numId w:val="8"/>
        </w:numPr>
        <w:tabs>
          <w:tab w:val="num" w:pos="540"/>
        </w:tabs>
        <w:spacing w:before="240" w:line="276" w:lineRule="auto"/>
        <w:ind w:left="714" w:hanging="147"/>
        <w:jc w:val="both"/>
        <w:rPr>
          <w:b/>
        </w:rPr>
      </w:pPr>
      <w:r w:rsidRPr="008C410B">
        <w:rPr>
          <w:b/>
        </w:rPr>
        <w:t>Приходи</w:t>
      </w:r>
    </w:p>
    <w:p w:rsidR="007C7AB4" w:rsidRPr="00245EC9" w:rsidRDefault="007C7AB4" w:rsidP="007C7AB4">
      <w:pPr>
        <w:ind w:firstLine="567"/>
        <w:jc w:val="both"/>
        <w:rPr>
          <w:color w:val="4F81BD" w:themeColor="accent1"/>
        </w:rPr>
      </w:pPr>
      <w:r w:rsidRPr="008C410B">
        <w:t xml:space="preserve">Собствените приходи по бюджетите на общините към 30.06.2020 г. са в размер на </w:t>
      </w:r>
      <w:r>
        <w:rPr>
          <w:lang w:val="en-US"/>
        </w:rPr>
        <w:t xml:space="preserve">1 </w:t>
      </w:r>
      <w:r w:rsidRPr="007402AC">
        <w:rPr>
          <w:lang w:val="en-US"/>
        </w:rPr>
        <w:t>258</w:t>
      </w:r>
      <w:r w:rsidRPr="007402AC">
        <w:t>,</w:t>
      </w:r>
      <w:r w:rsidRPr="007402AC">
        <w:rPr>
          <w:lang w:val="en-US"/>
        </w:rPr>
        <w:t>2</w:t>
      </w:r>
      <w:r w:rsidRPr="007402AC">
        <w:rPr>
          <w:bCs/>
        </w:rPr>
        <w:t> м</w:t>
      </w:r>
      <w:r w:rsidRPr="007402AC">
        <w:t xml:space="preserve">лн. лв., което представлява </w:t>
      </w:r>
      <w:r w:rsidRPr="007402AC">
        <w:rPr>
          <w:lang w:val="en-US"/>
        </w:rPr>
        <w:t>49,5</w:t>
      </w:r>
      <w:r w:rsidRPr="007402AC">
        <w:t xml:space="preserve"> % от разчетените към ЗДБРБ за 2020 г. постъпления в размер на </w:t>
      </w:r>
      <w:r w:rsidRPr="007402AC">
        <w:rPr>
          <w:bCs/>
        </w:rPr>
        <w:t>2 540</w:t>
      </w:r>
      <w:r w:rsidRPr="007402AC">
        <w:rPr>
          <w:bCs/>
          <w:lang w:val="en-US"/>
        </w:rPr>
        <w:t>,</w:t>
      </w:r>
      <w:r w:rsidRPr="007402AC">
        <w:rPr>
          <w:bCs/>
        </w:rPr>
        <w:t>1</w:t>
      </w:r>
      <w:r w:rsidRPr="007402AC">
        <w:t xml:space="preserve"> млн. лева</w:t>
      </w:r>
      <w:r w:rsidRPr="007402AC">
        <w:rPr>
          <w:lang w:val="en-US"/>
        </w:rPr>
        <w:t xml:space="preserve"> </w:t>
      </w:r>
      <w:r w:rsidRPr="007402AC">
        <w:t xml:space="preserve">и със 111,3 млн. лв. по-малко спрямо събраните за същия период през 2019 г., вследствие на негативните последици от обявеното извънредно положение на територията на Република България от 13 март 2020 г. </w:t>
      </w:r>
      <w:r w:rsidRPr="007402AC">
        <w:rPr>
          <w:i/>
        </w:rPr>
        <w:t>Данъчните приходи</w:t>
      </w:r>
      <w:r w:rsidRPr="007402AC">
        <w:t xml:space="preserve"> по общинските бюджети са в размер на 590,0 млн. лв. или 54,3 % от годишните разчети към ЗДБРБ за 2020 г. и с 2,</w:t>
      </w:r>
      <w:proofErr w:type="spellStart"/>
      <w:r w:rsidRPr="007402AC">
        <w:t>2</w:t>
      </w:r>
      <w:proofErr w:type="spellEnd"/>
      <w:r w:rsidRPr="007402AC">
        <w:t xml:space="preserve"> % по-малко спрямо тези за същия период на предходната година. </w:t>
      </w:r>
      <w:r w:rsidRPr="007402AC">
        <w:rPr>
          <w:bCs/>
        </w:rPr>
        <w:t xml:space="preserve">От </w:t>
      </w:r>
      <w:r w:rsidRPr="007402AC">
        <w:rPr>
          <w:bCs/>
          <w:i/>
        </w:rPr>
        <w:t>имуществени данъци по Закона за местните данъци и такси</w:t>
      </w:r>
      <w:r w:rsidRPr="007402AC">
        <w:rPr>
          <w:bCs/>
        </w:rPr>
        <w:t xml:space="preserve"> в местните бюджети към 30 юни 2020 г. са постъпили общо 582,2 млн. лв., което представлява 54,6 % от годишния разчет. С най-значителен дял в </w:t>
      </w:r>
      <w:r w:rsidRPr="007402AC">
        <w:rPr>
          <w:bCs/>
        </w:rPr>
        <w:lastRenderedPageBreak/>
        <w:t>приходите от имуществени данъци е данъкът върху недвижимите имоти– 39,0 %, данъкът върху превозните средства – 37,4 %, следват данъкът върху придобиване на имущество по дарения и възмезден начин – 22,9</w:t>
      </w:r>
      <w:r w:rsidRPr="007402AC">
        <w:rPr>
          <w:bCs/>
          <w:lang w:val="en-US"/>
        </w:rPr>
        <w:t> </w:t>
      </w:r>
      <w:r w:rsidRPr="007402AC">
        <w:rPr>
          <w:bCs/>
        </w:rPr>
        <w:t>% и туристически данък – 0,</w:t>
      </w:r>
      <w:r w:rsidRPr="000A20F5">
        <w:rPr>
          <w:bCs/>
        </w:rPr>
        <w:t>7 %.</w:t>
      </w:r>
      <w:r w:rsidRPr="000A20F5">
        <w:t xml:space="preserve"> През отчетния период по бюджетите на общините са постъпили 7,8 млн. лв. от </w:t>
      </w:r>
      <w:r w:rsidRPr="000A20F5">
        <w:rPr>
          <w:i/>
        </w:rPr>
        <w:t>патентен данък и данък върху таксиметров превоз на пътници</w:t>
      </w:r>
      <w:r w:rsidRPr="000A20F5">
        <w:t xml:space="preserve"> (40,3 % от годишния разчет). </w:t>
      </w:r>
    </w:p>
    <w:p w:rsidR="007C7AB4" w:rsidRPr="00245EC9" w:rsidRDefault="007C7AB4" w:rsidP="007C7AB4">
      <w:pPr>
        <w:ind w:firstLine="567"/>
        <w:jc w:val="both"/>
        <w:rPr>
          <w:color w:val="4F81BD" w:themeColor="accent1"/>
        </w:rPr>
      </w:pPr>
      <w:r w:rsidRPr="007402AC">
        <w:t xml:space="preserve">Общият размер на </w:t>
      </w:r>
      <w:r w:rsidRPr="007402AC">
        <w:rPr>
          <w:i/>
        </w:rPr>
        <w:t>неданъчните приходи</w:t>
      </w:r>
      <w:r w:rsidRPr="007402AC">
        <w:t xml:space="preserve"> по местните бюджети към 30 юни 2020 г. е 657,0 млн. лв. или 46,1 % от разчетите към ЗДБРБ за 20</w:t>
      </w:r>
      <w:r w:rsidRPr="007402AC">
        <w:rPr>
          <w:lang w:val="en-US"/>
        </w:rPr>
        <w:t>20</w:t>
      </w:r>
      <w:r w:rsidRPr="007402AC">
        <w:t xml:space="preserve"> г. Най-голям относителен дял заемат приходите от</w:t>
      </w:r>
      <w:r w:rsidRPr="000A20F5">
        <w:t xml:space="preserve"> общински такси, които възлизат на 493,3 млн. лв. </w:t>
      </w:r>
      <w:r w:rsidRPr="000A20F5">
        <w:rPr>
          <w:lang w:val="en-US"/>
        </w:rPr>
        <w:t>(</w:t>
      </w:r>
      <w:r w:rsidRPr="000A20F5">
        <w:t>5</w:t>
      </w:r>
      <w:r w:rsidR="009C2FEF">
        <w:t>6</w:t>
      </w:r>
      <w:proofErr w:type="gramStart"/>
      <w:r w:rsidRPr="000A20F5">
        <w:t>,</w:t>
      </w:r>
      <w:r w:rsidR="009C2FEF">
        <w:t>4</w:t>
      </w:r>
      <w:proofErr w:type="gramEnd"/>
      <w:r w:rsidRPr="000A20F5">
        <w:t xml:space="preserve"> % от разчетените за годината</w:t>
      </w:r>
      <w:r w:rsidRPr="000A20F5">
        <w:rPr>
          <w:lang w:val="en-US"/>
        </w:rPr>
        <w:t>)</w:t>
      </w:r>
      <w:r w:rsidRPr="000A20F5">
        <w:t>, следват приходите и доходите от собственост – 105,</w:t>
      </w:r>
      <w:r w:rsidRPr="000A20F5">
        <w:rPr>
          <w:lang w:val="en-US"/>
        </w:rPr>
        <w:t>8</w:t>
      </w:r>
      <w:r w:rsidRPr="000A20F5">
        <w:t xml:space="preserve"> млн. лв. </w:t>
      </w:r>
      <w:r w:rsidRPr="000A20F5">
        <w:rPr>
          <w:lang w:val="en-US"/>
        </w:rPr>
        <w:t>(</w:t>
      </w:r>
      <w:r w:rsidRPr="000A20F5">
        <w:t>33</w:t>
      </w:r>
      <w:proofErr w:type="gramStart"/>
      <w:r w:rsidRPr="000A20F5">
        <w:t>,2</w:t>
      </w:r>
      <w:proofErr w:type="gramEnd"/>
      <w:r w:rsidRPr="000A20F5">
        <w:t xml:space="preserve"> % от разчетените за 20</w:t>
      </w:r>
      <w:r w:rsidRPr="000A20F5">
        <w:rPr>
          <w:lang w:val="en-US"/>
        </w:rPr>
        <w:t>20</w:t>
      </w:r>
      <w:r w:rsidRPr="000A20F5">
        <w:t xml:space="preserve"> г.</w:t>
      </w:r>
      <w:r w:rsidRPr="000A20F5">
        <w:rPr>
          <w:lang w:val="en-US"/>
        </w:rPr>
        <w:t>)</w:t>
      </w:r>
      <w:r w:rsidRPr="000A20F5">
        <w:t>, постъпленията</w:t>
      </w:r>
      <w:r w:rsidRPr="000A20F5">
        <w:rPr>
          <w:lang w:val="en-US"/>
        </w:rPr>
        <w:t xml:space="preserve"> </w:t>
      </w:r>
      <w:r w:rsidRPr="000A20F5">
        <w:t>от продажба на нефинансови активи</w:t>
      </w:r>
      <w:r>
        <w:t xml:space="preserve"> – 25,5 млн. </w:t>
      </w:r>
      <w:r w:rsidRPr="000A20F5">
        <w:t xml:space="preserve">лв. </w:t>
      </w:r>
      <w:r w:rsidRPr="000A20F5">
        <w:rPr>
          <w:lang w:val="en-US"/>
        </w:rPr>
        <w:t>(</w:t>
      </w:r>
      <w:r w:rsidRPr="000A20F5">
        <w:t>17</w:t>
      </w:r>
      <w:proofErr w:type="gramStart"/>
      <w:r w:rsidRPr="000A20F5">
        <w:t>,0</w:t>
      </w:r>
      <w:proofErr w:type="gramEnd"/>
      <w:r w:rsidRPr="000A20F5">
        <w:t xml:space="preserve"> % от разчета за 20</w:t>
      </w:r>
      <w:r w:rsidRPr="000A20F5">
        <w:rPr>
          <w:lang w:val="en-US"/>
        </w:rPr>
        <w:t>20</w:t>
      </w:r>
      <w:r w:rsidRPr="000A20F5">
        <w:t xml:space="preserve"> г.</w:t>
      </w:r>
      <w:r w:rsidRPr="000A20F5">
        <w:rPr>
          <w:lang w:val="en-US"/>
        </w:rPr>
        <w:t xml:space="preserve">), </w:t>
      </w:r>
      <w:r w:rsidRPr="000A20F5">
        <w:t>постъпленията от глоби, санкции и наказателни лихви – 2</w:t>
      </w:r>
      <w:r w:rsidR="009C2FEF">
        <w:t>8</w:t>
      </w:r>
      <w:r w:rsidRPr="000A20F5">
        <w:t>,</w:t>
      </w:r>
      <w:r w:rsidR="009C2FEF">
        <w:t>3</w:t>
      </w:r>
      <w:r w:rsidRPr="000A20F5">
        <w:t xml:space="preserve"> млн. лв. </w:t>
      </w:r>
      <w:r w:rsidRPr="000A20F5">
        <w:rPr>
          <w:lang w:val="en-US"/>
        </w:rPr>
        <w:t>(</w:t>
      </w:r>
      <w:r w:rsidRPr="000A20F5">
        <w:t>34</w:t>
      </w:r>
      <w:proofErr w:type="gramStart"/>
      <w:r w:rsidRPr="000A20F5">
        <w:t>,3</w:t>
      </w:r>
      <w:proofErr w:type="gramEnd"/>
      <w:r w:rsidRPr="000A20F5">
        <w:t xml:space="preserve"> % от планираните</w:t>
      </w:r>
      <w:r w:rsidRPr="000A20F5">
        <w:rPr>
          <w:lang w:val="en-US"/>
        </w:rPr>
        <w:t>)</w:t>
      </w:r>
      <w:r>
        <w:t xml:space="preserve"> и</w:t>
      </w:r>
      <w:r w:rsidRPr="000A20F5">
        <w:t xml:space="preserve">  приходите от концесии </w:t>
      </w:r>
      <w:r w:rsidRPr="00590FFF">
        <w:rPr>
          <w:lang w:val="en-US"/>
        </w:rPr>
        <w:t>2</w:t>
      </w:r>
      <w:r w:rsidRPr="00590FFF">
        <w:t xml:space="preserve">4,6 млн. лв. </w:t>
      </w:r>
      <w:r w:rsidRPr="00590FFF">
        <w:rPr>
          <w:lang w:val="en-US"/>
        </w:rPr>
        <w:t>(</w:t>
      </w:r>
      <w:r w:rsidRPr="00590FFF">
        <w:t>51</w:t>
      </w:r>
      <w:proofErr w:type="gramStart"/>
      <w:r w:rsidRPr="00590FFF">
        <w:t>,6</w:t>
      </w:r>
      <w:proofErr w:type="gramEnd"/>
      <w:r w:rsidRPr="00590FFF">
        <w:t xml:space="preserve"> % от разчета за 20</w:t>
      </w:r>
      <w:r w:rsidRPr="00590FFF">
        <w:rPr>
          <w:lang w:val="en-US"/>
        </w:rPr>
        <w:t>20</w:t>
      </w:r>
      <w:r w:rsidRPr="00590FFF">
        <w:t xml:space="preserve"> година</w:t>
      </w:r>
      <w:r w:rsidRPr="00590FFF">
        <w:rPr>
          <w:lang w:val="en-US"/>
        </w:rPr>
        <w:t>)</w:t>
      </w:r>
      <w:r w:rsidRPr="00590FFF">
        <w:t>.</w:t>
      </w:r>
    </w:p>
    <w:p w:rsidR="007C7AB4" w:rsidRPr="00590FFF" w:rsidRDefault="007C7AB4" w:rsidP="007C7AB4">
      <w:pPr>
        <w:ind w:firstLine="567"/>
        <w:jc w:val="both"/>
      </w:pPr>
      <w:r w:rsidRPr="00590FFF">
        <w:t xml:space="preserve">През отчетния период по общинските бюджети са постъпили </w:t>
      </w:r>
      <w:r w:rsidR="009C2FEF">
        <w:t>11</w:t>
      </w:r>
      <w:r w:rsidRPr="00590FFF">
        <w:t>,</w:t>
      </w:r>
      <w:r w:rsidR="009C2FEF">
        <w:t>2</w:t>
      </w:r>
      <w:r w:rsidRPr="00590FFF">
        <w:t xml:space="preserve"> млн. лв. приходи от </w:t>
      </w:r>
      <w:r w:rsidRPr="00590FFF">
        <w:rPr>
          <w:i/>
        </w:rPr>
        <w:t>помощи и дарения</w:t>
      </w:r>
      <w:r w:rsidRPr="00590FFF">
        <w:t xml:space="preserve">, което е </w:t>
      </w:r>
      <w:r w:rsidRPr="00590FFF">
        <w:rPr>
          <w:lang w:val="en-US"/>
        </w:rPr>
        <w:t>39</w:t>
      </w:r>
      <w:r w:rsidRPr="00590FFF">
        <w:t>,</w:t>
      </w:r>
      <w:r w:rsidRPr="00590FFF">
        <w:rPr>
          <w:lang w:val="en-US"/>
        </w:rPr>
        <w:t>7</w:t>
      </w:r>
      <w:r w:rsidRPr="00590FFF">
        <w:t xml:space="preserve"> % от разчетените за годината 28,2 млн. лева. </w:t>
      </w:r>
    </w:p>
    <w:p w:rsidR="007C7AB4" w:rsidRPr="00590FFF" w:rsidRDefault="007C7AB4" w:rsidP="007C7AB4">
      <w:pPr>
        <w:numPr>
          <w:ilvl w:val="0"/>
          <w:numId w:val="8"/>
        </w:numPr>
        <w:tabs>
          <w:tab w:val="num" w:pos="540"/>
        </w:tabs>
        <w:spacing w:before="240" w:line="276" w:lineRule="auto"/>
        <w:ind w:left="714" w:hanging="147"/>
        <w:jc w:val="both"/>
        <w:rPr>
          <w:b/>
        </w:rPr>
      </w:pPr>
      <w:r w:rsidRPr="00590FFF">
        <w:rPr>
          <w:b/>
        </w:rPr>
        <w:t>Разходи</w:t>
      </w:r>
    </w:p>
    <w:p w:rsidR="007C7AB4" w:rsidRPr="00590FFF" w:rsidRDefault="007C7AB4" w:rsidP="007C7AB4">
      <w:pPr>
        <w:ind w:firstLine="567"/>
        <w:jc w:val="both"/>
      </w:pPr>
      <w:r w:rsidRPr="00590FFF">
        <w:t xml:space="preserve">Към 30.06.2020 г. общините са отчели общо разходи в размер на </w:t>
      </w:r>
      <w:r w:rsidRPr="00590FFF">
        <w:rPr>
          <w:lang w:val="en-US"/>
        </w:rPr>
        <w:t xml:space="preserve">3 173,8 </w:t>
      </w:r>
      <w:r w:rsidRPr="00590FFF">
        <w:t xml:space="preserve">млн. лв., които представляват </w:t>
      </w:r>
      <w:r w:rsidRPr="00590FFF">
        <w:rPr>
          <w:lang w:val="en-US"/>
        </w:rPr>
        <w:t>47</w:t>
      </w:r>
      <w:r w:rsidRPr="00590FFF">
        <w:t>,</w:t>
      </w:r>
      <w:r w:rsidRPr="00590FFF">
        <w:rPr>
          <w:lang w:val="en-US"/>
        </w:rPr>
        <w:t>2</w:t>
      </w:r>
      <w:r w:rsidR="005904BE">
        <w:t xml:space="preserve"> </w:t>
      </w:r>
      <w:r w:rsidRPr="00590FFF">
        <w:t>%</w:t>
      </w:r>
      <w:r w:rsidRPr="00590FFF">
        <w:rPr>
          <w:lang w:val="en-US"/>
        </w:rPr>
        <w:t xml:space="preserve"> </w:t>
      </w:r>
      <w:r w:rsidRPr="00590FFF">
        <w:t>спрямо разчетите по ЗДБРБ за 2020 година.</w:t>
      </w:r>
    </w:p>
    <w:p w:rsidR="007C7AB4" w:rsidRPr="00245EC9" w:rsidRDefault="007C7AB4" w:rsidP="007C7AB4">
      <w:pPr>
        <w:ind w:firstLine="567"/>
        <w:jc w:val="both"/>
        <w:rPr>
          <w:color w:val="4F81BD" w:themeColor="accent1"/>
        </w:rPr>
      </w:pPr>
      <w:r w:rsidRPr="00590FFF">
        <w:rPr>
          <w:i/>
        </w:rPr>
        <w:t>Нелихвените разходи</w:t>
      </w:r>
      <w:r w:rsidRPr="00590FFF">
        <w:t xml:space="preserve"> възлизат на </w:t>
      </w:r>
      <w:r w:rsidRPr="00590FFF">
        <w:rPr>
          <w:lang w:val="en-US"/>
        </w:rPr>
        <w:t>3</w:t>
      </w:r>
      <w:r w:rsidRPr="00590FFF">
        <w:t xml:space="preserve"> </w:t>
      </w:r>
      <w:r w:rsidRPr="00590FFF">
        <w:rPr>
          <w:lang w:val="en-US"/>
        </w:rPr>
        <w:t>155</w:t>
      </w:r>
      <w:r w:rsidRPr="00590FFF">
        <w:t>,</w:t>
      </w:r>
      <w:r w:rsidRPr="00590FFF">
        <w:rPr>
          <w:lang w:val="en-US"/>
        </w:rPr>
        <w:t>5</w:t>
      </w:r>
      <w:r w:rsidRPr="00590FFF">
        <w:t xml:space="preserve"> млн. лв. или </w:t>
      </w:r>
      <w:r w:rsidRPr="00590FFF">
        <w:rPr>
          <w:lang w:val="en-US"/>
        </w:rPr>
        <w:t>47</w:t>
      </w:r>
      <w:r w:rsidRPr="00590FFF">
        <w:t>,</w:t>
      </w:r>
      <w:r w:rsidRPr="00590FFF">
        <w:rPr>
          <w:lang w:val="en-US"/>
        </w:rPr>
        <w:t>2</w:t>
      </w:r>
      <w:r w:rsidRPr="00590FFF">
        <w:t> % от годишния разчет. Разходите за персонал (</w:t>
      </w:r>
      <w:r w:rsidRPr="00590FFF">
        <w:rPr>
          <w:bCs/>
        </w:rPr>
        <w:t>заплати и възнаграждения, други възнаграждения и плащания за персонала и осигури</w:t>
      </w:r>
      <w:r w:rsidRPr="00E73A9F">
        <w:rPr>
          <w:bCs/>
        </w:rPr>
        <w:t>телни вноски)</w:t>
      </w:r>
      <w:r w:rsidRPr="00E73A9F">
        <w:t xml:space="preserve"> са в размер на </w:t>
      </w:r>
      <w:r>
        <w:rPr>
          <w:lang w:val="en-US"/>
        </w:rPr>
        <w:t xml:space="preserve">1 </w:t>
      </w:r>
      <w:r w:rsidRPr="00E73A9F">
        <w:t>8</w:t>
      </w:r>
      <w:r w:rsidRPr="00E73A9F">
        <w:rPr>
          <w:lang w:val="en-US"/>
        </w:rPr>
        <w:t>58</w:t>
      </w:r>
      <w:r w:rsidRPr="00E73A9F">
        <w:t>,</w:t>
      </w:r>
      <w:r w:rsidRPr="00E73A9F">
        <w:rPr>
          <w:lang w:val="en-US"/>
        </w:rPr>
        <w:t>9</w:t>
      </w:r>
      <w:r w:rsidRPr="00E73A9F">
        <w:t xml:space="preserve"> млн. лв. или </w:t>
      </w:r>
      <w:r w:rsidRPr="00E73A9F">
        <w:rPr>
          <w:lang w:val="en-US"/>
        </w:rPr>
        <w:t>49</w:t>
      </w:r>
      <w:r w:rsidRPr="00E73A9F">
        <w:t>,</w:t>
      </w:r>
      <w:r w:rsidRPr="00E73A9F">
        <w:rPr>
          <w:lang w:val="en-US"/>
        </w:rPr>
        <w:t>2</w:t>
      </w:r>
      <w:r w:rsidRPr="00E73A9F">
        <w:t xml:space="preserve"> % от планираните за 2020 г. Разходите за издръжка </w:t>
      </w:r>
      <w:r w:rsidRPr="00E73A9F">
        <w:rPr>
          <w:bCs/>
        </w:rPr>
        <w:t>(вкл. разходи за членски внос и участие в нетърговски организации и дейности, платени данъци, такси и административни санкции)</w:t>
      </w:r>
      <w:r w:rsidRPr="00E73A9F">
        <w:t xml:space="preserve"> са в </w:t>
      </w:r>
      <w:r w:rsidRPr="00B0234D">
        <w:t>размер на</w:t>
      </w:r>
      <w:r w:rsidRPr="00B0234D">
        <w:rPr>
          <w:lang w:val="en-US"/>
        </w:rPr>
        <w:t> 841</w:t>
      </w:r>
      <w:r w:rsidRPr="00B0234D">
        <w:t>,</w:t>
      </w:r>
      <w:r w:rsidRPr="00B0234D">
        <w:rPr>
          <w:lang w:val="en-US"/>
        </w:rPr>
        <w:t>1</w:t>
      </w:r>
      <w:r w:rsidRPr="00B0234D">
        <w:t xml:space="preserve"> млн. лв., </w:t>
      </w:r>
      <w:r w:rsidRPr="00B0234D">
        <w:rPr>
          <w:lang w:val="en-US"/>
        </w:rPr>
        <w:t>49</w:t>
      </w:r>
      <w:proofErr w:type="gramStart"/>
      <w:r w:rsidRPr="00B0234D">
        <w:t>,</w:t>
      </w:r>
      <w:r w:rsidRPr="00B0234D">
        <w:rPr>
          <w:lang w:val="en-US"/>
        </w:rPr>
        <w:t>6</w:t>
      </w:r>
      <w:proofErr w:type="gramEnd"/>
      <w:r w:rsidRPr="00B0234D">
        <w:t xml:space="preserve"> % от годишния разчет. Разходите за субсидии са в размер на </w:t>
      </w:r>
      <w:r w:rsidRPr="00B0234D">
        <w:rPr>
          <w:lang w:val="en-US"/>
        </w:rPr>
        <w:t>115</w:t>
      </w:r>
      <w:r w:rsidRPr="00B0234D">
        <w:t>,0 млн. лева</w:t>
      </w:r>
      <w:r w:rsidRPr="00B0234D">
        <w:rPr>
          <w:lang w:val="en-US"/>
        </w:rPr>
        <w:t xml:space="preserve"> (83,2 % </w:t>
      </w:r>
      <w:r w:rsidRPr="00B0234D">
        <w:t>от годишния разчет</w:t>
      </w:r>
      <w:r w:rsidRPr="00B0234D">
        <w:rPr>
          <w:lang w:val="en-US"/>
        </w:rPr>
        <w:t>)</w:t>
      </w:r>
      <w:r w:rsidRPr="00B0234D">
        <w:t>. 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w:t>
      </w:r>
      <w:r w:rsidRPr="00B0234D">
        <w:rPr>
          <w:lang w:val="en-US"/>
        </w:rPr>
        <w:t xml:space="preserve"> (</w:t>
      </w:r>
      <w:r w:rsidRPr="00B0234D">
        <w:t>отчитат се в местните дейности</w:t>
      </w:r>
      <w:r w:rsidRPr="00B0234D">
        <w:rPr>
          <w:lang w:val="en-US"/>
        </w:rPr>
        <w:t>)</w:t>
      </w:r>
      <w:r w:rsidRPr="00B0234D">
        <w:t>.</w:t>
      </w:r>
      <w:r w:rsidRPr="00B0234D">
        <w:rPr>
          <w:bCs/>
          <w:color w:val="4F81BD" w:themeColor="accent1"/>
        </w:rPr>
        <w:t xml:space="preserve"> </w:t>
      </w:r>
      <w:r w:rsidRPr="00B0234D">
        <w:rPr>
          <w:bCs/>
        </w:rPr>
        <w:t>Социалните разходи (</w:t>
      </w:r>
      <w:r w:rsidRPr="00B0234D">
        <w:t xml:space="preserve">текущи трансфери, обезщетения и помощи за домакинствата, </w:t>
      </w:r>
      <w:r w:rsidRPr="00B0234D">
        <w:rPr>
          <w:bCs/>
        </w:rPr>
        <w:t>вкл. разходите за стипендии)</w:t>
      </w:r>
      <w:r w:rsidRPr="00B0234D">
        <w:t xml:space="preserve"> са в размер </w:t>
      </w:r>
      <w:r w:rsidRPr="003545E0">
        <w:t xml:space="preserve">на </w:t>
      </w:r>
      <w:r w:rsidRPr="003545E0">
        <w:rPr>
          <w:lang w:val="en-US"/>
        </w:rPr>
        <w:t>84</w:t>
      </w:r>
      <w:r w:rsidRPr="003545E0">
        <w:t>,</w:t>
      </w:r>
      <w:r w:rsidRPr="003545E0">
        <w:rPr>
          <w:lang w:val="en-US"/>
        </w:rPr>
        <w:t>8</w:t>
      </w:r>
      <w:r w:rsidRPr="003545E0">
        <w:t xml:space="preserve"> млн. лв., което е </w:t>
      </w:r>
      <w:r w:rsidRPr="003545E0">
        <w:rPr>
          <w:lang w:val="en-US"/>
        </w:rPr>
        <w:t>65</w:t>
      </w:r>
      <w:r w:rsidRPr="003545E0">
        <w:t>,</w:t>
      </w:r>
      <w:r w:rsidRPr="003545E0">
        <w:rPr>
          <w:lang w:val="en-US"/>
        </w:rPr>
        <w:t>4</w:t>
      </w:r>
      <w:r w:rsidRPr="003545E0">
        <w:t xml:space="preserve"> % от разчетите към ЗДБРБ за 2020 година.  </w:t>
      </w:r>
    </w:p>
    <w:p w:rsidR="007C7AB4" w:rsidRPr="00245EC9" w:rsidRDefault="007C7AB4" w:rsidP="007C7AB4">
      <w:pPr>
        <w:ind w:firstLine="567"/>
        <w:rPr>
          <w:color w:val="4F81BD" w:themeColor="accent1"/>
        </w:rPr>
      </w:pPr>
      <w:r w:rsidRPr="003545E0">
        <w:t xml:space="preserve">Капиталовите разходи са в размер на </w:t>
      </w:r>
      <w:r w:rsidRPr="003545E0">
        <w:rPr>
          <w:lang w:val="en-US"/>
        </w:rPr>
        <w:t>25</w:t>
      </w:r>
      <w:r w:rsidRPr="003545E0">
        <w:t>5,</w:t>
      </w:r>
      <w:r w:rsidRPr="003545E0">
        <w:rPr>
          <w:lang w:val="en-US"/>
        </w:rPr>
        <w:t>7</w:t>
      </w:r>
      <w:r w:rsidRPr="003545E0">
        <w:t xml:space="preserve"> млн. лв. или </w:t>
      </w:r>
      <w:r w:rsidRPr="003545E0">
        <w:rPr>
          <w:lang w:val="en-US"/>
        </w:rPr>
        <w:t>27</w:t>
      </w:r>
      <w:r w:rsidRPr="003545E0">
        <w:t>,</w:t>
      </w:r>
      <w:r w:rsidRPr="003545E0">
        <w:rPr>
          <w:lang w:val="en-US"/>
        </w:rPr>
        <w:t>0</w:t>
      </w:r>
      <w:r w:rsidRPr="003545E0">
        <w:t xml:space="preserve"> % от разчетите към ЗДБРБ за 2020 година.</w:t>
      </w:r>
    </w:p>
    <w:p w:rsidR="007C7AB4" w:rsidRPr="00245EC9" w:rsidRDefault="007C7AB4" w:rsidP="007C7AB4">
      <w:pPr>
        <w:ind w:firstLine="567"/>
        <w:jc w:val="both"/>
        <w:rPr>
          <w:color w:val="4F81BD" w:themeColor="accent1"/>
        </w:rPr>
      </w:pPr>
      <w:r w:rsidRPr="003545E0">
        <w:rPr>
          <w:i/>
        </w:rPr>
        <w:t>Разходите за лихви</w:t>
      </w:r>
      <w:r w:rsidRPr="003545E0">
        <w:t xml:space="preserve"> възлизат на </w:t>
      </w:r>
      <w:r w:rsidRPr="003545E0">
        <w:rPr>
          <w:lang w:val="en-US"/>
        </w:rPr>
        <w:t>18</w:t>
      </w:r>
      <w:r w:rsidRPr="003545E0">
        <w:t>,</w:t>
      </w:r>
      <w:r w:rsidRPr="003545E0">
        <w:rPr>
          <w:lang w:val="en-US"/>
        </w:rPr>
        <w:t>3</w:t>
      </w:r>
      <w:r w:rsidRPr="003545E0">
        <w:t xml:space="preserve"> млн. лв. и са </w:t>
      </w:r>
      <w:r w:rsidRPr="003545E0">
        <w:rPr>
          <w:lang w:val="en-US"/>
        </w:rPr>
        <w:t>55</w:t>
      </w:r>
      <w:r w:rsidRPr="003545E0">
        <w:t xml:space="preserve">,0 % от разчета за 2020 г. </w:t>
      </w:r>
      <w:r w:rsidRPr="00254910">
        <w:t xml:space="preserve">Лихвените плащания по заеми от чужбина са в размер на </w:t>
      </w:r>
      <w:r w:rsidRPr="00254910">
        <w:rPr>
          <w:lang w:val="en-US"/>
        </w:rPr>
        <w:t>9</w:t>
      </w:r>
      <w:r w:rsidRPr="00254910">
        <w:t>,</w:t>
      </w:r>
      <w:r w:rsidRPr="00254910">
        <w:rPr>
          <w:lang w:val="en-US"/>
        </w:rPr>
        <w:t>5</w:t>
      </w:r>
      <w:r w:rsidRPr="00254910">
        <w:t xml:space="preserve"> млн. лв., по облигационни заеми - </w:t>
      </w:r>
      <w:r w:rsidRPr="00254910">
        <w:rPr>
          <w:lang w:val="en-US"/>
        </w:rPr>
        <w:t>1</w:t>
      </w:r>
      <w:r w:rsidRPr="00254910">
        <w:t>,</w:t>
      </w:r>
      <w:r w:rsidRPr="00254910">
        <w:rPr>
          <w:lang w:val="en-US"/>
        </w:rPr>
        <w:t>2</w:t>
      </w:r>
      <w:r w:rsidRPr="00254910">
        <w:t xml:space="preserve"> млн. лв., по други вътрешни заеми (банкови, заеми към „ФЛАГ“ ЕАД и др.) са </w:t>
      </w:r>
      <w:r w:rsidRPr="00254910">
        <w:rPr>
          <w:lang w:val="en-US"/>
        </w:rPr>
        <w:t>5</w:t>
      </w:r>
      <w:r w:rsidRPr="00254910">
        <w:t>,8 млн.</w:t>
      </w:r>
      <w:r w:rsidR="000C36A8">
        <w:t xml:space="preserve"> </w:t>
      </w:r>
      <w:r w:rsidRPr="00254910">
        <w:t>лв., по заеми, предоставени от ЦБ и бюджетни организации са 0,1 млн. лв., а отчетените други лихвени плащания (по изпълнителни листове, за забавено изпълнение по сключени договори и др.) са в размер на 1,7 млн. лева.</w:t>
      </w:r>
    </w:p>
    <w:p w:rsidR="007C7AB4" w:rsidRPr="00254910" w:rsidRDefault="007C7AB4" w:rsidP="007C7AB4">
      <w:pPr>
        <w:tabs>
          <w:tab w:val="center" w:pos="4153"/>
          <w:tab w:val="right" w:pos="8306"/>
        </w:tabs>
        <w:ind w:firstLine="567"/>
        <w:jc w:val="both"/>
      </w:pPr>
      <w:r w:rsidRPr="00254910">
        <w:t>Общият размер на отчетените разходи за дофинансиране на делегираните от държавата дейности с местни приходи е 78,7 млн. лева.</w:t>
      </w:r>
    </w:p>
    <w:p w:rsidR="007C7AB4" w:rsidRPr="00254910" w:rsidRDefault="007C7AB4" w:rsidP="007C7AB4">
      <w:pPr>
        <w:numPr>
          <w:ilvl w:val="0"/>
          <w:numId w:val="8"/>
        </w:numPr>
        <w:tabs>
          <w:tab w:val="num" w:pos="540"/>
        </w:tabs>
        <w:spacing w:before="120" w:line="276" w:lineRule="auto"/>
        <w:ind w:left="714" w:hanging="147"/>
        <w:jc w:val="both"/>
        <w:rPr>
          <w:b/>
        </w:rPr>
      </w:pPr>
      <w:r w:rsidRPr="00254910">
        <w:rPr>
          <w:b/>
        </w:rPr>
        <w:t>Финансиране</w:t>
      </w:r>
    </w:p>
    <w:p w:rsidR="007C7AB4" w:rsidRPr="00254910" w:rsidRDefault="007C7AB4" w:rsidP="007C7AB4">
      <w:pPr>
        <w:ind w:firstLine="567"/>
        <w:jc w:val="both"/>
        <w:rPr>
          <w:lang w:val="en-US"/>
        </w:rPr>
      </w:pPr>
      <w:r w:rsidRPr="00254910">
        <w:t xml:space="preserve">Към 30.06.2020 г. по общинските бюджети са </w:t>
      </w:r>
      <w:r w:rsidRPr="00254910">
        <w:rPr>
          <w:i/>
        </w:rPr>
        <w:t>получени</w:t>
      </w:r>
      <w:r w:rsidRPr="00254910">
        <w:t xml:space="preserve"> заемни средства от договори с чуждестранни кредитори в размер на 1,</w:t>
      </w:r>
      <w:proofErr w:type="spellStart"/>
      <w:r w:rsidRPr="00254910">
        <w:t>1</w:t>
      </w:r>
      <w:proofErr w:type="spellEnd"/>
      <w:r w:rsidRPr="00254910">
        <w:t xml:space="preserve"> млн. лв.</w:t>
      </w:r>
      <w:r w:rsidRPr="00254910">
        <w:rPr>
          <w:lang w:val="en-US"/>
        </w:rPr>
        <w:t xml:space="preserve"> (</w:t>
      </w:r>
      <w:proofErr w:type="gramStart"/>
      <w:r w:rsidRPr="00254910">
        <w:t>получен</w:t>
      </w:r>
      <w:proofErr w:type="gramEnd"/>
      <w:r w:rsidRPr="00254910">
        <w:t xml:space="preserve"> от община Варна транш по договор от 2018 г.</w:t>
      </w:r>
      <w:r w:rsidRPr="00254910">
        <w:rPr>
          <w:lang w:val="en-US"/>
        </w:rPr>
        <w:t>)</w:t>
      </w:r>
      <w:r w:rsidRPr="00254910">
        <w:t xml:space="preserve"> Изплатените </w:t>
      </w:r>
      <w:r w:rsidRPr="00254910">
        <w:rPr>
          <w:i/>
        </w:rPr>
        <w:t>погашения по заеми</w:t>
      </w:r>
      <w:r w:rsidRPr="00254910">
        <w:t xml:space="preserve"> от чужбина са в размер на </w:t>
      </w:r>
      <w:r w:rsidRPr="00254910">
        <w:rPr>
          <w:lang w:val="en-US"/>
        </w:rPr>
        <w:t>20</w:t>
      </w:r>
      <w:r w:rsidRPr="00254910">
        <w:t>,</w:t>
      </w:r>
      <w:r w:rsidRPr="00254910">
        <w:rPr>
          <w:lang w:val="en-US"/>
        </w:rPr>
        <w:t>7</w:t>
      </w:r>
      <w:r w:rsidRPr="00254910">
        <w:t xml:space="preserve"> млн. лева. </w:t>
      </w:r>
      <w:r w:rsidRPr="00254910">
        <w:rPr>
          <w:lang w:val="en-US"/>
        </w:rPr>
        <w:t>(</w:t>
      </w:r>
      <w:r w:rsidRPr="00254910">
        <w:t>от Столична община 18,1 млн. лв., от община Варна – 0,9 млн. лв., от Пловдив – 1,5 млн. лв. и от община Ловеч – 0,2 млн. лв.</w:t>
      </w:r>
      <w:r w:rsidRPr="00254910">
        <w:rPr>
          <w:lang w:val="en-US"/>
        </w:rPr>
        <w:t>)</w:t>
      </w:r>
    </w:p>
    <w:p w:rsidR="007C7AB4" w:rsidRPr="00245EC9" w:rsidRDefault="007C7AB4" w:rsidP="007C7AB4">
      <w:pPr>
        <w:ind w:firstLine="567"/>
        <w:jc w:val="both"/>
        <w:rPr>
          <w:color w:val="4F81BD" w:themeColor="accent1"/>
        </w:rPr>
      </w:pPr>
      <w:r w:rsidRPr="00254910">
        <w:t xml:space="preserve">От банки в страната получените заемни средства са в размер на </w:t>
      </w:r>
      <w:r w:rsidRPr="00254910">
        <w:rPr>
          <w:lang w:val="en-US"/>
        </w:rPr>
        <w:t>30</w:t>
      </w:r>
      <w:r w:rsidRPr="00254910">
        <w:t xml:space="preserve">,3 млн. лв., а от други местни лица </w:t>
      </w:r>
      <w:r w:rsidRPr="00254910">
        <w:rPr>
          <w:lang w:val="en-US"/>
        </w:rPr>
        <w:t>(</w:t>
      </w:r>
      <w:r w:rsidRPr="00254910">
        <w:t>ФЛАГ ЕАД, Фонд „Енергийна ефективност и възобновяеми източници“ и др.</w:t>
      </w:r>
      <w:r w:rsidRPr="00254910">
        <w:rPr>
          <w:lang w:val="en-US"/>
        </w:rPr>
        <w:t>)</w:t>
      </w:r>
      <w:r w:rsidRPr="00254910">
        <w:t xml:space="preserve"> общините са получили заеми в размер на </w:t>
      </w:r>
      <w:r w:rsidRPr="00254910">
        <w:rPr>
          <w:lang w:val="en-US"/>
        </w:rPr>
        <w:t>52</w:t>
      </w:r>
      <w:r w:rsidRPr="00254910">
        <w:t>,</w:t>
      </w:r>
      <w:r w:rsidRPr="00254910">
        <w:rPr>
          <w:lang w:val="en-US"/>
        </w:rPr>
        <w:t>5</w:t>
      </w:r>
      <w:r w:rsidRPr="00254910">
        <w:t xml:space="preserve"> млн. лв.</w:t>
      </w:r>
      <w:r w:rsidRPr="00254910">
        <w:rPr>
          <w:lang w:val="en-US"/>
        </w:rPr>
        <w:t xml:space="preserve"> (</w:t>
      </w:r>
      <w:proofErr w:type="gramStart"/>
      <w:r w:rsidRPr="00254910">
        <w:t>в</w:t>
      </w:r>
      <w:proofErr w:type="gramEnd"/>
      <w:r w:rsidRPr="00254910">
        <w:t xml:space="preserve"> т.</w:t>
      </w:r>
      <w:r>
        <w:t>ч. 48,</w:t>
      </w:r>
      <w:r>
        <w:rPr>
          <w:lang w:val="en-US"/>
        </w:rPr>
        <w:t>9</w:t>
      </w:r>
      <w:r>
        <w:t xml:space="preserve"> млн. лв. от</w:t>
      </w:r>
      <w:r w:rsidRPr="00254910">
        <w:t xml:space="preserve"> ФЛАГ </w:t>
      </w:r>
      <w:r w:rsidRPr="00FF7E7A">
        <w:t>ЕАД</w:t>
      </w:r>
      <w:r w:rsidRPr="00FF7E7A">
        <w:rPr>
          <w:lang w:val="en-US"/>
        </w:rPr>
        <w:t>)</w:t>
      </w:r>
      <w:r w:rsidRPr="00FF7E7A">
        <w:t xml:space="preserve"> или общо получените заемни средства са </w:t>
      </w:r>
      <w:r w:rsidRPr="00FF7E7A">
        <w:rPr>
          <w:lang w:val="en-US"/>
        </w:rPr>
        <w:t>82</w:t>
      </w:r>
      <w:r w:rsidRPr="00FF7E7A">
        <w:t>,</w:t>
      </w:r>
      <w:r w:rsidRPr="00FF7E7A">
        <w:rPr>
          <w:lang w:val="en-US"/>
        </w:rPr>
        <w:t>8</w:t>
      </w:r>
      <w:r w:rsidRPr="00FF7E7A">
        <w:t xml:space="preserve"> млн. лв. Изплатените погашения  по банкови заеми </w:t>
      </w:r>
      <w:r w:rsidRPr="00FF7E7A">
        <w:lastRenderedPageBreak/>
        <w:t xml:space="preserve">от страната са </w:t>
      </w:r>
      <w:r w:rsidRPr="00FF7E7A">
        <w:rPr>
          <w:lang w:val="en-US"/>
        </w:rPr>
        <w:t>26</w:t>
      </w:r>
      <w:r w:rsidRPr="00FF7E7A">
        <w:t>,</w:t>
      </w:r>
      <w:r w:rsidRPr="00FF7E7A">
        <w:rPr>
          <w:lang w:val="en-US"/>
        </w:rPr>
        <w:t>2</w:t>
      </w:r>
      <w:r w:rsidRPr="00FF7E7A">
        <w:t xml:space="preserve"> млн. лв., а по заеми от други лица са </w:t>
      </w:r>
      <w:r w:rsidRPr="00FF7E7A">
        <w:rPr>
          <w:lang w:val="en-US"/>
        </w:rPr>
        <w:t>49</w:t>
      </w:r>
      <w:r w:rsidRPr="00FF7E7A">
        <w:t>,</w:t>
      </w:r>
      <w:r w:rsidRPr="00FF7E7A">
        <w:rPr>
          <w:lang w:val="en-US"/>
        </w:rPr>
        <w:t>5</w:t>
      </w:r>
      <w:r w:rsidRPr="00FF7E7A">
        <w:t xml:space="preserve"> млн. лв. (в т.ч. 48,6 млн. лв. към ФЛАГ ЕАД) или общо платените главници са в размер на 75,7 млн. лв.</w:t>
      </w:r>
    </w:p>
    <w:p w:rsidR="007C7AB4" w:rsidRPr="00FF7E7A" w:rsidRDefault="007C7AB4" w:rsidP="007C7AB4">
      <w:pPr>
        <w:ind w:firstLine="567"/>
        <w:jc w:val="both"/>
      </w:pPr>
      <w:r w:rsidRPr="00FF7E7A">
        <w:t>Погашенията по емитирани през предходни периоди общински ценни книжа са в размер на 4,6 млн. лв. и са отчетени от 7 общини. За отчетния период няма емитиран нов дълг.</w:t>
      </w:r>
    </w:p>
    <w:p w:rsidR="007C7AB4" w:rsidRPr="00FF7E7A" w:rsidRDefault="007C7AB4" w:rsidP="007C7AB4">
      <w:pPr>
        <w:ind w:firstLine="567"/>
        <w:jc w:val="both"/>
      </w:pPr>
      <w:r w:rsidRPr="00FF7E7A">
        <w:t xml:space="preserve">Другото финансиране /нето/ по общинските бюджети към 30.06.2020 г. е  отрицателно - 27,8 млн. лв., като съществена част от него представлява отчетеното превеждане /резервиране/ на суми по реда на чл. 60 и чл. 64 от Закона за управление на отпадъците по сметката за чужди средства на съответната РИОСВ. За периода нетният размер на задълженията и погашенията по финансов лизинг и търговски кредити като форми на дълг е в размер на (-0,5) млн. лева. </w:t>
      </w:r>
    </w:p>
    <w:p w:rsidR="007C7AB4" w:rsidRPr="00FF7E7A" w:rsidRDefault="007C7AB4" w:rsidP="007C7AB4">
      <w:pPr>
        <w:ind w:firstLine="708"/>
        <w:jc w:val="both"/>
      </w:pPr>
      <w:r w:rsidRPr="00FF7E7A">
        <w:t>Нетният размер на събраните средства и извършени плащания от общините за сметка на други бюджети, сметки и фондове е в размер на 8,7 млн. лв.</w:t>
      </w:r>
    </w:p>
    <w:p w:rsidR="007C7AB4" w:rsidRPr="00FF7E7A" w:rsidRDefault="007C7AB4" w:rsidP="007C7AB4">
      <w:pPr>
        <w:ind w:firstLine="720"/>
        <w:jc w:val="both"/>
        <w:rPr>
          <w:lang w:eastAsia="bg-BG"/>
        </w:rPr>
      </w:pPr>
      <w:r w:rsidRPr="00FF7E7A">
        <w:rPr>
          <w:lang w:eastAsia="bg-BG"/>
        </w:rPr>
        <w:t xml:space="preserve">Към 30.06.2020 г. отчетеният от общините нетен размер на операциите по придобиване на дялове, акции и съучастия е в размер на (-0,4) млн. лв., а на предоставената възмездна финансова помощ </w:t>
      </w:r>
      <w:r w:rsidRPr="00FF7E7A">
        <w:rPr>
          <w:lang w:val="en-US" w:eastAsia="bg-BG"/>
        </w:rPr>
        <w:t>(</w:t>
      </w:r>
      <w:proofErr w:type="spellStart"/>
      <w:r w:rsidRPr="00FF7E7A">
        <w:rPr>
          <w:lang w:val="en-US" w:eastAsia="bg-BG"/>
        </w:rPr>
        <w:t>нето</w:t>
      </w:r>
      <w:proofErr w:type="spellEnd"/>
      <w:r w:rsidRPr="00FF7E7A">
        <w:rPr>
          <w:lang w:val="en-US" w:eastAsia="bg-BG"/>
        </w:rPr>
        <w:t>)</w:t>
      </w:r>
      <w:r w:rsidRPr="00FF7E7A">
        <w:rPr>
          <w:lang w:eastAsia="bg-BG"/>
        </w:rPr>
        <w:t xml:space="preserve"> от общините е (-</w:t>
      </w:r>
      <w:r w:rsidRPr="00FF7E7A">
        <w:rPr>
          <w:lang w:val="en-US" w:eastAsia="bg-BG"/>
        </w:rPr>
        <w:t>0</w:t>
      </w:r>
      <w:r w:rsidRPr="00FF7E7A">
        <w:rPr>
          <w:lang w:eastAsia="bg-BG"/>
        </w:rPr>
        <w:t xml:space="preserve">,8) млн. лв. </w:t>
      </w:r>
    </w:p>
    <w:p w:rsidR="007C7AB4" w:rsidRPr="00FF7E7A" w:rsidRDefault="007C7AB4" w:rsidP="007C7AB4">
      <w:pPr>
        <w:ind w:firstLine="720"/>
        <w:jc w:val="both"/>
        <w:rPr>
          <w:lang w:eastAsia="bg-BG"/>
        </w:rPr>
      </w:pPr>
      <w:r w:rsidRPr="00FF7E7A">
        <w:rPr>
          <w:lang w:eastAsia="bg-BG"/>
        </w:rPr>
        <w:t xml:space="preserve">Общините приключиха края на първо </w:t>
      </w:r>
      <w:proofErr w:type="spellStart"/>
      <w:r w:rsidR="00BA6945">
        <w:rPr>
          <w:lang w:eastAsia="bg-BG"/>
        </w:rPr>
        <w:t>полугоди</w:t>
      </w:r>
      <w:proofErr w:type="spellEnd"/>
      <w:r w:rsidR="00B36ED3">
        <w:rPr>
          <w:lang w:val="en-US" w:eastAsia="bg-BG"/>
        </w:rPr>
        <w:t>e</w:t>
      </w:r>
      <w:r w:rsidRPr="00FF7E7A">
        <w:rPr>
          <w:lang w:eastAsia="bg-BG"/>
        </w:rPr>
        <w:t xml:space="preserve"> на 2020 г. с бюджетни наличности (по банкови сметки и в каса) в размер на 1 420,8 млн. лв., като 680,8 млн. лв. (47,9 %) са отчетени като остатък в делегираните от държавата дейности.</w:t>
      </w:r>
    </w:p>
    <w:p w:rsidR="007C7AB4" w:rsidRPr="00245EC9" w:rsidRDefault="007C7AB4" w:rsidP="007C7AB4">
      <w:pPr>
        <w:pStyle w:val="BodyText"/>
        <w:spacing w:after="120"/>
        <w:ind w:firstLine="567"/>
        <w:rPr>
          <w:color w:val="4F81BD" w:themeColor="accent1"/>
          <w:sz w:val="18"/>
          <w:szCs w:val="12"/>
        </w:rPr>
      </w:pPr>
    </w:p>
    <w:p w:rsidR="007C7AB4" w:rsidRPr="00590FFF" w:rsidRDefault="00D21BFA" w:rsidP="00D21BFA">
      <w:pPr>
        <w:pStyle w:val="Heading1"/>
        <w:spacing w:after="120"/>
        <w:ind w:left="568" w:right="-108"/>
        <w:jc w:val="both"/>
        <w:rPr>
          <w:sz w:val="24"/>
        </w:rPr>
      </w:pPr>
      <w:r>
        <w:rPr>
          <w:sz w:val="24"/>
        </w:rPr>
        <w:t xml:space="preserve">4.3 </w:t>
      </w:r>
      <w:r w:rsidR="007C7AB4" w:rsidRPr="00590FFF">
        <w:rPr>
          <w:sz w:val="24"/>
        </w:rPr>
        <w:t>Бюджети на Българската национална телевизия (БНТ), Българското национално радио (БНР) и Българската телеграфна агенция (БТА)</w:t>
      </w:r>
    </w:p>
    <w:p w:rsidR="007C7AB4" w:rsidRPr="005C2F5A" w:rsidRDefault="007C7AB4" w:rsidP="007C7AB4">
      <w:pPr>
        <w:spacing w:before="240"/>
        <w:ind w:firstLine="567"/>
        <w:jc w:val="both"/>
        <w:rPr>
          <w:szCs w:val="20"/>
        </w:rPr>
      </w:pPr>
      <w:r>
        <w:rPr>
          <w:b/>
          <w:color w:val="4F81BD" w:themeColor="accent1"/>
          <w:lang w:val="en-US"/>
        </w:rPr>
        <w:t xml:space="preserve">  </w:t>
      </w:r>
      <w:r w:rsidRPr="005C2F5A">
        <w:rPr>
          <w:b/>
        </w:rPr>
        <w:t>Приходите на БНТ</w:t>
      </w:r>
      <w:r w:rsidRPr="005C2F5A">
        <w:t xml:space="preserve"> към 30.06.2020 г. са в размер на </w:t>
      </w:r>
      <w:r w:rsidRPr="005C2F5A">
        <w:rPr>
          <w:lang w:val="en-US"/>
        </w:rPr>
        <w:t>1</w:t>
      </w:r>
      <w:r w:rsidRPr="005C2F5A">
        <w:t xml:space="preserve">,8 млн. лв. при планирани за годината 7,5 млн. лв. или за отчетния период са постъпили </w:t>
      </w:r>
      <w:r w:rsidRPr="005C2F5A">
        <w:rPr>
          <w:lang w:val="en-US"/>
        </w:rPr>
        <w:t>24</w:t>
      </w:r>
      <w:r w:rsidRPr="005C2F5A">
        <w:t>,</w:t>
      </w:r>
      <w:r w:rsidRPr="005C2F5A">
        <w:rPr>
          <w:lang w:val="en-US"/>
        </w:rPr>
        <w:t>5</w:t>
      </w:r>
      <w:r w:rsidRPr="005C2F5A">
        <w:t xml:space="preserve"> % от планираните за годината. По-ниският процент изпълнение на приходите се дължи на отчетени по-ниски постъпления от рекламна дейност. </w:t>
      </w:r>
      <w:r w:rsidRPr="005C2F5A">
        <w:rPr>
          <w:szCs w:val="20"/>
        </w:rPr>
        <w:t>Отчетените приходи са постъпления от продажби на услуги, стоки и продукция (реклама, спонсорство, технически услуги, почивно дело, продажба на програми) и</w:t>
      </w:r>
      <w:r w:rsidRPr="005C2F5A">
        <w:rPr>
          <w:b/>
          <w:szCs w:val="20"/>
        </w:rPr>
        <w:t xml:space="preserve"> </w:t>
      </w:r>
      <w:r w:rsidRPr="005C2F5A">
        <w:rPr>
          <w:szCs w:val="20"/>
        </w:rPr>
        <w:t xml:space="preserve">наеми на имущество. </w:t>
      </w:r>
    </w:p>
    <w:p w:rsidR="007C7AB4" w:rsidRPr="004537E1" w:rsidRDefault="007C7AB4" w:rsidP="007C7AB4">
      <w:pPr>
        <w:ind w:firstLine="567"/>
        <w:jc w:val="both"/>
      </w:pPr>
      <w:r w:rsidRPr="005C2F5A">
        <w:t xml:space="preserve">Отчетените </w:t>
      </w:r>
      <w:r w:rsidRPr="005C2F5A">
        <w:rPr>
          <w:b/>
        </w:rPr>
        <w:t>разходи</w:t>
      </w:r>
      <w:r w:rsidRPr="005C2F5A">
        <w:t xml:space="preserve"> </w:t>
      </w:r>
      <w:r w:rsidRPr="005C2F5A">
        <w:rPr>
          <w:b/>
        </w:rPr>
        <w:t>на БНТ</w:t>
      </w:r>
      <w:r w:rsidRPr="005C2F5A">
        <w:t xml:space="preserve"> към 30.06.2020 г. са в размер на </w:t>
      </w:r>
      <w:r w:rsidRPr="005C2F5A">
        <w:rPr>
          <w:lang w:val="en-US"/>
        </w:rPr>
        <w:t>35</w:t>
      </w:r>
      <w:r w:rsidRPr="005C2F5A">
        <w:t>,</w:t>
      </w:r>
      <w:r w:rsidRPr="005C2F5A">
        <w:rPr>
          <w:lang w:val="en-US"/>
        </w:rPr>
        <w:t>4</w:t>
      </w:r>
      <w:r w:rsidRPr="005C2F5A">
        <w:t xml:space="preserve"> млн. лв. или </w:t>
      </w:r>
      <w:r w:rsidRPr="005C2F5A">
        <w:rPr>
          <w:lang w:val="en-US"/>
        </w:rPr>
        <w:t>44</w:t>
      </w:r>
      <w:r w:rsidRPr="005C2F5A">
        <w:t>,</w:t>
      </w:r>
      <w:r w:rsidRPr="005C2F5A">
        <w:rPr>
          <w:lang w:val="en-US"/>
        </w:rPr>
        <w:t>8</w:t>
      </w:r>
      <w:r w:rsidRPr="005C2F5A">
        <w:t xml:space="preserve"> % от предвидените разходи в годишния разчет. </w:t>
      </w:r>
      <w:r w:rsidRPr="00752364">
        <w:rPr>
          <w:szCs w:val="20"/>
        </w:rPr>
        <w:t xml:space="preserve">За периода са отчетени </w:t>
      </w:r>
      <w:r w:rsidRPr="00752364">
        <w:rPr>
          <w:szCs w:val="20"/>
          <w:lang w:val="en-US"/>
        </w:rPr>
        <w:t>27</w:t>
      </w:r>
      <w:r w:rsidRPr="00752364">
        <w:rPr>
          <w:szCs w:val="20"/>
        </w:rPr>
        <w:t>,</w:t>
      </w:r>
      <w:r w:rsidRPr="00752364">
        <w:rPr>
          <w:szCs w:val="20"/>
          <w:lang w:val="en-US"/>
        </w:rPr>
        <w:t>9</w:t>
      </w:r>
      <w:r w:rsidRPr="00752364">
        <w:rPr>
          <w:szCs w:val="20"/>
        </w:rPr>
        <w:t xml:space="preserve"> млн. лв. текущи разходи и </w:t>
      </w:r>
      <w:r w:rsidRPr="00752364">
        <w:rPr>
          <w:szCs w:val="20"/>
          <w:lang w:val="en-US"/>
        </w:rPr>
        <w:t>7</w:t>
      </w:r>
      <w:r w:rsidRPr="00752364">
        <w:rPr>
          <w:szCs w:val="20"/>
        </w:rPr>
        <w:t>,</w:t>
      </w:r>
      <w:r w:rsidRPr="00752364">
        <w:rPr>
          <w:szCs w:val="20"/>
          <w:lang w:val="en-US"/>
        </w:rPr>
        <w:t>5</w:t>
      </w:r>
      <w:r w:rsidRPr="00752364">
        <w:rPr>
          <w:szCs w:val="20"/>
        </w:rPr>
        <w:t xml:space="preserve"> млн. лв. капиталови разходи. </w:t>
      </w:r>
      <w:r w:rsidRPr="004537E1">
        <w:rPr>
          <w:szCs w:val="20"/>
        </w:rPr>
        <w:t>По бюджета на БНТ, в частта на финансирането са отчетени задължения по търговски кредит в размер на 2,4 млн. лв. (задължения за отстъпени права за излъчване на чужди програми) и погашения по търговски кредит в размер на 2,7 млн. лв. (погашения на задължения по договори от предходната година за такси за разпространение на програмите – 1,3 млн. лв. и за отстъпени права за излъчване на чужди програми и придобиване на транспортни средства – 1,4 млн. лв.)</w:t>
      </w:r>
      <w:r>
        <w:rPr>
          <w:szCs w:val="20"/>
          <w:lang w:val="en-US"/>
        </w:rPr>
        <w:t>.</w:t>
      </w:r>
      <w:r w:rsidRPr="004537E1">
        <w:rPr>
          <w:szCs w:val="20"/>
        </w:rPr>
        <w:t xml:space="preserve"> В разпределението на разходите по бюджета на обществената медия е включен преходния остатък за 2019 г. (съгл. чл. 70, ал. 6 от Закона за радиото и телевизията) в размер на 0,7 млн. лв. 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rsidR="007C7AB4" w:rsidRDefault="007C7AB4" w:rsidP="007C7AB4">
      <w:pPr>
        <w:spacing w:line="276" w:lineRule="auto"/>
        <w:ind w:firstLine="567"/>
        <w:jc w:val="both"/>
        <w:rPr>
          <w:szCs w:val="20"/>
          <w:lang w:val="en-US"/>
        </w:rPr>
      </w:pPr>
      <w:r w:rsidRPr="004537E1">
        <w:t xml:space="preserve">Общо утвърдените </w:t>
      </w:r>
      <w:r w:rsidRPr="004537E1">
        <w:rPr>
          <w:b/>
          <w:i/>
        </w:rPr>
        <w:t>бюджетни взаимоотношения на БНТ с централния бюджет</w:t>
      </w:r>
      <w:r w:rsidRPr="004537E1">
        <w:t xml:space="preserve"> за 2020 г. са в размер на </w:t>
      </w:r>
      <w:r w:rsidRPr="004537E1">
        <w:rPr>
          <w:szCs w:val="20"/>
        </w:rPr>
        <w:t xml:space="preserve">70,9 млн. лв., съгласно чл. 48, т. 2 от ЗДБРБ за 2020 г.  За отчетния период е усвоена сума в размер на </w:t>
      </w:r>
      <w:r w:rsidRPr="004537E1">
        <w:rPr>
          <w:szCs w:val="20"/>
          <w:lang w:val="en-US"/>
        </w:rPr>
        <w:t>35</w:t>
      </w:r>
      <w:r w:rsidRPr="004537E1">
        <w:rPr>
          <w:szCs w:val="20"/>
        </w:rPr>
        <w:t>,</w:t>
      </w:r>
      <w:r w:rsidRPr="004537E1">
        <w:rPr>
          <w:szCs w:val="20"/>
          <w:lang w:val="en-US"/>
        </w:rPr>
        <w:t>4</w:t>
      </w:r>
      <w:r w:rsidRPr="004537E1">
        <w:rPr>
          <w:szCs w:val="20"/>
        </w:rPr>
        <w:t xml:space="preserve"> млн. лв. или </w:t>
      </w:r>
      <w:r w:rsidRPr="004537E1">
        <w:rPr>
          <w:szCs w:val="20"/>
          <w:lang w:val="en-US"/>
        </w:rPr>
        <w:t>49</w:t>
      </w:r>
      <w:r w:rsidRPr="004537E1">
        <w:rPr>
          <w:szCs w:val="20"/>
        </w:rPr>
        <w:t>,</w:t>
      </w:r>
      <w:r w:rsidRPr="004537E1">
        <w:rPr>
          <w:szCs w:val="20"/>
          <w:lang w:val="en-US"/>
        </w:rPr>
        <w:t>9</w:t>
      </w:r>
      <w:r w:rsidRPr="004537E1">
        <w:rPr>
          <w:szCs w:val="20"/>
        </w:rPr>
        <w:t xml:space="preserve"> % от размера на определените със ЗДБРБ за 2020 г. бюджетни взаимоотношения на БНТ с централния бюджет.</w:t>
      </w:r>
    </w:p>
    <w:p w:rsidR="007C7AB4" w:rsidRPr="00245EC9" w:rsidRDefault="007C7AB4" w:rsidP="007C7AB4">
      <w:pPr>
        <w:spacing w:before="240"/>
        <w:ind w:firstLine="567"/>
        <w:jc w:val="both"/>
        <w:rPr>
          <w:color w:val="4F81BD" w:themeColor="accent1"/>
        </w:rPr>
      </w:pPr>
      <w:r w:rsidRPr="004537E1">
        <w:rPr>
          <w:b/>
        </w:rPr>
        <w:t>Приходите по бюджета на БНР</w:t>
      </w:r>
      <w:r w:rsidRPr="004537E1">
        <w:t xml:space="preserve"> към 30.06. 2020 г. са в размер на 0,</w:t>
      </w:r>
      <w:r w:rsidRPr="004537E1">
        <w:rPr>
          <w:lang w:val="en-US"/>
        </w:rPr>
        <w:t>5</w:t>
      </w:r>
      <w:r w:rsidRPr="004537E1">
        <w:t xml:space="preserve"> млн. лв., което представлява </w:t>
      </w:r>
      <w:r w:rsidRPr="004537E1">
        <w:rPr>
          <w:lang w:val="en-US"/>
        </w:rPr>
        <w:t>2</w:t>
      </w:r>
      <w:r w:rsidRPr="004537E1">
        <w:t>5,</w:t>
      </w:r>
      <w:r w:rsidRPr="004537E1">
        <w:rPr>
          <w:lang w:val="en-US"/>
        </w:rPr>
        <w:t>2</w:t>
      </w:r>
      <w:r w:rsidRPr="004537E1">
        <w:t xml:space="preserve"> % от планираните за годината 2,1 млн. лв.</w:t>
      </w:r>
      <w:r w:rsidRPr="004537E1">
        <w:rPr>
          <w:szCs w:val="20"/>
        </w:rPr>
        <w:t xml:space="preserve"> По-ниският процент изпълнение на приходите се дължи на отчетени по-ниски постъпления от рекламна дейност. Отчетените приходи са постъпления от продажби на услуги, стоки и продукция </w:t>
      </w:r>
      <w:r w:rsidRPr="004537E1">
        <w:rPr>
          <w:szCs w:val="20"/>
          <w:lang w:val="en-US"/>
        </w:rPr>
        <w:t>(</w:t>
      </w:r>
      <w:r w:rsidRPr="004537E1">
        <w:rPr>
          <w:szCs w:val="20"/>
        </w:rPr>
        <w:t>реклама, спонсорски съобщения, технически услуги, съвместни проекти, приходи от концертна дейност, лицензионна дейност и др.</w:t>
      </w:r>
      <w:r w:rsidRPr="004537E1">
        <w:rPr>
          <w:szCs w:val="20"/>
          <w:lang w:val="en-US"/>
        </w:rPr>
        <w:t>)</w:t>
      </w:r>
      <w:r w:rsidRPr="004537E1">
        <w:rPr>
          <w:szCs w:val="20"/>
        </w:rPr>
        <w:t>, наеми на имущество и др.</w:t>
      </w:r>
    </w:p>
    <w:p w:rsidR="007C7AB4" w:rsidRPr="00245EC9" w:rsidRDefault="007C7AB4" w:rsidP="007C7AB4">
      <w:pPr>
        <w:ind w:firstLine="567"/>
        <w:jc w:val="both"/>
        <w:rPr>
          <w:color w:val="4F81BD" w:themeColor="accent1"/>
          <w:szCs w:val="20"/>
        </w:rPr>
      </w:pPr>
      <w:r w:rsidRPr="004537E1">
        <w:rPr>
          <w:szCs w:val="20"/>
        </w:rPr>
        <w:t xml:space="preserve">Изпълнението на </w:t>
      </w:r>
      <w:r w:rsidRPr="004537E1">
        <w:rPr>
          <w:b/>
          <w:szCs w:val="20"/>
        </w:rPr>
        <w:t>разходите</w:t>
      </w:r>
      <w:r w:rsidRPr="004537E1">
        <w:rPr>
          <w:szCs w:val="20"/>
        </w:rPr>
        <w:t xml:space="preserve"> </w:t>
      </w:r>
      <w:r w:rsidRPr="004537E1">
        <w:rPr>
          <w:b/>
          <w:szCs w:val="20"/>
        </w:rPr>
        <w:t>по бюджета на</w:t>
      </w:r>
      <w:r w:rsidRPr="004537E1">
        <w:rPr>
          <w:szCs w:val="20"/>
        </w:rPr>
        <w:t xml:space="preserve"> </w:t>
      </w:r>
      <w:r w:rsidRPr="004537E1">
        <w:rPr>
          <w:b/>
          <w:szCs w:val="20"/>
        </w:rPr>
        <w:t xml:space="preserve">БНР </w:t>
      </w:r>
      <w:r w:rsidRPr="004537E1">
        <w:rPr>
          <w:szCs w:val="20"/>
        </w:rPr>
        <w:t xml:space="preserve">възлиза на </w:t>
      </w:r>
      <w:r w:rsidRPr="004537E1">
        <w:rPr>
          <w:szCs w:val="20"/>
          <w:lang w:val="en-US"/>
        </w:rPr>
        <w:t>24</w:t>
      </w:r>
      <w:r w:rsidRPr="004537E1">
        <w:rPr>
          <w:szCs w:val="20"/>
        </w:rPr>
        <w:t>,</w:t>
      </w:r>
      <w:r w:rsidRPr="004537E1">
        <w:rPr>
          <w:szCs w:val="20"/>
          <w:lang w:val="en-US"/>
        </w:rPr>
        <w:t>7</w:t>
      </w:r>
      <w:r w:rsidRPr="004537E1">
        <w:rPr>
          <w:szCs w:val="20"/>
        </w:rPr>
        <w:t xml:space="preserve"> млн. лв. или </w:t>
      </w:r>
      <w:r w:rsidRPr="004537E1">
        <w:rPr>
          <w:szCs w:val="20"/>
          <w:lang w:val="en-US"/>
        </w:rPr>
        <w:t>49</w:t>
      </w:r>
      <w:r w:rsidRPr="004537E1">
        <w:rPr>
          <w:szCs w:val="20"/>
        </w:rPr>
        <w:t>,</w:t>
      </w:r>
      <w:r w:rsidRPr="004537E1">
        <w:rPr>
          <w:szCs w:val="20"/>
          <w:lang w:val="en-US"/>
        </w:rPr>
        <w:t>6</w:t>
      </w:r>
      <w:r w:rsidRPr="004537E1">
        <w:rPr>
          <w:szCs w:val="20"/>
        </w:rPr>
        <w:t xml:space="preserve"> % </w:t>
      </w:r>
      <w:r w:rsidRPr="004537E1">
        <w:t xml:space="preserve">от годишния разчет по ЗДБРБ за 2020 г. </w:t>
      </w:r>
      <w:r w:rsidRPr="004537E1">
        <w:rPr>
          <w:szCs w:val="20"/>
        </w:rPr>
        <w:t xml:space="preserve">За периода са отчетени </w:t>
      </w:r>
      <w:r w:rsidRPr="004537E1">
        <w:rPr>
          <w:szCs w:val="20"/>
          <w:lang w:val="en-US"/>
        </w:rPr>
        <w:t>23</w:t>
      </w:r>
      <w:r w:rsidRPr="004537E1">
        <w:rPr>
          <w:szCs w:val="20"/>
        </w:rPr>
        <w:t>,</w:t>
      </w:r>
      <w:r w:rsidRPr="004537E1">
        <w:rPr>
          <w:szCs w:val="20"/>
          <w:lang w:val="en-US"/>
        </w:rPr>
        <w:t>8</w:t>
      </w:r>
      <w:r w:rsidRPr="004537E1">
        <w:rPr>
          <w:szCs w:val="20"/>
        </w:rPr>
        <w:t xml:space="preserve"> млн. лв. текущи разходи и 0,</w:t>
      </w:r>
      <w:r w:rsidRPr="004537E1">
        <w:rPr>
          <w:szCs w:val="20"/>
          <w:lang w:val="en-US"/>
        </w:rPr>
        <w:t>9</w:t>
      </w:r>
      <w:r w:rsidRPr="004537E1">
        <w:rPr>
          <w:szCs w:val="20"/>
        </w:rPr>
        <w:t xml:space="preserve"> млн. лв. капиталови разходи. Средствата са усвоени за реализирането на основните цели и </w:t>
      </w:r>
      <w:r w:rsidRPr="004537E1">
        <w:rPr>
          <w:szCs w:val="20"/>
        </w:rPr>
        <w:lastRenderedPageBreak/>
        <w:t xml:space="preserve">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 В разпределението на разходите по бюджета на БНР е включен преходния остатък за 2019 г. (съгл. чл. 70, ал. 6 от Закона за радиото и телевизията) в размер на 0,3 млн. лева. </w:t>
      </w:r>
    </w:p>
    <w:p w:rsidR="002734B2" w:rsidRDefault="007C7AB4" w:rsidP="00463AAA">
      <w:pPr>
        <w:ind w:firstLine="567"/>
        <w:jc w:val="both"/>
        <w:rPr>
          <w:szCs w:val="20"/>
        </w:rPr>
      </w:pPr>
      <w:r w:rsidRPr="004537E1">
        <w:t>Общо утвърдените</w:t>
      </w:r>
      <w:r w:rsidRPr="004537E1">
        <w:rPr>
          <w:b/>
        </w:rPr>
        <w:t xml:space="preserve"> </w:t>
      </w:r>
      <w:r w:rsidRPr="004537E1">
        <w:rPr>
          <w:b/>
          <w:i/>
          <w:szCs w:val="20"/>
        </w:rPr>
        <w:t>бюджетни взаимоотношения на БНР с централния бюджет</w:t>
      </w:r>
      <w:r w:rsidRPr="004537E1">
        <w:rPr>
          <w:szCs w:val="20"/>
        </w:rPr>
        <w:t xml:space="preserve"> за 2020 г. са в размер на 47,0 млн. лв., съгласно чл. 48, т. 1 от ЗДБРБ за 2020 г.  За отчетния период е усвоена сума в размер на </w:t>
      </w:r>
      <w:r w:rsidRPr="004537E1">
        <w:rPr>
          <w:szCs w:val="20"/>
          <w:lang w:val="en-US"/>
        </w:rPr>
        <w:t>25</w:t>
      </w:r>
      <w:r w:rsidRPr="004537E1">
        <w:rPr>
          <w:szCs w:val="20"/>
        </w:rPr>
        <w:t>,</w:t>
      </w:r>
      <w:r w:rsidRPr="004537E1">
        <w:rPr>
          <w:szCs w:val="20"/>
          <w:lang w:val="en-US"/>
        </w:rPr>
        <w:t>4</w:t>
      </w:r>
      <w:r w:rsidRPr="004537E1">
        <w:rPr>
          <w:szCs w:val="20"/>
        </w:rPr>
        <w:t xml:space="preserve"> млн. лв. или </w:t>
      </w:r>
      <w:r w:rsidRPr="004537E1">
        <w:rPr>
          <w:szCs w:val="20"/>
          <w:lang w:val="en-US"/>
        </w:rPr>
        <w:t>53</w:t>
      </w:r>
      <w:r w:rsidRPr="004537E1">
        <w:rPr>
          <w:szCs w:val="20"/>
        </w:rPr>
        <w:t>,9% от размера на определените със ЗДБРБ за 2020 г. бюджетни взаимоотношения на БНР с централния бюджет.</w:t>
      </w:r>
    </w:p>
    <w:p w:rsidR="007C7AB4" w:rsidRDefault="007C7AB4" w:rsidP="007C7AB4">
      <w:pPr>
        <w:spacing w:before="240"/>
        <w:ind w:firstLine="567"/>
        <w:jc w:val="both"/>
        <w:rPr>
          <w:szCs w:val="20"/>
          <w:lang w:val="en-US"/>
        </w:rPr>
      </w:pPr>
      <w:r w:rsidRPr="004537E1">
        <w:rPr>
          <w:b/>
          <w:szCs w:val="20"/>
        </w:rPr>
        <w:t xml:space="preserve">Приходите на БТА </w:t>
      </w:r>
      <w:r w:rsidRPr="004537E1">
        <w:rPr>
          <w:szCs w:val="20"/>
        </w:rPr>
        <w:t>към 30.06.2020 г. са 0,</w:t>
      </w:r>
      <w:r w:rsidRPr="004537E1">
        <w:rPr>
          <w:szCs w:val="20"/>
          <w:lang w:val="en-US"/>
        </w:rPr>
        <w:t>6</w:t>
      </w:r>
      <w:r w:rsidRPr="004537E1">
        <w:rPr>
          <w:szCs w:val="20"/>
        </w:rPr>
        <w:t xml:space="preserve"> млн. лв. или </w:t>
      </w:r>
      <w:r w:rsidRPr="004537E1">
        <w:rPr>
          <w:szCs w:val="20"/>
          <w:lang w:val="en-US"/>
        </w:rPr>
        <w:t>35</w:t>
      </w:r>
      <w:r w:rsidRPr="004537E1">
        <w:rPr>
          <w:szCs w:val="20"/>
        </w:rPr>
        <w:t>,</w:t>
      </w:r>
      <w:r w:rsidRPr="004537E1">
        <w:rPr>
          <w:szCs w:val="20"/>
          <w:lang w:val="en-US"/>
        </w:rPr>
        <w:t>8</w:t>
      </w:r>
      <w:r w:rsidRPr="004537E1">
        <w:rPr>
          <w:szCs w:val="20"/>
        </w:rPr>
        <w:t xml:space="preserve"> % от предвидените за годината, като това са основно постъпления от продажба на информационни продукти и услуги.</w:t>
      </w:r>
    </w:p>
    <w:p w:rsidR="007C7AB4" w:rsidRPr="008C629D" w:rsidRDefault="007C7AB4" w:rsidP="007C7AB4">
      <w:pPr>
        <w:ind w:firstLine="567"/>
        <w:jc w:val="both"/>
        <w:rPr>
          <w:szCs w:val="20"/>
        </w:rPr>
      </w:pPr>
      <w:r w:rsidRPr="008C629D">
        <w:rPr>
          <w:b/>
          <w:szCs w:val="20"/>
        </w:rPr>
        <w:t xml:space="preserve">Отчетените разходи на </w:t>
      </w:r>
      <w:r w:rsidRPr="008C629D">
        <w:rPr>
          <w:szCs w:val="20"/>
        </w:rPr>
        <w:t xml:space="preserve">БТА за периода са </w:t>
      </w:r>
      <w:r w:rsidRPr="008C629D">
        <w:rPr>
          <w:szCs w:val="20"/>
          <w:lang w:val="en-US"/>
        </w:rPr>
        <w:t>3</w:t>
      </w:r>
      <w:r w:rsidRPr="008C629D">
        <w:rPr>
          <w:szCs w:val="20"/>
        </w:rPr>
        <w:t>,</w:t>
      </w:r>
      <w:r w:rsidRPr="008C629D">
        <w:rPr>
          <w:szCs w:val="20"/>
          <w:lang w:val="en-US"/>
        </w:rPr>
        <w:t>6</w:t>
      </w:r>
      <w:r w:rsidRPr="008C629D">
        <w:rPr>
          <w:szCs w:val="20"/>
        </w:rPr>
        <w:t xml:space="preserve"> млн. лв., което е </w:t>
      </w:r>
      <w:r w:rsidRPr="008C629D">
        <w:rPr>
          <w:szCs w:val="20"/>
          <w:lang w:val="en-US"/>
        </w:rPr>
        <w:t>48</w:t>
      </w:r>
      <w:r w:rsidRPr="008C629D">
        <w:rPr>
          <w:szCs w:val="20"/>
        </w:rPr>
        <w:t>,</w:t>
      </w:r>
      <w:r w:rsidRPr="008C629D">
        <w:rPr>
          <w:szCs w:val="20"/>
          <w:lang w:val="en-US"/>
        </w:rPr>
        <w:t>5</w:t>
      </w:r>
      <w:r w:rsidRPr="008C629D">
        <w:rPr>
          <w:szCs w:val="20"/>
        </w:rPr>
        <w:t xml:space="preserve"> % от годишния разчет за 2020 г.</w:t>
      </w:r>
    </w:p>
    <w:p w:rsidR="007C7AB4" w:rsidRPr="008C629D" w:rsidRDefault="007C7AB4" w:rsidP="007C7AB4">
      <w:pPr>
        <w:ind w:firstLine="567"/>
        <w:jc w:val="both"/>
        <w:rPr>
          <w:szCs w:val="20"/>
        </w:rPr>
      </w:pPr>
      <w:r w:rsidRPr="008C629D">
        <w:rPr>
          <w:szCs w:val="20"/>
        </w:rPr>
        <w:t>Общо утвърдените</w:t>
      </w:r>
      <w:r w:rsidRPr="008C629D">
        <w:rPr>
          <w:b/>
          <w:i/>
        </w:rPr>
        <w:t xml:space="preserve"> бюджетни взаимоотношения на БТА с централния бюджет</w:t>
      </w:r>
      <w:r w:rsidRPr="008C629D">
        <w:rPr>
          <w:szCs w:val="20"/>
        </w:rPr>
        <w:t xml:space="preserve"> за 2020 г. са в размер на 5,8 млн. лв. Отчетените трансфери са в размер</w:t>
      </w:r>
      <w:r w:rsidRPr="008C629D">
        <w:rPr>
          <w:b/>
          <w:szCs w:val="20"/>
        </w:rPr>
        <w:t xml:space="preserve"> </w:t>
      </w:r>
      <w:r w:rsidRPr="008C629D">
        <w:rPr>
          <w:szCs w:val="20"/>
        </w:rPr>
        <w:t xml:space="preserve">на </w:t>
      </w:r>
      <w:r w:rsidRPr="008C629D">
        <w:rPr>
          <w:szCs w:val="20"/>
          <w:lang w:val="en-US"/>
        </w:rPr>
        <w:t>3</w:t>
      </w:r>
      <w:r w:rsidRPr="008C629D">
        <w:rPr>
          <w:szCs w:val="20"/>
        </w:rPr>
        <w:t>,</w:t>
      </w:r>
      <w:r w:rsidRPr="008C629D">
        <w:rPr>
          <w:szCs w:val="20"/>
          <w:lang w:val="en-US"/>
        </w:rPr>
        <w:t>0</w:t>
      </w:r>
      <w:r w:rsidRPr="008C629D">
        <w:rPr>
          <w:szCs w:val="20"/>
        </w:rPr>
        <w:t xml:space="preserve"> млн. лв. или </w:t>
      </w:r>
      <w:r w:rsidR="00D21BFA">
        <w:rPr>
          <w:szCs w:val="20"/>
        </w:rPr>
        <w:t>51</w:t>
      </w:r>
      <w:r w:rsidRPr="008C629D">
        <w:rPr>
          <w:szCs w:val="20"/>
        </w:rPr>
        <w:t>,</w:t>
      </w:r>
      <w:r w:rsidRPr="008C629D">
        <w:rPr>
          <w:szCs w:val="20"/>
          <w:lang w:val="en-US"/>
        </w:rPr>
        <w:t>9</w:t>
      </w:r>
      <w:r w:rsidRPr="008C629D">
        <w:rPr>
          <w:szCs w:val="20"/>
        </w:rPr>
        <w:t> % от средствата, определени за БТА със ЗДБРБ за 2020 година.</w:t>
      </w:r>
    </w:p>
    <w:p w:rsidR="00463AAA" w:rsidRPr="00245EC9" w:rsidRDefault="00463AAA" w:rsidP="00844C3E">
      <w:pPr>
        <w:jc w:val="both"/>
        <w:rPr>
          <w:color w:val="4F81BD" w:themeColor="accent1"/>
          <w:szCs w:val="20"/>
        </w:rPr>
      </w:pPr>
    </w:p>
    <w:p w:rsidR="00053B0F" w:rsidRPr="00245EC9" w:rsidRDefault="00053B0F" w:rsidP="00053B0F">
      <w:pPr>
        <w:pStyle w:val="Title"/>
        <w:jc w:val="both"/>
        <w:rPr>
          <w:color w:val="4F81BD" w:themeColor="accent1"/>
          <w:sz w:val="18"/>
        </w:rPr>
      </w:pPr>
    </w:p>
    <w:p w:rsidR="00E81A7F" w:rsidRDefault="00053B0F" w:rsidP="00053B0F">
      <w:pPr>
        <w:pStyle w:val="Title"/>
        <w:jc w:val="both"/>
        <w:rPr>
          <w:lang w:val="en-US"/>
        </w:rPr>
      </w:pPr>
      <w:r w:rsidRPr="00ED4C0D">
        <w:t xml:space="preserve">Министерство на финансите, </w:t>
      </w:r>
      <w:r w:rsidR="00ED4C0D" w:rsidRPr="00ED4C0D">
        <w:t xml:space="preserve">август </w:t>
      </w:r>
      <w:r w:rsidRPr="00ED4C0D">
        <w:t>20</w:t>
      </w:r>
      <w:r w:rsidR="00792BF4" w:rsidRPr="00ED4C0D">
        <w:t>20</w:t>
      </w:r>
      <w:r w:rsidRPr="00ED4C0D">
        <w:t xml:space="preserve"> г.</w:t>
      </w:r>
    </w:p>
    <w:p w:rsidR="00BE00EA" w:rsidRDefault="00BE00EA" w:rsidP="00053B0F">
      <w:pPr>
        <w:pStyle w:val="Title"/>
        <w:jc w:val="both"/>
        <w:rPr>
          <w:lang w:val="en-US"/>
        </w:rPr>
      </w:pPr>
    </w:p>
    <w:p w:rsidR="00BE00EA" w:rsidRDefault="00BE00EA" w:rsidP="00053B0F">
      <w:pPr>
        <w:pStyle w:val="Title"/>
        <w:jc w:val="both"/>
        <w:rPr>
          <w:lang w:val="en-US"/>
        </w:rPr>
      </w:pPr>
    </w:p>
    <w:p w:rsidR="00BE00EA" w:rsidRPr="00BE00EA" w:rsidRDefault="00BE00EA" w:rsidP="00053B0F">
      <w:pPr>
        <w:pStyle w:val="Title"/>
        <w:jc w:val="both"/>
        <w:rPr>
          <w:color w:val="4F81BD" w:themeColor="accent1"/>
          <w:lang w:val="en-US"/>
        </w:rPr>
      </w:pPr>
    </w:p>
    <w:p w:rsidR="00E81A7F" w:rsidRPr="00245EC9" w:rsidRDefault="00E81A7F" w:rsidP="00053B0F">
      <w:pPr>
        <w:pStyle w:val="Title"/>
        <w:jc w:val="both"/>
        <w:rPr>
          <w:color w:val="4F81BD" w:themeColor="accent1"/>
          <w:lang w:val="en-US"/>
        </w:rPr>
      </w:pPr>
    </w:p>
    <w:p w:rsidR="00BE00EA" w:rsidRDefault="00BE00EA" w:rsidP="00BE00EA">
      <w:pPr>
        <w:spacing w:line="480" w:lineRule="auto"/>
        <w:ind w:left="-1134" w:right="-386" w:firstLine="1134"/>
        <w:rPr>
          <w:sz w:val="20"/>
          <w:szCs w:val="20"/>
          <w:lang w:val="en-US" w:eastAsia="bg-BG"/>
        </w:rPr>
      </w:pPr>
      <w:bookmarkStart w:id="33" w:name="_GoBack"/>
      <w:bookmarkEnd w:id="33"/>
    </w:p>
    <w:p w:rsidR="00E81A7F" w:rsidRPr="00245EC9" w:rsidRDefault="00E81A7F" w:rsidP="00053B0F">
      <w:pPr>
        <w:pStyle w:val="Title"/>
        <w:jc w:val="both"/>
        <w:rPr>
          <w:color w:val="4F81BD" w:themeColor="accent1"/>
          <w:lang w:val="en-US"/>
        </w:rPr>
      </w:pPr>
    </w:p>
    <w:sectPr w:rsidR="00E81A7F" w:rsidRPr="00245EC9" w:rsidSect="00944338">
      <w:footerReference w:type="even" r:id="rId10"/>
      <w:footerReference w:type="default" r:id="rId11"/>
      <w:endnotePr>
        <w:numFmt w:val="decimal"/>
      </w:endnotePr>
      <w:type w:val="continuous"/>
      <w:pgSz w:w="11906" w:h="16838"/>
      <w:pgMar w:top="709" w:right="991" w:bottom="426"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D4" w:rsidRDefault="002F0FD4">
      <w:r>
        <w:separator/>
      </w:r>
    </w:p>
  </w:endnote>
  <w:endnote w:type="continuationSeparator" w:id="0">
    <w:p w:rsidR="002F0FD4" w:rsidRDefault="002F0FD4">
      <w:r>
        <w:continuationSeparator/>
      </w:r>
    </w:p>
  </w:endnote>
  <w:endnote w:type="continuationNotice" w:id="1">
    <w:p w:rsidR="002F0FD4" w:rsidRDefault="002F0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utura Bk">
    <w:altName w:val="AvantGarde"/>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2C" w:rsidRDefault="0065462C"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462C" w:rsidRDefault="0065462C" w:rsidP="00A741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62C" w:rsidRDefault="0065462C"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41DE">
      <w:rPr>
        <w:rStyle w:val="PageNumber"/>
        <w:noProof/>
      </w:rPr>
      <w:t>2</w:t>
    </w:r>
    <w:r>
      <w:rPr>
        <w:rStyle w:val="PageNumber"/>
      </w:rPr>
      <w:fldChar w:fldCharType="end"/>
    </w:r>
  </w:p>
  <w:p w:rsidR="0065462C" w:rsidRDefault="0065462C" w:rsidP="00A741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D4" w:rsidRDefault="002F0FD4">
      <w:r>
        <w:separator/>
      </w:r>
    </w:p>
  </w:footnote>
  <w:footnote w:type="continuationSeparator" w:id="0">
    <w:p w:rsidR="002F0FD4" w:rsidRDefault="002F0FD4">
      <w:r>
        <w:continuationSeparator/>
      </w:r>
    </w:p>
  </w:footnote>
  <w:footnote w:type="continuationNotice" w:id="1">
    <w:p w:rsidR="002F0FD4" w:rsidRDefault="002F0FD4"/>
  </w:footnote>
  <w:footnote w:id="2">
    <w:p w:rsidR="0065462C" w:rsidRPr="00AA05B3" w:rsidRDefault="0065462C" w:rsidP="004815E1">
      <w:pPr>
        <w:pStyle w:val="FootnoteText"/>
        <w:rPr>
          <w:lang w:val="bg-BG"/>
        </w:rPr>
      </w:pPr>
      <w:r w:rsidRPr="009E63B9">
        <w:rPr>
          <w:rStyle w:val="FootnoteReference"/>
        </w:rPr>
        <w:footnoteRef/>
      </w:r>
      <w:r w:rsidRPr="009E63B9">
        <w:t xml:space="preserve"> </w:t>
      </w:r>
      <w:r w:rsidRPr="009E63B9">
        <w:rPr>
          <w:sz w:val="18"/>
        </w:rPr>
        <w:t xml:space="preserve">В </w:t>
      </w:r>
      <w:proofErr w:type="spellStart"/>
      <w:r w:rsidRPr="009E63B9">
        <w:rPr>
          <w:sz w:val="18"/>
        </w:rPr>
        <w:t>материала</w:t>
      </w:r>
      <w:proofErr w:type="spellEnd"/>
      <w:r w:rsidRPr="009E63B9">
        <w:rPr>
          <w:sz w:val="18"/>
        </w:rPr>
        <w:t xml:space="preserve"> </w:t>
      </w:r>
      <w:proofErr w:type="spellStart"/>
      <w:r w:rsidRPr="009E63B9">
        <w:rPr>
          <w:sz w:val="18"/>
        </w:rPr>
        <w:t>са</w:t>
      </w:r>
      <w:proofErr w:type="spellEnd"/>
      <w:r w:rsidRPr="009E63B9">
        <w:rPr>
          <w:sz w:val="18"/>
        </w:rPr>
        <w:t xml:space="preserve"> </w:t>
      </w:r>
      <w:proofErr w:type="spellStart"/>
      <w:r w:rsidRPr="009E63B9">
        <w:rPr>
          <w:sz w:val="18"/>
        </w:rPr>
        <w:t>използвани</w:t>
      </w:r>
      <w:proofErr w:type="spellEnd"/>
      <w:r w:rsidRPr="009E63B9">
        <w:rPr>
          <w:sz w:val="18"/>
        </w:rPr>
        <w:t xml:space="preserve"> </w:t>
      </w:r>
      <w:proofErr w:type="spellStart"/>
      <w:r w:rsidRPr="009E63B9">
        <w:rPr>
          <w:sz w:val="18"/>
        </w:rPr>
        <w:t>данни</w:t>
      </w:r>
      <w:proofErr w:type="spellEnd"/>
      <w:r w:rsidRPr="009E63B9">
        <w:rPr>
          <w:sz w:val="18"/>
        </w:rPr>
        <w:t xml:space="preserve"> </w:t>
      </w:r>
      <w:proofErr w:type="spellStart"/>
      <w:r w:rsidRPr="009E63B9">
        <w:rPr>
          <w:sz w:val="18"/>
        </w:rPr>
        <w:t>по</w:t>
      </w:r>
      <w:proofErr w:type="spellEnd"/>
      <w:r w:rsidRPr="009E63B9">
        <w:rPr>
          <w:sz w:val="18"/>
        </w:rPr>
        <w:t xml:space="preserve"> </w:t>
      </w:r>
      <w:proofErr w:type="spellStart"/>
      <w:r w:rsidRPr="009E63B9">
        <w:rPr>
          <w:sz w:val="18"/>
        </w:rPr>
        <w:t>разчетите</w:t>
      </w:r>
      <w:proofErr w:type="spellEnd"/>
      <w:r w:rsidRPr="009E63B9">
        <w:rPr>
          <w:sz w:val="18"/>
        </w:rPr>
        <w:t xml:space="preserve"> </w:t>
      </w:r>
      <w:proofErr w:type="spellStart"/>
      <w:r w:rsidRPr="009E63B9">
        <w:rPr>
          <w:sz w:val="18"/>
        </w:rPr>
        <w:t>към</w:t>
      </w:r>
      <w:proofErr w:type="spellEnd"/>
      <w:r w:rsidRPr="009E63B9">
        <w:rPr>
          <w:sz w:val="18"/>
        </w:rPr>
        <w:t xml:space="preserve"> </w:t>
      </w:r>
      <w:r>
        <w:rPr>
          <w:sz w:val="18"/>
          <w:lang w:val="bg-BG"/>
        </w:rPr>
        <w:t xml:space="preserve">ЗИД на </w:t>
      </w:r>
      <w:r w:rsidRPr="009E63B9">
        <w:rPr>
          <w:sz w:val="18"/>
        </w:rPr>
        <w:t xml:space="preserve">ЗДБРБ </w:t>
      </w:r>
      <w:proofErr w:type="spellStart"/>
      <w:r w:rsidRPr="009E63B9">
        <w:rPr>
          <w:sz w:val="18"/>
        </w:rPr>
        <w:t>за</w:t>
      </w:r>
      <w:proofErr w:type="spellEnd"/>
      <w:r w:rsidRPr="009E63B9">
        <w:rPr>
          <w:sz w:val="18"/>
        </w:rPr>
        <w:t xml:space="preserve"> </w:t>
      </w:r>
      <w:r>
        <w:rPr>
          <w:sz w:val="18"/>
          <w:lang w:val="bg-BG"/>
        </w:rPr>
        <w:t>2020</w:t>
      </w:r>
      <w:r w:rsidRPr="009E63B9">
        <w:rPr>
          <w:sz w:val="18"/>
        </w:rPr>
        <w:t xml:space="preserve"> г.</w:t>
      </w:r>
      <w:r>
        <w:rPr>
          <w:sz w:val="18"/>
          <w:lang w:val="bg-BG"/>
        </w:rPr>
        <w:t xml:space="preserve"> (</w:t>
      </w:r>
      <w:proofErr w:type="spellStart"/>
      <w:r w:rsidRPr="00A6085D">
        <w:rPr>
          <w:sz w:val="18"/>
        </w:rPr>
        <w:t>Обн</w:t>
      </w:r>
      <w:proofErr w:type="spellEnd"/>
      <w:r w:rsidRPr="00A6085D">
        <w:rPr>
          <w:sz w:val="18"/>
        </w:rPr>
        <w:t xml:space="preserve">., ДВ, </w:t>
      </w:r>
      <w:proofErr w:type="spellStart"/>
      <w:r w:rsidRPr="00A6085D">
        <w:rPr>
          <w:sz w:val="18"/>
        </w:rPr>
        <w:t>бр</w:t>
      </w:r>
      <w:proofErr w:type="spellEnd"/>
      <w:r w:rsidRPr="00A6085D">
        <w:rPr>
          <w:sz w:val="18"/>
        </w:rPr>
        <w:t xml:space="preserve">. </w:t>
      </w:r>
      <w:r w:rsidRPr="005F3477">
        <w:rPr>
          <w:sz w:val="18"/>
        </w:rPr>
        <w:t>34</w:t>
      </w:r>
      <w:r w:rsidRPr="00A6085D">
        <w:rPr>
          <w:sz w:val="18"/>
        </w:rPr>
        <w:t xml:space="preserve"> </w:t>
      </w:r>
      <w:proofErr w:type="spellStart"/>
      <w:r w:rsidRPr="00A6085D">
        <w:rPr>
          <w:sz w:val="18"/>
        </w:rPr>
        <w:t>от</w:t>
      </w:r>
      <w:proofErr w:type="spellEnd"/>
      <w:r w:rsidRPr="00A6085D">
        <w:rPr>
          <w:sz w:val="18"/>
        </w:rPr>
        <w:t xml:space="preserve"> 20</w:t>
      </w:r>
      <w:r w:rsidRPr="005F3477">
        <w:rPr>
          <w:sz w:val="18"/>
        </w:rPr>
        <w:t>20</w:t>
      </w:r>
      <w:r>
        <w:rPr>
          <w:sz w:val="18"/>
        </w:rPr>
        <w:t xml:space="preserve"> г., в </w:t>
      </w:r>
      <w:proofErr w:type="spellStart"/>
      <w:r>
        <w:rPr>
          <w:sz w:val="18"/>
        </w:rPr>
        <w:t>сила</w:t>
      </w:r>
      <w:proofErr w:type="spellEnd"/>
      <w:r>
        <w:rPr>
          <w:sz w:val="18"/>
        </w:rPr>
        <w:t xml:space="preserve"> </w:t>
      </w:r>
      <w:proofErr w:type="spellStart"/>
      <w:r>
        <w:rPr>
          <w:sz w:val="18"/>
        </w:rPr>
        <w:t>от</w:t>
      </w:r>
      <w:proofErr w:type="spellEnd"/>
      <w:r>
        <w:rPr>
          <w:sz w:val="18"/>
        </w:rPr>
        <w:t xml:space="preserve"> 09.04.2020</w:t>
      </w:r>
      <w:r w:rsidR="00CF5506">
        <w:rPr>
          <w:sz w:val="18"/>
        </w:rPr>
        <w:t> </w:t>
      </w:r>
      <w:r w:rsidRPr="00A6085D">
        <w:rPr>
          <w:sz w:val="18"/>
        </w:rPr>
        <w:t>г.)</w:t>
      </w:r>
    </w:p>
  </w:footnote>
  <w:footnote w:id="3">
    <w:p w:rsidR="0065462C" w:rsidRDefault="0065462C" w:rsidP="00D00AB4">
      <w:pPr>
        <w:pStyle w:val="FootnoteText"/>
        <w:jc w:val="both"/>
      </w:pPr>
      <w:r>
        <w:rPr>
          <w:rStyle w:val="FootnoteReference"/>
        </w:rPr>
        <w:footnoteRef/>
      </w:r>
      <w:r>
        <w:t xml:space="preserve"> </w:t>
      </w:r>
      <w:r w:rsidRPr="00335B65">
        <w:rPr>
          <w:sz w:val="18"/>
          <w:szCs w:val="16"/>
          <w:lang w:val="bg-BG"/>
        </w:rPr>
        <w:t xml:space="preserve">Обхваща държавния бюджет и бюджетите на общините, </w:t>
      </w:r>
      <w:proofErr w:type="spellStart"/>
      <w:r w:rsidRPr="00335B65">
        <w:rPr>
          <w:sz w:val="18"/>
          <w:szCs w:val="16"/>
          <w:lang w:val="bg-BG"/>
        </w:rPr>
        <w:t>социалноосигурителните</w:t>
      </w:r>
      <w:proofErr w:type="spellEnd"/>
      <w:r w:rsidRPr="00335B65">
        <w:rPr>
          <w:sz w:val="18"/>
          <w:szCs w:val="16"/>
          <w:lang w:val="bg-BG"/>
        </w:rPr>
        <w:t xml:space="preserve"> фондове, ДВУ, БАН, БНР, БНТ, БТА, бюджетите по чл.14, ал.4 от ЗПФ, както и сметките за средствата от ЕС и сметките за чужди средства на бюджетните организации. </w:t>
      </w:r>
    </w:p>
  </w:footnote>
  <w:footnote w:id="4">
    <w:p w:rsidR="0065462C" w:rsidRPr="00B70BD3" w:rsidRDefault="0065462C" w:rsidP="001A17F4">
      <w:pPr>
        <w:pStyle w:val="FootnoteText"/>
        <w:jc w:val="both"/>
        <w:rPr>
          <w:sz w:val="18"/>
          <w:szCs w:val="18"/>
        </w:rPr>
      </w:pPr>
      <w:r w:rsidRPr="00B70BD3">
        <w:rPr>
          <w:rStyle w:val="FootnoteReference"/>
          <w:sz w:val="18"/>
          <w:szCs w:val="18"/>
        </w:rPr>
        <w:footnoteRef/>
      </w:r>
      <w:r w:rsidRPr="00B70BD3">
        <w:rPr>
          <w:sz w:val="18"/>
          <w:szCs w:val="18"/>
        </w:rPr>
        <w:t xml:space="preserve"> </w:t>
      </w:r>
      <w:r w:rsidRPr="00B70BD3">
        <w:rPr>
          <w:sz w:val="18"/>
          <w:szCs w:val="18"/>
          <w:lang w:val="bg-BG"/>
        </w:rPr>
        <w:t>Поради извършено закръгление в млн. лв., някои сумарни позиции в Таблица №1</w:t>
      </w:r>
      <w:r>
        <w:rPr>
          <w:sz w:val="18"/>
          <w:szCs w:val="18"/>
          <w:lang w:val="bg-BG"/>
        </w:rPr>
        <w:t>,</w:t>
      </w:r>
      <w:r w:rsidRPr="00B70BD3">
        <w:rPr>
          <w:sz w:val="18"/>
          <w:szCs w:val="18"/>
          <w:lang w:val="bg-BG"/>
        </w:rPr>
        <w:t xml:space="preserve"> Таблица  №2</w:t>
      </w:r>
      <w:r>
        <w:rPr>
          <w:sz w:val="18"/>
          <w:szCs w:val="18"/>
          <w:lang w:val="bg-BG"/>
        </w:rPr>
        <w:t xml:space="preserve"> и в текста </w:t>
      </w:r>
      <w:r w:rsidRPr="00B70BD3">
        <w:rPr>
          <w:sz w:val="18"/>
          <w:szCs w:val="18"/>
          <w:lang w:val="bg-BG"/>
        </w:rPr>
        <w:t>не се изчерпват от съставните им числа.</w:t>
      </w:r>
    </w:p>
  </w:footnote>
  <w:footnote w:id="5">
    <w:p w:rsidR="0065462C" w:rsidRPr="003F3760" w:rsidRDefault="0065462C" w:rsidP="001A17F4">
      <w:pPr>
        <w:pStyle w:val="FootnoteText"/>
        <w:rPr>
          <w:lang w:val="bg-BG"/>
        </w:rPr>
      </w:pPr>
      <w:r w:rsidRPr="002734B2">
        <w:rPr>
          <w:rStyle w:val="FootnoteReference"/>
          <w:lang w:val="bg-BG"/>
        </w:rPr>
        <w:footnoteRef/>
      </w:r>
      <w:r w:rsidRPr="002734B2">
        <w:rPr>
          <w:lang w:val="bg-BG"/>
        </w:rPr>
        <w:t xml:space="preserve"> </w:t>
      </w:r>
      <w:r w:rsidRPr="002734B2">
        <w:rPr>
          <w:sz w:val="18"/>
          <w:lang w:val="bg-BG"/>
        </w:rPr>
        <w:t>Разчети към ЗИД на ЗДБРБ за 2020 г. (</w:t>
      </w:r>
      <w:proofErr w:type="spellStart"/>
      <w:r w:rsidRPr="002734B2">
        <w:rPr>
          <w:sz w:val="18"/>
          <w:lang w:val="bg-BG"/>
        </w:rPr>
        <w:t>Обн</w:t>
      </w:r>
      <w:proofErr w:type="spellEnd"/>
      <w:r w:rsidRPr="002734B2">
        <w:rPr>
          <w:sz w:val="18"/>
          <w:lang w:val="bg-BG"/>
        </w:rPr>
        <w:t>., ДВ, бр. 34 от 2020 г., в сила от 09.04.2020 г.)</w:t>
      </w:r>
    </w:p>
  </w:footnote>
  <w:footnote w:id="6">
    <w:p w:rsidR="0065462C" w:rsidRPr="00E74802" w:rsidRDefault="0065462C" w:rsidP="001A17F4">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7">
    <w:p w:rsidR="0065462C" w:rsidRPr="00DF79A3" w:rsidRDefault="0065462C" w:rsidP="001A17F4">
      <w:pPr>
        <w:pStyle w:val="FootnoteText"/>
        <w:rPr>
          <w:lang w:val="bg-BG"/>
        </w:rPr>
      </w:pPr>
      <w:r w:rsidRPr="00E60ABC">
        <w:rPr>
          <w:rStyle w:val="FootnoteReference"/>
          <w:sz w:val="18"/>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8">
    <w:p w:rsidR="0065462C" w:rsidRPr="00BA6AD2" w:rsidRDefault="0065462C" w:rsidP="001A17F4">
      <w:pPr>
        <w:pStyle w:val="FootnoteText"/>
        <w:jc w:val="both"/>
        <w:rPr>
          <w:sz w:val="18"/>
          <w:szCs w:val="18"/>
          <w:lang w:val="bg-BG"/>
        </w:rPr>
      </w:pPr>
      <w:r w:rsidRPr="00182A94">
        <w:rPr>
          <w:rStyle w:val="FootnoteReference"/>
          <w:sz w:val="18"/>
          <w:szCs w:val="18"/>
          <w:lang w:val="bg-BG"/>
        </w:rPr>
        <w:footnoteRef/>
      </w:r>
      <w:r w:rsidRPr="00182A94">
        <w:rPr>
          <w:sz w:val="18"/>
          <w:szCs w:val="18"/>
          <w:lang w:val="bg-BG"/>
        </w:rPr>
        <w:t xml:space="preserve"> Поради извършено закръгление в млн. лв., някои сумарни позиции в Таблица №1</w:t>
      </w:r>
      <w:r>
        <w:rPr>
          <w:sz w:val="18"/>
          <w:szCs w:val="18"/>
          <w:lang w:val="bg-BG"/>
        </w:rPr>
        <w:t xml:space="preserve">, </w:t>
      </w:r>
      <w:r w:rsidRPr="00182A94">
        <w:rPr>
          <w:sz w:val="18"/>
          <w:szCs w:val="18"/>
          <w:lang w:val="bg-BG"/>
        </w:rPr>
        <w:t>Таблица №</w:t>
      </w:r>
      <w:r>
        <w:rPr>
          <w:sz w:val="18"/>
          <w:szCs w:val="18"/>
          <w:lang w:val="bg-BG"/>
        </w:rPr>
        <w:t>2</w:t>
      </w:r>
      <w:r w:rsidRPr="00182A94">
        <w:rPr>
          <w:sz w:val="18"/>
          <w:szCs w:val="18"/>
          <w:lang w:val="bg-BG"/>
        </w:rPr>
        <w:t xml:space="preserve"> и в текста не се изчерпват от </w:t>
      </w:r>
      <w:r w:rsidRPr="00BA6AD2">
        <w:rPr>
          <w:sz w:val="18"/>
          <w:szCs w:val="18"/>
          <w:lang w:val="bg-BG"/>
        </w:rPr>
        <w:t>съставните им числа.</w:t>
      </w:r>
    </w:p>
  </w:footnote>
  <w:footnote w:id="9">
    <w:p w:rsidR="0065462C" w:rsidRPr="003F3760" w:rsidRDefault="0065462C" w:rsidP="001A17F4">
      <w:pPr>
        <w:pStyle w:val="FootnoteText"/>
        <w:rPr>
          <w:lang w:val="bg-BG"/>
        </w:rPr>
      </w:pPr>
      <w:r w:rsidRPr="00E60ABC">
        <w:rPr>
          <w:rStyle w:val="FootnoteReference"/>
          <w:sz w:val="18"/>
          <w:lang w:val="bg-BG"/>
        </w:rPr>
        <w:footnoteRef/>
      </w:r>
      <w:r w:rsidRPr="00E60ABC">
        <w:rPr>
          <w:sz w:val="18"/>
          <w:lang w:val="bg-BG"/>
        </w:rPr>
        <w:t xml:space="preserve"> Разчети към ЗИД на ЗДБРБ за 2020 г. (</w:t>
      </w:r>
      <w:proofErr w:type="spellStart"/>
      <w:r w:rsidRPr="00E60ABC">
        <w:rPr>
          <w:sz w:val="18"/>
          <w:lang w:val="bg-BG"/>
        </w:rPr>
        <w:t>Обн</w:t>
      </w:r>
      <w:proofErr w:type="spellEnd"/>
      <w:r w:rsidRPr="00E60ABC">
        <w:rPr>
          <w:sz w:val="18"/>
          <w:lang w:val="bg-BG"/>
        </w:rPr>
        <w:t>., ДВ, бр. 34 от 2020 г., в сила от 09.04.2020 г.)</w:t>
      </w:r>
    </w:p>
  </w:footnote>
  <w:footnote w:id="10">
    <w:p w:rsidR="0065462C" w:rsidRPr="002C3578" w:rsidRDefault="0065462C" w:rsidP="001A17F4">
      <w:pPr>
        <w:pStyle w:val="FootnoteText"/>
        <w:jc w:val="both"/>
        <w:rPr>
          <w:sz w:val="18"/>
          <w:szCs w:val="18"/>
          <w:lang w:val="bg-BG"/>
        </w:rPr>
      </w:pPr>
      <w:r w:rsidRPr="00B94753">
        <w:rPr>
          <w:rStyle w:val="FootnoteReference"/>
          <w:sz w:val="18"/>
          <w:szCs w:val="18"/>
        </w:rPr>
        <w:footnoteRef/>
      </w:r>
      <w:r w:rsidRPr="00B94753">
        <w:rPr>
          <w:sz w:val="18"/>
          <w:szCs w:val="18"/>
        </w:rPr>
        <w:t xml:space="preserve"> </w:t>
      </w:r>
      <w:r w:rsidRPr="002C3578">
        <w:rPr>
          <w:sz w:val="18"/>
          <w:szCs w:val="18"/>
          <w:lang w:val="bg-BG"/>
        </w:rPr>
        <w:t>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 w:id="11">
    <w:p w:rsidR="0065462C" w:rsidRPr="004B7497" w:rsidRDefault="0065462C" w:rsidP="0011239E">
      <w:pPr>
        <w:pStyle w:val="FootnoteText"/>
        <w:rPr>
          <w:lang w:val="bg-BG"/>
        </w:rPr>
      </w:pPr>
      <w:r w:rsidRPr="004B7497">
        <w:rPr>
          <w:rStyle w:val="FootnoteReference"/>
          <w:lang w:val="bg-BG"/>
        </w:rPr>
        <w:footnoteRef/>
      </w:r>
      <w:r w:rsidRPr="004B7497">
        <w:rPr>
          <w:lang w:val="bg-BG"/>
        </w:rPr>
        <w:t xml:space="preserve"> </w:t>
      </w:r>
      <w:r w:rsidRPr="004B7497">
        <w:rPr>
          <w:sz w:val="18"/>
          <w:lang w:val="bg-BG"/>
        </w:rPr>
        <w:t>Структурен програмен заем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090"/>
    <w:multiLevelType w:val="hybridMultilevel"/>
    <w:tmpl w:val="92F660C8"/>
    <w:lvl w:ilvl="0" w:tplc="0402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0892FFA"/>
    <w:multiLevelType w:val="hybridMultilevel"/>
    <w:tmpl w:val="94A88EA6"/>
    <w:lvl w:ilvl="0" w:tplc="257A31AA">
      <w:start w:val="1"/>
      <w:numFmt w:val="bullet"/>
      <w:lvlText w:val=""/>
      <w:lvlJc w:val="left"/>
      <w:pPr>
        <w:ind w:left="1069" w:hanging="360"/>
      </w:pPr>
      <w:rPr>
        <w:rFonts w:ascii="Symbol" w:hAnsi="Symbol"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014D1491"/>
    <w:multiLevelType w:val="hybridMultilevel"/>
    <w:tmpl w:val="5A1C7F6A"/>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065D4F3D"/>
    <w:multiLevelType w:val="hybridMultilevel"/>
    <w:tmpl w:val="186A0A76"/>
    <w:lvl w:ilvl="0" w:tplc="D240596C">
      <w:start w:val="4"/>
      <w:numFmt w:val="bullet"/>
      <w:lvlText w:val="-"/>
      <w:lvlJc w:val="left"/>
      <w:pPr>
        <w:ind w:left="1129" w:hanging="360"/>
      </w:pPr>
      <w:rPr>
        <w:rFonts w:ascii="Times New Roman" w:eastAsia="Times New Roman" w:hAnsi="Times New Roman" w:cs="Times New Roman" w:hint="default"/>
      </w:rPr>
    </w:lvl>
    <w:lvl w:ilvl="1" w:tplc="04020003" w:tentative="1">
      <w:start w:val="1"/>
      <w:numFmt w:val="bullet"/>
      <w:lvlText w:val="o"/>
      <w:lvlJc w:val="left"/>
      <w:pPr>
        <w:ind w:left="1849" w:hanging="360"/>
      </w:pPr>
      <w:rPr>
        <w:rFonts w:ascii="Courier New" w:hAnsi="Courier New" w:cs="Courier New" w:hint="default"/>
      </w:rPr>
    </w:lvl>
    <w:lvl w:ilvl="2" w:tplc="04020005" w:tentative="1">
      <w:start w:val="1"/>
      <w:numFmt w:val="bullet"/>
      <w:lvlText w:val=""/>
      <w:lvlJc w:val="left"/>
      <w:pPr>
        <w:ind w:left="2569" w:hanging="360"/>
      </w:pPr>
      <w:rPr>
        <w:rFonts w:ascii="Wingdings" w:hAnsi="Wingdings" w:hint="default"/>
      </w:rPr>
    </w:lvl>
    <w:lvl w:ilvl="3" w:tplc="04020001" w:tentative="1">
      <w:start w:val="1"/>
      <w:numFmt w:val="bullet"/>
      <w:lvlText w:val=""/>
      <w:lvlJc w:val="left"/>
      <w:pPr>
        <w:ind w:left="3289" w:hanging="360"/>
      </w:pPr>
      <w:rPr>
        <w:rFonts w:ascii="Symbol" w:hAnsi="Symbol" w:hint="default"/>
      </w:rPr>
    </w:lvl>
    <w:lvl w:ilvl="4" w:tplc="04020003" w:tentative="1">
      <w:start w:val="1"/>
      <w:numFmt w:val="bullet"/>
      <w:lvlText w:val="o"/>
      <w:lvlJc w:val="left"/>
      <w:pPr>
        <w:ind w:left="4009" w:hanging="360"/>
      </w:pPr>
      <w:rPr>
        <w:rFonts w:ascii="Courier New" w:hAnsi="Courier New" w:cs="Courier New" w:hint="default"/>
      </w:rPr>
    </w:lvl>
    <w:lvl w:ilvl="5" w:tplc="04020005" w:tentative="1">
      <w:start w:val="1"/>
      <w:numFmt w:val="bullet"/>
      <w:lvlText w:val=""/>
      <w:lvlJc w:val="left"/>
      <w:pPr>
        <w:ind w:left="4729" w:hanging="360"/>
      </w:pPr>
      <w:rPr>
        <w:rFonts w:ascii="Wingdings" w:hAnsi="Wingdings" w:hint="default"/>
      </w:rPr>
    </w:lvl>
    <w:lvl w:ilvl="6" w:tplc="04020001" w:tentative="1">
      <w:start w:val="1"/>
      <w:numFmt w:val="bullet"/>
      <w:lvlText w:val=""/>
      <w:lvlJc w:val="left"/>
      <w:pPr>
        <w:ind w:left="5449" w:hanging="360"/>
      </w:pPr>
      <w:rPr>
        <w:rFonts w:ascii="Symbol" w:hAnsi="Symbol" w:hint="default"/>
      </w:rPr>
    </w:lvl>
    <w:lvl w:ilvl="7" w:tplc="04020003" w:tentative="1">
      <w:start w:val="1"/>
      <w:numFmt w:val="bullet"/>
      <w:lvlText w:val="o"/>
      <w:lvlJc w:val="left"/>
      <w:pPr>
        <w:ind w:left="6169" w:hanging="360"/>
      </w:pPr>
      <w:rPr>
        <w:rFonts w:ascii="Courier New" w:hAnsi="Courier New" w:cs="Courier New" w:hint="default"/>
      </w:rPr>
    </w:lvl>
    <w:lvl w:ilvl="8" w:tplc="04020005" w:tentative="1">
      <w:start w:val="1"/>
      <w:numFmt w:val="bullet"/>
      <w:lvlText w:val=""/>
      <w:lvlJc w:val="left"/>
      <w:pPr>
        <w:ind w:left="6889" w:hanging="360"/>
      </w:pPr>
      <w:rPr>
        <w:rFonts w:ascii="Wingdings" w:hAnsi="Wingdings" w:hint="default"/>
      </w:rPr>
    </w:lvl>
  </w:abstractNum>
  <w:abstractNum w:abstractNumId="4">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11581A89"/>
    <w:multiLevelType w:val="hybridMultilevel"/>
    <w:tmpl w:val="08D66548"/>
    <w:lvl w:ilvl="0" w:tplc="4446C67E">
      <w:start w:val="1"/>
      <w:numFmt w:val="bullet"/>
      <w:lvlText w:val=""/>
      <w:lvlJc w:val="left"/>
      <w:pPr>
        <w:ind w:left="1440" w:hanging="360"/>
      </w:pPr>
      <w:rPr>
        <w:rFonts w:ascii="Symbol" w:hAnsi="Symbol"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1194083D"/>
    <w:multiLevelType w:val="hybridMultilevel"/>
    <w:tmpl w:val="B434DC02"/>
    <w:lvl w:ilvl="0" w:tplc="54C466F6">
      <w:numFmt w:val="bullet"/>
      <w:lvlText w:val="-"/>
      <w:lvlJc w:val="left"/>
      <w:pPr>
        <w:tabs>
          <w:tab w:val="num" w:pos="1500"/>
        </w:tabs>
        <w:ind w:left="15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E17216"/>
    <w:multiLevelType w:val="hybridMultilevel"/>
    <w:tmpl w:val="14984C76"/>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1B467E29"/>
    <w:multiLevelType w:val="hybridMultilevel"/>
    <w:tmpl w:val="C324C212"/>
    <w:lvl w:ilvl="0" w:tplc="86165950">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nsid w:val="1CEE0108"/>
    <w:multiLevelType w:val="hybridMultilevel"/>
    <w:tmpl w:val="8222E77A"/>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1FC20184"/>
    <w:multiLevelType w:val="hybridMultilevel"/>
    <w:tmpl w:val="AA5644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23BF11F5"/>
    <w:multiLevelType w:val="hybridMultilevel"/>
    <w:tmpl w:val="1EE24D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5A20358"/>
    <w:multiLevelType w:val="hybridMultilevel"/>
    <w:tmpl w:val="E1D8CE2E"/>
    <w:lvl w:ilvl="0" w:tplc="B8369D36">
      <w:start w:val="1"/>
      <w:numFmt w:val="bullet"/>
      <w:lvlText w:val=""/>
      <w:lvlJc w:val="left"/>
      <w:pPr>
        <w:tabs>
          <w:tab w:val="num" w:pos="898"/>
        </w:tabs>
        <w:ind w:left="0" w:firstLine="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nsid w:val="29350957"/>
    <w:multiLevelType w:val="hybridMultilevel"/>
    <w:tmpl w:val="B22AAA26"/>
    <w:lvl w:ilvl="0" w:tplc="86165950">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nsid w:val="2D752873"/>
    <w:multiLevelType w:val="multilevel"/>
    <w:tmpl w:val="0ECE36AC"/>
    <w:lvl w:ilvl="0">
      <w:start w:val="4"/>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8">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34706099"/>
    <w:multiLevelType w:val="hybridMultilevel"/>
    <w:tmpl w:val="517EAAC6"/>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nsid w:val="350713D9"/>
    <w:multiLevelType w:val="hybridMultilevel"/>
    <w:tmpl w:val="CDD28E58"/>
    <w:lvl w:ilvl="0" w:tplc="6D583A66">
      <w:start w:val="1"/>
      <w:numFmt w:val="bullet"/>
      <w:lvlText w:val=""/>
      <w:lvlJc w:val="left"/>
      <w:pPr>
        <w:tabs>
          <w:tab w:val="num" w:pos="360"/>
        </w:tabs>
        <w:ind w:left="360" w:hanging="360"/>
      </w:pPr>
      <w:rPr>
        <w:rFonts w:ascii="Symbol" w:hAnsi="Symbol" w:hint="default"/>
        <w:color w:val="auto"/>
        <w:sz w:val="28"/>
        <w:szCs w:val="24"/>
      </w:rPr>
    </w:lvl>
    <w:lvl w:ilvl="1" w:tplc="04020003" w:tentative="1">
      <w:start w:val="1"/>
      <w:numFmt w:val="bullet"/>
      <w:lvlText w:val="o"/>
      <w:lvlJc w:val="left"/>
      <w:pPr>
        <w:tabs>
          <w:tab w:val="num" w:pos="-180"/>
        </w:tabs>
        <w:ind w:left="-180" w:hanging="360"/>
      </w:pPr>
      <w:rPr>
        <w:rFonts w:ascii="Courier New" w:hAnsi="Courier New" w:hint="default"/>
      </w:rPr>
    </w:lvl>
    <w:lvl w:ilvl="2" w:tplc="04020005" w:tentative="1">
      <w:start w:val="1"/>
      <w:numFmt w:val="bullet"/>
      <w:lvlText w:val=""/>
      <w:lvlJc w:val="left"/>
      <w:pPr>
        <w:tabs>
          <w:tab w:val="num" w:pos="540"/>
        </w:tabs>
        <w:ind w:left="540" w:hanging="360"/>
      </w:pPr>
      <w:rPr>
        <w:rFonts w:ascii="Wingdings" w:hAnsi="Wingdings" w:hint="default"/>
      </w:rPr>
    </w:lvl>
    <w:lvl w:ilvl="3" w:tplc="04020001" w:tentative="1">
      <w:start w:val="1"/>
      <w:numFmt w:val="bullet"/>
      <w:lvlText w:val=""/>
      <w:lvlJc w:val="left"/>
      <w:pPr>
        <w:tabs>
          <w:tab w:val="num" w:pos="1260"/>
        </w:tabs>
        <w:ind w:left="1260" w:hanging="360"/>
      </w:pPr>
      <w:rPr>
        <w:rFonts w:ascii="Symbol" w:hAnsi="Symbol" w:hint="default"/>
      </w:rPr>
    </w:lvl>
    <w:lvl w:ilvl="4" w:tplc="04020003" w:tentative="1">
      <w:start w:val="1"/>
      <w:numFmt w:val="bullet"/>
      <w:lvlText w:val="o"/>
      <w:lvlJc w:val="left"/>
      <w:pPr>
        <w:tabs>
          <w:tab w:val="num" w:pos="1980"/>
        </w:tabs>
        <w:ind w:left="1980" w:hanging="360"/>
      </w:pPr>
      <w:rPr>
        <w:rFonts w:ascii="Courier New" w:hAnsi="Courier New" w:hint="default"/>
      </w:rPr>
    </w:lvl>
    <w:lvl w:ilvl="5" w:tplc="04020005" w:tentative="1">
      <w:start w:val="1"/>
      <w:numFmt w:val="bullet"/>
      <w:lvlText w:val=""/>
      <w:lvlJc w:val="left"/>
      <w:pPr>
        <w:tabs>
          <w:tab w:val="num" w:pos="2700"/>
        </w:tabs>
        <w:ind w:left="2700" w:hanging="360"/>
      </w:pPr>
      <w:rPr>
        <w:rFonts w:ascii="Wingdings" w:hAnsi="Wingdings" w:hint="default"/>
      </w:rPr>
    </w:lvl>
    <w:lvl w:ilvl="6" w:tplc="04020001" w:tentative="1">
      <w:start w:val="1"/>
      <w:numFmt w:val="bullet"/>
      <w:lvlText w:val=""/>
      <w:lvlJc w:val="left"/>
      <w:pPr>
        <w:tabs>
          <w:tab w:val="num" w:pos="3420"/>
        </w:tabs>
        <w:ind w:left="3420" w:hanging="360"/>
      </w:pPr>
      <w:rPr>
        <w:rFonts w:ascii="Symbol" w:hAnsi="Symbol" w:hint="default"/>
      </w:rPr>
    </w:lvl>
    <w:lvl w:ilvl="7" w:tplc="04020003" w:tentative="1">
      <w:start w:val="1"/>
      <w:numFmt w:val="bullet"/>
      <w:lvlText w:val="o"/>
      <w:lvlJc w:val="left"/>
      <w:pPr>
        <w:tabs>
          <w:tab w:val="num" w:pos="4140"/>
        </w:tabs>
        <w:ind w:left="4140" w:hanging="360"/>
      </w:pPr>
      <w:rPr>
        <w:rFonts w:ascii="Courier New" w:hAnsi="Courier New" w:hint="default"/>
      </w:rPr>
    </w:lvl>
    <w:lvl w:ilvl="8" w:tplc="04020005" w:tentative="1">
      <w:start w:val="1"/>
      <w:numFmt w:val="bullet"/>
      <w:lvlText w:val=""/>
      <w:lvlJc w:val="left"/>
      <w:pPr>
        <w:tabs>
          <w:tab w:val="num" w:pos="4860"/>
        </w:tabs>
        <w:ind w:left="4860" w:hanging="360"/>
      </w:pPr>
      <w:rPr>
        <w:rFonts w:ascii="Wingdings" w:hAnsi="Wingdings" w:hint="default"/>
      </w:rPr>
    </w:lvl>
  </w:abstractNum>
  <w:abstractNum w:abstractNumId="21">
    <w:nsid w:val="3AF86BBB"/>
    <w:multiLevelType w:val="hybridMultilevel"/>
    <w:tmpl w:val="C65EBD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24">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C465905"/>
    <w:multiLevelType w:val="hybridMultilevel"/>
    <w:tmpl w:val="0374FA1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7">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9">
    <w:nsid w:val="53A41434"/>
    <w:multiLevelType w:val="hybridMultilevel"/>
    <w:tmpl w:val="D4069CA2"/>
    <w:lvl w:ilvl="0" w:tplc="AB6E2D68">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5D92F24"/>
    <w:multiLevelType w:val="hybridMultilevel"/>
    <w:tmpl w:val="C3E23384"/>
    <w:lvl w:ilvl="0" w:tplc="0402000D">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31">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2">
    <w:nsid w:val="60E61237"/>
    <w:multiLevelType w:val="hybridMultilevel"/>
    <w:tmpl w:val="3FD07E9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43A5E75"/>
    <w:multiLevelType w:val="hybridMultilevel"/>
    <w:tmpl w:val="F88C976A"/>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34">
    <w:nsid w:val="65037E1C"/>
    <w:multiLevelType w:val="hybridMultilevel"/>
    <w:tmpl w:val="417A6ED8"/>
    <w:lvl w:ilvl="0" w:tplc="0402000D">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35">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7">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9">
    <w:nsid w:val="6B8C34CB"/>
    <w:multiLevelType w:val="hybridMultilevel"/>
    <w:tmpl w:val="0D90CA80"/>
    <w:lvl w:ilvl="0" w:tplc="04020001">
      <w:start w:val="1"/>
      <w:numFmt w:val="bullet"/>
      <w:lvlText w:val=""/>
      <w:lvlJc w:val="left"/>
      <w:pPr>
        <w:ind w:left="1646" w:hanging="360"/>
      </w:pPr>
      <w:rPr>
        <w:rFonts w:ascii="Symbol" w:hAnsi="Symbol" w:hint="default"/>
      </w:rPr>
    </w:lvl>
    <w:lvl w:ilvl="1" w:tplc="04020003" w:tentative="1">
      <w:start w:val="1"/>
      <w:numFmt w:val="bullet"/>
      <w:lvlText w:val="o"/>
      <w:lvlJc w:val="left"/>
      <w:pPr>
        <w:ind w:left="2366" w:hanging="360"/>
      </w:pPr>
      <w:rPr>
        <w:rFonts w:ascii="Courier New" w:hAnsi="Courier New" w:cs="Courier New" w:hint="default"/>
      </w:rPr>
    </w:lvl>
    <w:lvl w:ilvl="2" w:tplc="04020005" w:tentative="1">
      <w:start w:val="1"/>
      <w:numFmt w:val="bullet"/>
      <w:lvlText w:val=""/>
      <w:lvlJc w:val="left"/>
      <w:pPr>
        <w:ind w:left="3086" w:hanging="360"/>
      </w:pPr>
      <w:rPr>
        <w:rFonts w:ascii="Wingdings" w:hAnsi="Wingdings" w:hint="default"/>
      </w:rPr>
    </w:lvl>
    <w:lvl w:ilvl="3" w:tplc="04020001" w:tentative="1">
      <w:start w:val="1"/>
      <w:numFmt w:val="bullet"/>
      <w:lvlText w:val=""/>
      <w:lvlJc w:val="left"/>
      <w:pPr>
        <w:ind w:left="3806" w:hanging="360"/>
      </w:pPr>
      <w:rPr>
        <w:rFonts w:ascii="Symbol" w:hAnsi="Symbol" w:hint="default"/>
      </w:rPr>
    </w:lvl>
    <w:lvl w:ilvl="4" w:tplc="04020003" w:tentative="1">
      <w:start w:val="1"/>
      <w:numFmt w:val="bullet"/>
      <w:lvlText w:val="o"/>
      <w:lvlJc w:val="left"/>
      <w:pPr>
        <w:ind w:left="4526" w:hanging="360"/>
      </w:pPr>
      <w:rPr>
        <w:rFonts w:ascii="Courier New" w:hAnsi="Courier New" w:cs="Courier New" w:hint="default"/>
      </w:rPr>
    </w:lvl>
    <w:lvl w:ilvl="5" w:tplc="04020005" w:tentative="1">
      <w:start w:val="1"/>
      <w:numFmt w:val="bullet"/>
      <w:lvlText w:val=""/>
      <w:lvlJc w:val="left"/>
      <w:pPr>
        <w:ind w:left="5246" w:hanging="360"/>
      </w:pPr>
      <w:rPr>
        <w:rFonts w:ascii="Wingdings" w:hAnsi="Wingdings" w:hint="default"/>
      </w:rPr>
    </w:lvl>
    <w:lvl w:ilvl="6" w:tplc="04020001" w:tentative="1">
      <w:start w:val="1"/>
      <w:numFmt w:val="bullet"/>
      <w:lvlText w:val=""/>
      <w:lvlJc w:val="left"/>
      <w:pPr>
        <w:ind w:left="5966" w:hanging="360"/>
      </w:pPr>
      <w:rPr>
        <w:rFonts w:ascii="Symbol" w:hAnsi="Symbol" w:hint="default"/>
      </w:rPr>
    </w:lvl>
    <w:lvl w:ilvl="7" w:tplc="04020003" w:tentative="1">
      <w:start w:val="1"/>
      <w:numFmt w:val="bullet"/>
      <w:lvlText w:val="o"/>
      <w:lvlJc w:val="left"/>
      <w:pPr>
        <w:ind w:left="6686" w:hanging="360"/>
      </w:pPr>
      <w:rPr>
        <w:rFonts w:ascii="Courier New" w:hAnsi="Courier New" w:cs="Courier New" w:hint="default"/>
      </w:rPr>
    </w:lvl>
    <w:lvl w:ilvl="8" w:tplc="04020005" w:tentative="1">
      <w:start w:val="1"/>
      <w:numFmt w:val="bullet"/>
      <w:lvlText w:val=""/>
      <w:lvlJc w:val="left"/>
      <w:pPr>
        <w:ind w:left="7406" w:hanging="360"/>
      </w:pPr>
      <w:rPr>
        <w:rFonts w:ascii="Wingdings" w:hAnsi="Wingdings" w:hint="default"/>
      </w:rPr>
    </w:lvl>
  </w:abstractNum>
  <w:abstractNum w:abstractNumId="4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41">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70676522"/>
    <w:multiLevelType w:val="hybridMultilevel"/>
    <w:tmpl w:val="4E68849A"/>
    <w:lvl w:ilvl="0" w:tplc="0402000D">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3">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4613"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44">
    <w:nsid w:val="74204152"/>
    <w:multiLevelType w:val="multilevel"/>
    <w:tmpl w:val="57A6F67A"/>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5">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nsid w:val="74896D38"/>
    <w:multiLevelType w:val="hybridMultilevel"/>
    <w:tmpl w:val="ADA8828A"/>
    <w:lvl w:ilvl="0" w:tplc="0402000D">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47">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23"/>
  </w:num>
  <w:num w:numId="3">
    <w:abstractNumId w:val="37"/>
  </w:num>
  <w:num w:numId="4">
    <w:abstractNumId w:val="18"/>
  </w:num>
  <w:num w:numId="5">
    <w:abstractNumId w:val="41"/>
  </w:num>
  <w:num w:numId="6">
    <w:abstractNumId w:val="29"/>
  </w:num>
  <w:num w:numId="7">
    <w:abstractNumId w:val="35"/>
  </w:num>
  <w:num w:numId="8">
    <w:abstractNumId w:val="22"/>
  </w:num>
  <w:num w:numId="9">
    <w:abstractNumId w:val="27"/>
  </w:num>
  <w:num w:numId="10">
    <w:abstractNumId w:val="43"/>
  </w:num>
  <w:num w:numId="11">
    <w:abstractNumId w:val="36"/>
  </w:num>
  <w:num w:numId="12">
    <w:abstractNumId w:val="33"/>
  </w:num>
  <w:num w:numId="13">
    <w:abstractNumId w:val="6"/>
  </w:num>
  <w:num w:numId="14">
    <w:abstractNumId w:val="47"/>
  </w:num>
  <w:num w:numId="15">
    <w:abstractNumId w:val="45"/>
  </w:num>
  <w:num w:numId="16">
    <w:abstractNumId w:val="4"/>
  </w:num>
  <w:num w:numId="17">
    <w:abstractNumId w:val="38"/>
  </w:num>
  <w:num w:numId="18">
    <w:abstractNumId w:val="24"/>
  </w:num>
  <w:num w:numId="19">
    <w:abstractNumId w:val="12"/>
  </w:num>
  <w:num w:numId="20">
    <w:abstractNumId w:val="28"/>
  </w:num>
  <w:num w:numId="21">
    <w:abstractNumId w:val="14"/>
  </w:num>
  <w:num w:numId="22">
    <w:abstractNumId w:val="15"/>
  </w:num>
  <w:num w:numId="23">
    <w:abstractNumId w:val="46"/>
  </w:num>
  <w:num w:numId="24">
    <w:abstractNumId w:val="25"/>
  </w:num>
  <w:num w:numId="25">
    <w:abstractNumId w:val="30"/>
  </w:num>
  <w:num w:numId="26">
    <w:abstractNumId w:val="10"/>
  </w:num>
  <w:num w:numId="27">
    <w:abstractNumId w:val="19"/>
  </w:num>
  <w:num w:numId="28">
    <w:abstractNumId w:val="40"/>
  </w:num>
  <w:num w:numId="29">
    <w:abstractNumId w:val="0"/>
  </w:num>
  <w:num w:numId="30">
    <w:abstractNumId w:val="31"/>
  </w:num>
  <w:num w:numId="31">
    <w:abstractNumId w:val="42"/>
  </w:num>
  <w:num w:numId="32">
    <w:abstractNumId w:val="1"/>
  </w:num>
  <w:num w:numId="33">
    <w:abstractNumId w:val="17"/>
  </w:num>
  <w:num w:numId="34">
    <w:abstractNumId w:val="21"/>
  </w:num>
  <w:num w:numId="35">
    <w:abstractNumId w:val="5"/>
  </w:num>
  <w:num w:numId="36">
    <w:abstractNumId w:val="13"/>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6"/>
  </w:num>
  <w:num w:numId="40">
    <w:abstractNumId w:val="32"/>
  </w:num>
  <w:num w:numId="41">
    <w:abstractNumId w:val="11"/>
  </w:num>
  <w:num w:numId="42">
    <w:abstractNumId w:val="16"/>
  </w:num>
  <w:num w:numId="43">
    <w:abstractNumId w:val="9"/>
  </w:num>
  <w:num w:numId="44">
    <w:abstractNumId w:val="34"/>
  </w:num>
  <w:num w:numId="45">
    <w:abstractNumId w:val="2"/>
  </w:num>
  <w:num w:numId="46">
    <w:abstractNumId w:val="3"/>
  </w:num>
  <w:num w:numId="47">
    <w:abstractNumId w:val="44"/>
  </w:num>
  <w:num w:numId="48">
    <w:abstractNumId w:val="39"/>
  </w:num>
  <w:num w:numId="49">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15"/>
    <w:rsid w:val="00000EF0"/>
    <w:rsid w:val="000016BE"/>
    <w:rsid w:val="00002BD7"/>
    <w:rsid w:val="00002D9C"/>
    <w:rsid w:val="00003489"/>
    <w:rsid w:val="00003B52"/>
    <w:rsid w:val="00004264"/>
    <w:rsid w:val="000063FC"/>
    <w:rsid w:val="000065C6"/>
    <w:rsid w:val="0000691E"/>
    <w:rsid w:val="00006EBC"/>
    <w:rsid w:val="00007F94"/>
    <w:rsid w:val="000111D3"/>
    <w:rsid w:val="00011383"/>
    <w:rsid w:val="000119C6"/>
    <w:rsid w:val="00012533"/>
    <w:rsid w:val="00012AE6"/>
    <w:rsid w:val="00013B93"/>
    <w:rsid w:val="00013C59"/>
    <w:rsid w:val="000146EA"/>
    <w:rsid w:val="000158A2"/>
    <w:rsid w:val="00015C0F"/>
    <w:rsid w:val="00015D5B"/>
    <w:rsid w:val="000175C7"/>
    <w:rsid w:val="000178CA"/>
    <w:rsid w:val="00017EA1"/>
    <w:rsid w:val="0002050E"/>
    <w:rsid w:val="0002057E"/>
    <w:rsid w:val="000215BD"/>
    <w:rsid w:val="00021A5F"/>
    <w:rsid w:val="000221B7"/>
    <w:rsid w:val="000229E1"/>
    <w:rsid w:val="00022CAC"/>
    <w:rsid w:val="00022D9E"/>
    <w:rsid w:val="0002351F"/>
    <w:rsid w:val="00023BF6"/>
    <w:rsid w:val="00023D31"/>
    <w:rsid w:val="0002444B"/>
    <w:rsid w:val="0002477E"/>
    <w:rsid w:val="000249B9"/>
    <w:rsid w:val="000256B4"/>
    <w:rsid w:val="00025953"/>
    <w:rsid w:val="00025F45"/>
    <w:rsid w:val="00026903"/>
    <w:rsid w:val="0002693A"/>
    <w:rsid w:val="00026AD5"/>
    <w:rsid w:val="00027951"/>
    <w:rsid w:val="00027B74"/>
    <w:rsid w:val="00030353"/>
    <w:rsid w:val="000307D3"/>
    <w:rsid w:val="000311EA"/>
    <w:rsid w:val="00031377"/>
    <w:rsid w:val="00031593"/>
    <w:rsid w:val="00031710"/>
    <w:rsid w:val="000319CB"/>
    <w:rsid w:val="000320C8"/>
    <w:rsid w:val="00032966"/>
    <w:rsid w:val="00033ACB"/>
    <w:rsid w:val="00034135"/>
    <w:rsid w:val="00034396"/>
    <w:rsid w:val="00034FE3"/>
    <w:rsid w:val="000359FA"/>
    <w:rsid w:val="0003621F"/>
    <w:rsid w:val="00036A1B"/>
    <w:rsid w:val="00037141"/>
    <w:rsid w:val="000377BC"/>
    <w:rsid w:val="000378DC"/>
    <w:rsid w:val="0004080C"/>
    <w:rsid w:val="0004098D"/>
    <w:rsid w:val="00040C20"/>
    <w:rsid w:val="000411D9"/>
    <w:rsid w:val="00041338"/>
    <w:rsid w:val="00042634"/>
    <w:rsid w:val="0004338F"/>
    <w:rsid w:val="000436DD"/>
    <w:rsid w:val="000439F5"/>
    <w:rsid w:val="00043AA0"/>
    <w:rsid w:val="00043AB2"/>
    <w:rsid w:val="00043E35"/>
    <w:rsid w:val="0004426E"/>
    <w:rsid w:val="00044273"/>
    <w:rsid w:val="0004753C"/>
    <w:rsid w:val="00050A1B"/>
    <w:rsid w:val="00051E5E"/>
    <w:rsid w:val="00052449"/>
    <w:rsid w:val="00052C5C"/>
    <w:rsid w:val="00053B0F"/>
    <w:rsid w:val="00053D51"/>
    <w:rsid w:val="000546BF"/>
    <w:rsid w:val="00054E02"/>
    <w:rsid w:val="00055007"/>
    <w:rsid w:val="000551E4"/>
    <w:rsid w:val="00055A61"/>
    <w:rsid w:val="00055DD1"/>
    <w:rsid w:val="00056221"/>
    <w:rsid w:val="00056B58"/>
    <w:rsid w:val="00056D9D"/>
    <w:rsid w:val="0005737D"/>
    <w:rsid w:val="00057886"/>
    <w:rsid w:val="00060A02"/>
    <w:rsid w:val="00060B42"/>
    <w:rsid w:val="000613BA"/>
    <w:rsid w:val="0006166E"/>
    <w:rsid w:val="00061758"/>
    <w:rsid w:val="000621DE"/>
    <w:rsid w:val="00062A78"/>
    <w:rsid w:val="00063235"/>
    <w:rsid w:val="00063CF1"/>
    <w:rsid w:val="00063E15"/>
    <w:rsid w:val="000642B9"/>
    <w:rsid w:val="00064472"/>
    <w:rsid w:val="0006477A"/>
    <w:rsid w:val="00064AF3"/>
    <w:rsid w:val="00064C44"/>
    <w:rsid w:val="00064E39"/>
    <w:rsid w:val="00065A46"/>
    <w:rsid w:val="00065DF8"/>
    <w:rsid w:val="000663D1"/>
    <w:rsid w:val="00066EED"/>
    <w:rsid w:val="00067283"/>
    <w:rsid w:val="000701A7"/>
    <w:rsid w:val="0007047E"/>
    <w:rsid w:val="000709C1"/>
    <w:rsid w:val="00070A97"/>
    <w:rsid w:val="00071F12"/>
    <w:rsid w:val="00072D22"/>
    <w:rsid w:val="00073108"/>
    <w:rsid w:val="00073DF5"/>
    <w:rsid w:val="0007497C"/>
    <w:rsid w:val="000751C1"/>
    <w:rsid w:val="00075256"/>
    <w:rsid w:val="0007526B"/>
    <w:rsid w:val="000768B3"/>
    <w:rsid w:val="00080AB2"/>
    <w:rsid w:val="00080EF5"/>
    <w:rsid w:val="0008155D"/>
    <w:rsid w:val="000819F9"/>
    <w:rsid w:val="00081AFD"/>
    <w:rsid w:val="00082679"/>
    <w:rsid w:val="000827A4"/>
    <w:rsid w:val="000829EB"/>
    <w:rsid w:val="00082BD9"/>
    <w:rsid w:val="0008327E"/>
    <w:rsid w:val="000832E5"/>
    <w:rsid w:val="0008357F"/>
    <w:rsid w:val="000853B1"/>
    <w:rsid w:val="00085704"/>
    <w:rsid w:val="00085734"/>
    <w:rsid w:val="00085B96"/>
    <w:rsid w:val="00085E01"/>
    <w:rsid w:val="00085E1A"/>
    <w:rsid w:val="00086FA7"/>
    <w:rsid w:val="00087295"/>
    <w:rsid w:val="0008745A"/>
    <w:rsid w:val="000878C4"/>
    <w:rsid w:val="0009002F"/>
    <w:rsid w:val="000900E3"/>
    <w:rsid w:val="000902B5"/>
    <w:rsid w:val="00090D1D"/>
    <w:rsid w:val="00091196"/>
    <w:rsid w:val="00091BCE"/>
    <w:rsid w:val="000931C8"/>
    <w:rsid w:val="000937AB"/>
    <w:rsid w:val="000937E0"/>
    <w:rsid w:val="00093F6F"/>
    <w:rsid w:val="000943E4"/>
    <w:rsid w:val="000949D3"/>
    <w:rsid w:val="00094A6C"/>
    <w:rsid w:val="00094A78"/>
    <w:rsid w:val="0009743A"/>
    <w:rsid w:val="000A052A"/>
    <w:rsid w:val="000A09BA"/>
    <w:rsid w:val="000A301B"/>
    <w:rsid w:val="000A3F57"/>
    <w:rsid w:val="000A5B32"/>
    <w:rsid w:val="000A6E4D"/>
    <w:rsid w:val="000A7841"/>
    <w:rsid w:val="000B0616"/>
    <w:rsid w:val="000B0815"/>
    <w:rsid w:val="000B09E5"/>
    <w:rsid w:val="000B0CE6"/>
    <w:rsid w:val="000B11FB"/>
    <w:rsid w:val="000B175F"/>
    <w:rsid w:val="000B1A24"/>
    <w:rsid w:val="000B1E59"/>
    <w:rsid w:val="000B25CC"/>
    <w:rsid w:val="000B2CBE"/>
    <w:rsid w:val="000B36FD"/>
    <w:rsid w:val="000B460F"/>
    <w:rsid w:val="000B474D"/>
    <w:rsid w:val="000B52FA"/>
    <w:rsid w:val="000B5F1E"/>
    <w:rsid w:val="000B62C7"/>
    <w:rsid w:val="000B6D3A"/>
    <w:rsid w:val="000B7234"/>
    <w:rsid w:val="000B7447"/>
    <w:rsid w:val="000B75C1"/>
    <w:rsid w:val="000B7C4F"/>
    <w:rsid w:val="000B7E66"/>
    <w:rsid w:val="000C06FE"/>
    <w:rsid w:val="000C0FA1"/>
    <w:rsid w:val="000C106C"/>
    <w:rsid w:val="000C13A5"/>
    <w:rsid w:val="000C2FAC"/>
    <w:rsid w:val="000C36A8"/>
    <w:rsid w:val="000C4CBB"/>
    <w:rsid w:val="000C56B9"/>
    <w:rsid w:val="000C5ACF"/>
    <w:rsid w:val="000C5C6D"/>
    <w:rsid w:val="000C6742"/>
    <w:rsid w:val="000C69AE"/>
    <w:rsid w:val="000C6CB5"/>
    <w:rsid w:val="000C6CF3"/>
    <w:rsid w:val="000C72DC"/>
    <w:rsid w:val="000C7303"/>
    <w:rsid w:val="000C736E"/>
    <w:rsid w:val="000C75A5"/>
    <w:rsid w:val="000C7BB6"/>
    <w:rsid w:val="000D0538"/>
    <w:rsid w:val="000D0AB1"/>
    <w:rsid w:val="000D23F8"/>
    <w:rsid w:val="000D2516"/>
    <w:rsid w:val="000D26D5"/>
    <w:rsid w:val="000D2B33"/>
    <w:rsid w:val="000D2BE7"/>
    <w:rsid w:val="000D3407"/>
    <w:rsid w:val="000D3942"/>
    <w:rsid w:val="000D3FA7"/>
    <w:rsid w:val="000D4203"/>
    <w:rsid w:val="000D49F5"/>
    <w:rsid w:val="000D4BEB"/>
    <w:rsid w:val="000D5449"/>
    <w:rsid w:val="000D6D92"/>
    <w:rsid w:val="000D725A"/>
    <w:rsid w:val="000D740D"/>
    <w:rsid w:val="000D78E4"/>
    <w:rsid w:val="000E0B42"/>
    <w:rsid w:val="000E0EBA"/>
    <w:rsid w:val="000E1529"/>
    <w:rsid w:val="000E1EAF"/>
    <w:rsid w:val="000E1FB5"/>
    <w:rsid w:val="000E234B"/>
    <w:rsid w:val="000E2894"/>
    <w:rsid w:val="000E2B21"/>
    <w:rsid w:val="000E39DF"/>
    <w:rsid w:val="000E3CDC"/>
    <w:rsid w:val="000E4599"/>
    <w:rsid w:val="000E4CFE"/>
    <w:rsid w:val="000E5205"/>
    <w:rsid w:val="000E5295"/>
    <w:rsid w:val="000E5483"/>
    <w:rsid w:val="000E5EE9"/>
    <w:rsid w:val="000E632B"/>
    <w:rsid w:val="000E6968"/>
    <w:rsid w:val="000E76B3"/>
    <w:rsid w:val="000F04F4"/>
    <w:rsid w:val="000F26DE"/>
    <w:rsid w:val="000F3534"/>
    <w:rsid w:val="000F3EA1"/>
    <w:rsid w:val="000F47A8"/>
    <w:rsid w:val="000F5080"/>
    <w:rsid w:val="000F5EF4"/>
    <w:rsid w:val="000F5F76"/>
    <w:rsid w:val="000F68AF"/>
    <w:rsid w:val="000F6975"/>
    <w:rsid w:val="000F6B35"/>
    <w:rsid w:val="00100018"/>
    <w:rsid w:val="0010026D"/>
    <w:rsid w:val="0010055E"/>
    <w:rsid w:val="001006E1"/>
    <w:rsid w:val="00100CE5"/>
    <w:rsid w:val="00100D97"/>
    <w:rsid w:val="001011A4"/>
    <w:rsid w:val="001017B7"/>
    <w:rsid w:val="0010212B"/>
    <w:rsid w:val="00102523"/>
    <w:rsid w:val="0010261A"/>
    <w:rsid w:val="00102869"/>
    <w:rsid w:val="001028F7"/>
    <w:rsid w:val="00102BA6"/>
    <w:rsid w:val="0010358B"/>
    <w:rsid w:val="00103BC3"/>
    <w:rsid w:val="00103E44"/>
    <w:rsid w:val="001046B0"/>
    <w:rsid w:val="00104BB5"/>
    <w:rsid w:val="0010539A"/>
    <w:rsid w:val="001053A6"/>
    <w:rsid w:val="00106081"/>
    <w:rsid w:val="0010649F"/>
    <w:rsid w:val="0010683E"/>
    <w:rsid w:val="00107258"/>
    <w:rsid w:val="00107498"/>
    <w:rsid w:val="001077FA"/>
    <w:rsid w:val="00107C9F"/>
    <w:rsid w:val="00107F93"/>
    <w:rsid w:val="00110735"/>
    <w:rsid w:val="00110E74"/>
    <w:rsid w:val="0011239E"/>
    <w:rsid w:val="0011244D"/>
    <w:rsid w:val="00112882"/>
    <w:rsid w:val="00112CAC"/>
    <w:rsid w:val="00112E96"/>
    <w:rsid w:val="00114DE5"/>
    <w:rsid w:val="00116D77"/>
    <w:rsid w:val="001179C1"/>
    <w:rsid w:val="00117C68"/>
    <w:rsid w:val="00117CA6"/>
    <w:rsid w:val="001202E6"/>
    <w:rsid w:val="00120CC7"/>
    <w:rsid w:val="00122FCA"/>
    <w:rsid w:val="00123862"/>
    <w:rsid w:val="00123B59"/>
    <w:rsid w:val="00123E2A"/>
    <w:rsid w:val="00124777"/>
    <w:rsid w:val="00124E8D"/>
    <w:rsid w:val="00124FB9"/>
    <w:rsid w:val="00125B7A"/>
    <w:rsid w:val="001260AA"/>
    <w:rsid w:val="001264C3"/>
    <w:rsid w:val="001269AE"/>
    <w:rsid w:val="00127D25"/>
    <w:rsid w:val="001301B6"/>
    <w:rsid w:val="001305A6"/>
    <w:rsid w:val="00131563"/>
    <w:rsid w:val="00131B05"/>
    <w:rsid w:val="00132228"/>
    <w:rsid w:val="00132AD1"/>
    <w:rsid w:val="00133033"/>
    <w:rsid w:val="0013308F"/>
    <w:rsid w:val="00133644"/>
    <w:rsid w:val="001342F2"/>
    <w:rsid w:val="0013522E"/>
    <w:rsid w:val="0013588C"/>
    <w:rsid w:val="00135A23"/>
    <w:rsid w:val="00135E92"/>
    <w:rsid w:val="00136DA4"/>
    <w:rsid w:val="001371FA"/>
    <w:rsid w:val="00140F18"/>
    <w:rsid w:val="00140F61"/>
    <w:rsid w:val="00141B03"/>
    <w:rsid w:val="00142979"/>
    <w:rsid w:val="00142ABD"/>
    <w:rsid w:val="00142EDB"/>
    <w:rsid w:val="001434EA"/>
    <w:rsid w:val="00143814"/>
    <w:rsid w:val="001445AC"/>
    <w:rsid w:val="00144B67"/>
    <w:rsid w:val="00144BF2"/>
    <w:rsid w:val="00144CF0"/>
    <w:rsid w:val="0014585D"/>
    <w:rsid w:val="00145944"/>
    <w:rsid w:val="00145AD1"/>
    <w:rsid w:val="001462A0"/>
    <w:rsid w:val="00146314"/>
    <w:rsid w:val="001466F3"/>
    <w:rsid w:val="00146C11"/>
    <w:rsid w:val="00147195"/>
    <w:rsid w:val="00150706"/>
    <w:rsid w:val="00150D38"/>
    <w:rsid w:val="00151260"/>
    <w:rsid w:val="001514CB"/>
    <w:rsid w:val="001528EE"/>
    <w:rsid w:val="00152B9C"/>
    <w:rsid w:val="00153077"/>
    <w:rsid w:val="001535F3"/>
    <w:rsid w:val="00153DF3"/>
    <w:rsid w:val="00154247"/>
    <w:rsid w:val="00154DE5"/>
    <w:rsid w:val="00154FA1"/>
    <w:rsid w:val="00155948"/>
    <w:rsid w:val="00156356"/>
    <w:rsid w:val="00156A3B"/>
    <w:rsid w:val="00156B18"/>
    <w:rsid w:val="00156F40"/>
    <w:rsid w:val="00157673"/>
    <w:rsid w:val="00157B70"/>
    <w:rsid w:val="00157EC4"/>
    <w:rsid w:val="00157EF5"/>
    <w:rsid w:val="001606A4"/>
    <w:rsid w:val="00160A10"/>
    <w:rsid w:val="00160C5B"/>
    <w:rsid w:val="0016116C"/>
    <w:rsid w:val="0016122A"/>
    <w:rsid w:val="00161F90"/>
    <w:rsid w:val="001623A2"/>
    <w:rsid w:val="00162F68"/>
    <w:rsid w:val="0016354D"/>
    <w:rsid w:val="00163645"/>
    <w:rsid w:val="001643F8"/>
    <w:rsid w:val="00164FAD"/>
    <w:rsid w:val="00165DB5"/>
    <w:rsid w:val="00165FF0"/>
    <w:rsid w:val="00166023"/>
    <w:rsid w:val="001668BD"/>
    <w:rsid w:val="00170EFE"/>
    <w:rsid w:val="00171D9C"/>
    <w:rsid w:val="00171F8E"/>
    <w:rsid w:val="0017216E"/>
    <w:rsid w:val="0017293F"/>
    <w:rsid w:val="00172AEE"/>
    <w:rsid w:val="00173987"/>
    <w:rsid w:val="0017483F"/>
    <w:rsid w:val="00174C24"/>
    <w:rsid w:val="00175539"/>
    <w:rsid w:val="00175890"/>
    <w:rsid w:val="00176340"/>
    <w:rsid w:val="00176AE7"/>
    <w:rsid w:val="00176CB6"/>
    <w:rsid w:val="00176E98"/>
    <w:rsid w:val="00177307"/>
    <w:rsid w:val="00180811"/>
    <w:rsid w:val="001808E6"/>
    <w:rsid w:val="00180AEF"/>
    <w:rsid w:val="00180AFF"/>
    <w:rsid w:val="0018154E"/>
    <w:rsid w:val="00181FCA"/>
    <w:rsid w:val="001820C4"/>
    <w:rsid w:val="001824F0"/>
    <w:rsid w:val="00182A2B"/>
    <w:rsid w:val="00182A94"/>
    <w:rsid w:val="00182C1A"/>
    <w:rsid w:val="00182D63"/>
    <w:rsid w:val="00182F27"/>
    <w:rsid w:val="00183392"/>
    <w:rsid w:val="0018398A"/>
    <w:rsid w:val="00183D5F"/>
    <w:rsid w:val="00183EA5"/>
    <w:rsid w:val="00183FAF"/>
    <w:rsid w:val="00184502"/>
    <w:rsid w:val="001845D5"/>
    <w:rsid w:val="001850C5"/>
    <w:rsid w:val="0018526D"/>
    <w:rsid w:val="00185A12"/>
    <w:rsid w:val="00185BF6"/>
    <w:rsid w:val="00185D08"/>
    <w:rsid w:val="00186C81"/>
    <w:rsid w:val="00186DF9"/>
    <w:rsid w:val="00187C04"/>
    <w:rsid w:val="00187C31"/>
    <w:rsid w:val="00190983"/>
    <w:rsid w:val="0019151C"/>
    <w:rsid w:val="00191AA6"/>
    <w:rsid w:val="00191AB6"/>
    <w:rsid w:val="00191F79"/>
    <w:rsid w:val="0019213B"/>
    <w:rsid w:val="0019232E"/>
    <w:rsid w:val="0019239F"/>
    <w:rsid w:val="001924F6"/>
    <w:rsid w:val="00192CDB"/>
    <w:rsid w:val="00193D9B"/>
    <w:rsid w:val="00193F20"/>
    <w:rsid w:val="0019413C"/>
    <w:rsid w:val="001941E4"/>
    <w:rsid w:val="00195CF2"/>
    <w:rsid w:val="00195FB3"/>
    <w:rsid w:val="001965AA"/>
    <w:rsid w:val="0019667B"/>
    <w:rsid w:val="001968E4"/>
    <w:rsid w:val="001971AE"/>
    <w:rsid w:val="00197278"/>
    <w:rsid w:val="00197392"/>
    <w:rsid w:val="00197EC3"/>
    <w:rsid w:val="00197FB1"/>
    <w:rsid w:val="001A0601"/>
    <w:rsid w:val="001A0BB0"/>
    <w:rsid w:val="001A17F4"/>
    <w:rsid w:val="001A1837"/>
    <w:rsid w:val="001A1C51"/>
    <w:rsid w:val="001A236F"/>
    <w:rsid w:val="001A28BA"/>
    <w:rsid w:val="001A3051"/>
    <w:rsid w:val="001A3387"/>
    <w:rsid w:val="001A4493"/>
    <w:rsid w:val="001A4589"/>
    <w:rsid w:val="001A4951"/>
    <w:rsid w:val="001A5350"/>
    <w:rsid w:val="001A5398"/>
    <w:rsid w:val="001A59AF"/>
    <w:rsid w:val="001A6777"/>
    <w:rsid w:val="001A6C6D"/>
    <w:rsid w:val="001A718F"/>
    <w:rsid w:val="001A75B9"/>
    <w:rsid w:val="001B18C3"/>
    <w:rsid w:val="001B20E4"/>
    <w:rsid w:val="001B2FCD"/>
    <w:rsid w:val="001B3285"/>
    <w:rsid w:val="001B370A"/>
    <w:rsid w:val="001B3E1C"/>
    <w:rsid w:val="001B4165"/>
    <w:rsid w:val="001B44DB"/>
    <w:rsid w:val="001B5EA6"/>
    <w:rsid w:val="001C0F05"/>
    <w:rsid w:val="001C110F"/>
    <w:rsid w:val="001C15B0"/>
    <w:rsid w:val="001C239A"/>
    <w:rsid w:val="001C2EE5"/>
    <w:rsid w:val="001C486C"/>
    <w:rsid w:val="001C4B35"/>
    <w:rsid w:val="001C4CCF"/>
    <w:rsid w:val="001C501A"/>
    <w:rsid w:val="001C5CC2"/>
    <w:rsid w:val="001C6573"/>
    <w:rsid w:val="001C67CF"/>
    <w:rsid w:val="001C6BA6"/>
    <w:rsid w:val="001C726D"/>
    <w:rsid w:val="001C78CA"/>
    <w:rsid w:val="001D01FB"/>
    <w:rsid w:val="001D0221"/>
    <w:rsid w:val="001D13AD"/>
    <w:rsid w:val="001D15E5"/>
    <w:rsid w:val="001D2381"/>
    <w:rsid w:val="001D2CE9"/>
    <w:rsid w:val="001D34AF"/>
    <w:rsid w:val="001D3E63"/>
    <w:rsid w:val="001D40DA"/>
    <w:rsid w:val="001D419F"/>
    <w:rsid w:val="001D6081"/>
    <w:rsid w:val="001D6F2E"/>
    <w:rsid w:val="001D71BC"/>
    <w:rsid w:val="001D755A"/>
    <w:rsid w:val="001E0367"/>
    <w:rsid w:val="001E11E2"/>
    <w:rsid w:val="001E27FB"/>
    <w:rsid w:val="001E2B1A"/>
    <w:rsid w:val="001E373E"/>
    <w:rsid w:val="001E3753"/>
    <w:rsid w:val="001E383E"/>
    <w:rsid w:val="001E4011"/>
    <w:rsid w:val="001E4456"/>
    <w:rsid w:val="001E44C8"/>
    <w:rsid w:val="001E4E88"/>
    <w:rsid w:val="001E4FFF"/>
    <w:rsid w:val="001E5BEE"/>
    <w:rsid w:val="001E619D"/>
    <w:rsid w:val="001E68EE"/>
    <w:rsid w:val="001E751C"/>
    <w:rsid w:val="001E77C4"/>
    <w:rsid w:val="001E7EA4"/>
    <w:rsid w:val="001F00B7"/>
    <w:rsid w:val="001F1092"/>
    <w:rsid w:val="001F1E88"/>
    <w:rsid w:val="001F2337"/>
    <w:rsid w:val="001F367C"/>
    <w:rsid w:val="001F4EB9"/>
    <w:rsid w:val="001F4FDB"/>
    <w:rsid w:val="001F540A"/>
    <w:rsid w:val="001F5D2F"/>
    <w:rsid w:val="001F5E20"/>
    <w:rsid w:val="001F5FA3"/>
    <w:rsid w:val="001F60AC"/>
    <w:rsid w:val="001F6E1E"/>
    <w:rsid w:val="001F6F0C"/>
    <w:rsid w:val="001F74B9"/>
    <w:rsid w:val="001F7F82"/>
    <w:rsid w:val="002002AA"/>
    <w:rsid w:val="002003C3"/>
    <w:rsid w:val="002018B7"/>
    <w:rsid w:val="002019D1"/>
    <w:rsid w:val="00201E8F"/>
    <w:rsid w:val="002023B3"/>
    <w:rsid w:val="0020261A"/>
    <w:rsid w:val="00202CDB"/>
    <w:rsid w:val="00203052"/>
    <w:rsid w:val="00204381"/>
    <w:rsid w:val="00204779"/>
    <w:rsid w:val="00204799"/>
    <w:rsid w:val="00204EBE"/>
    <w:rsid w:val="002051EA"/>
    <w:rsid w:val="002060C2"/>
    <w:rsid w:val="00207674"/>
    <w:rsid w:val="002076D5"/>
    <w:rsid w:val="002111F3"/>
    <w:rsid w:val="002117F4"/>
    <w:rsid w:val="002118E8"/>
    <w:rsid w:val="00212024"/>
    <w:rsid w:val="00212116"/>
    <w:rsid w:val="00212798"/>
    <w:rsid w:val="00213180"/>
    <w:rsid w:val="002136EF"/>
    <w:rsid w:val="00213D58"/>
    <w:rsid w:val="00213EB4"/>
    <w:rsid w:val="002142CA"/>
    <w:rsid w:val="0021481A"/>
    <w:rsid w:val="00214D1A"/>
    <w:rsid w:val="00214EEA"/>
    <w:rsid w:val="00215254"/>
    <w:rsid w:val="00215ADA"/>
    <w:rsid w:val="00216326"/>
    <w:rsid w:val="00216648"/>
    <w:rsid w:val="00216651"/>
    <w:rsid w:val="00216AAD"/>
    <w:rsid w:val="00216C9A"/>
    <w:rsid w:val="00216D51"/>
    <w:rsid w:val="00217096"/>
    <w:rsid w:val="00217C7A"/>
    <w:rsid w:val="00217E93"/>
    <w:rsid w:val="0022027B"/>
    <w:rsid w:val="00220699"/>
    <w:rsid w:val="00220CF8"/>
    <w:rsid w:val="00220D8D"/>
    <w:rsid w:val="0022151A"/>
    <w:rsid w:val="002215FD"/>
    <w:rsid w:val="002216C7"/>
    <w:rsid w:val="00221E48"/>
    <w:rsid w:val="00222228"/>
    <w:rsid w:val="00222370"/>
    <w:rsid w:val="00223892"/>
    <w:rsid w:val="00223940"/>
    <w:rsid w:val="00223C8D"/>
    <w:rsid w:val="00223F09"/>
    <w:rsid w:val="002245C8"/>
    <w:rsid w:val="0022465E"/>
    <w:rsid w:val="00225164"/>
    <w:rsid w:val="00225168"/>
    <w:rsid w:val="0023041D"/>
    <w:rsid w:val="00231385"/>
    <w:rsid w:val="002316E9"/>
    <w:rsid w:val="002326C1"/>
    <w:rsid w:val="00232A8A"/>
    <w:rsid w:val="00233032"/>
    <w:rsid w:val="002332F7"/>
    <w:rsid w:val="00233986"/>
    <w:rsid w:val="00233D50"/>
    <w:rsid w:val="00234798"/>
    <w:rsid w:val="00240C3D"/>
    <w:rsid w:val="00240D9B"/>
    <w:rsid w:val="002413A5"/>
    <w:rsid w:val="002421FC"/>
    <w:rsid w:val="00242676"/>
    <w:rsid w:val="00243641"/>
    <w:rsid w:val="0024415B"/>
    <w:rsid w:val="00244642"/>
    <w:rsid w:val="00244D15"/>
    <w:rsid w:val="00244E1B"/>
    <w:rsid w:val="00245474"/>
    <w:rsid w:val="00245EC9"/>
    <w:rsid w:val="002462FC"/>
    <w:rsid w:val="00246417"/>
    <w:rsid w:val="0024752F"/>
    <w:rsid w:val="00247C3E"/>
    <w:rsid w:val="002500E6"/>
    <w:rsid w:val="00250302"/>
    <w:rsid w:val="002503BA"/>
    <w:rsid w:val="00251005"/>
    <w:rsid w:val="0025173F"/>
    <w:rsid w:val="00251963"/>
    <w:rsid w:val="00251F57"/>
    <w:rsid w:val="0025220D"/>
    <w:rsid w:val="002529E3"/>
    <w:rsid w:val="00252E78"/>
    <w:rsid w:val="0025359A"/>
    <w:rsid w:val="00253D47"/>
    <w:rsid w:val="002545AB"/>
    <w:rsid w:val="00254667"/>
    <w:rsid w:val="0025469B"/>
    <w:rsid w:val="00254F00"/>
    <w:rsid w:val="00255101"/>
    <w:rsid w:val="002553EF"/>
    <w:rsid w:val="0025556C"/>
    <w:rsid w:val="002555A1"/>
    <w:rsid w:val="002557F9"/>
    <w:rsid w:val="002559EF"/>
    <w:rsid w:val="0025637F"/>
    <w:rsid w:val="002567D3"/>
    <w:rsid w:val="00256C8E"/>
    <w:rsid w:val="002572C6"/>
    <w:rsid w:val="00257669"/>
    <w:rsid w:val="00257837"/>
    <w:rsid w:val="002605A7"/>
    <w:rsid w:val="00260847"/>
    <w:rsid w:val="00261653"/>
    <w:rsid w:val="0026189C"/>
    <w:rsid w:val="00262391"/>
    <w:rsid w:val="0026368D"/>
    <w:rsid w:val="00263A27"/>
    <w:rsid w:val="0026424C"/>
    <w:rsid w:val="002642FC"/>
    <w:rsid w:val="0026495C"/>
    <w:rsid w:val="0026544D"/>
    <w:rsid w:val="00266AF5"/>
    <w:rsid w:val="00266D04"/>
    <w:rsid w:val="002674FC"/>
    <w:rsid w:val="00267867"/>
    <w:rsid w:val="002701ED"/>
    <w:rsid w:val="0027076E"/>
    <w:rsid w:val="002715E5"/>
    <w:rsid w:val="00271642"/>
    <w:rsid w:val="00271AF4"/>
    <w:rsid w:val="00272747"/>
    <w:rsid w:val="00272812"/>
    <w:rsid w:val="002734B2"/>
    <w:rsid w:val="00273557"/>
    <w:rsid w:val="00273AF1"/>
    <w:rsid w:val="00273EB1"/>
    <w:rsid w:val="002742C4"/>
    <w:rsid w:val="0027457A"/>
    <w:rsid w:val="0027478C"/>
    <w:rsid w:val="002747FE"/>
    <w:rsid w:val="002749F4"/>
    <w:rsid w:val="00274CEA"/>
    <w:rsid w:val="00276E87"/>
    <w:rsid w:val="00280101"/>
    <w:rsid w:val="00280569"/>
    <w:rsid w:val="0028159B"/>
    <w:rsid w:val="00283343"/>
    <w:rsid w:val="00283475"/>
    <w:rsid w:val="002841B8"/>
    <w:rsid w:val="002843A3"/>
    <w:rsid w:val="00284488"/>
    <w:rsid w:val="00284996"/>
    <w:rsid w:val="00284D15"/>
    <w:rsid w:val="00285044"/>
    <w:rsid w:val="002852B7"/>
    <w:rsid w:val="0028534D"/>
    <w:rsid w:val="00285594"/>
    <w:rsid w:val="00285654"/>
    <w:rsid w:val="00285B0D"/>
    <w:rsid w:val="00285BC7"/>
    <w:rsid w:val="0028636E"/>
    <w:rsid w:val="00286740"/>
    <w:rsid w:val="00286AC4"/>
    <w:rsid w:val="00287F6C"/>
    <w:rsid w:val="00290163"/>
    <w:rsid w:val="002907AE"/>
    <w:rsid w:val="00290876"/>
    <w:rsid w:val="00290C55"/>
    <w:rsid w:val="00290EE6"/>
    <w:rsid w:val="00292884"/>
    <w:rsid w:val="00292971"/>
    <w:rsid w:val="00292EC1"/>
    <w:rsid w:val="00293051"/>
    <w:rsid w:val="0029338A"/>
    <w:rsid w:val="00293D1E"/>
    <w:rsid w:val="00294726"/>
    <w:rsid w:val="0029481A"/>
    <w:rsid w:val="00294B02"/>
    <w:rsid w:val="00294D83"/>
    <w:rsid w:val="0029593D"/>
    <w:rsid w:val="00295C97"/>
    <w:rsid w:val="002961BB"/>
    <w:rsid w:val="002968B1"/>
    <w:rsid w:val="002968FE"/>
    <w:rsid w:val="00296F46"/>
    <w:rsid w:val="0029717D"/>
    <w:rsid w:val="00297C07"/>
    <w:rsid w:val="002A1277"/>
    <w:rsid w:val="002A1772"/>
    <w:rsid w:val="002A29F2"/>
    <w:rsid w:val="002A3C2E"/>
    <w:rsid w:val="002A4706"/>
    <w:rsid w:val="002A4845"/>
    <w:rsid w:val="002A50A9"/>
    <w:rsid w:val="002A5F57"/>
    <w:rsid w:val="002A6CBF"/>
    <w:rsid w:val="002A6D63"/>
    <w:rsid w:val="002A748F"/>
    <w:rsid w:val="002B02E8"/>
    <w:rsid w:val="002B0384"/>
    <w:rsid w:val="002B1377"/>
    <w:rsid w:val="002B14CD"/>
    <w:rsid w:val="002B2304"/>
    <w:rsid w:val="002B25DE"/>
    <w:rsid w:val="002B2668"/>
    <w:rsid w:val="002B2B8E"/>
    <w:rsid w:val="002B2EF8"/>
    <w:rsid w:val="002B3E0D"/>
    <w:rsid w:val="002B3E89"/>
    <w:rsid w:val="002B484C"/>
    <w:rsid w:val="002B4D3E"/>
    <w:rsid w:val="002B5D34"/>
    <w:rsid w:val="002B6133"/>
    <w:rsid w:val="002B695A"/>
    <w:rsid w:val="002B6BB4"/>
    <w:rsid w:val="002B73E2"/>
    <w:rsid w:val="002B7904"/>
    <w:rsid w:val="002B79DA"/>
    <w:rsid w:val="002B7F97"/>
    <w:rsid w:val="002C0110"/>
    <w:rsid w:val="002C096A"/>
    <w:rsid w:val="002C0EAA"/>
    <w:rsid w:val="002C12D6"/>
    <w:rsid w:val="002C18B7"/>
    <w:rsid w:val="002C1B26"/>
    <w:rsid w:val="002C23BF"/>
    <w:rsid w:val="002C24D7"/>
    <w:rsid w:val="002C286D"/>
    <w:rsid w:val="002C2CAC"/>
    <w:rsid w:val="002C2F4E"/>
    <w:rsid w:val="002C30BA"/>
    <w:rsid w:val="002C33B7"/>
    <w:rsid w:val="002C3578"/>
    <w:rsid w:val="002C3ED6"/>
    <w:rsid w:val="002C418B"/>
    <w:rsid w:val="002C4201"/>
    <w:rsid w:val="002C468E"/>
    <w:rsid w:val="002C4D33"/>
    <w:rsid w:val="002C522A"/>
    <w:rsid w:val="002C64F3"/>
    <w:rsid w:val="002C6996"/>
    <w:rsid w:val="002C69F6"/>
    <w:rsid w:val="002C6C5B"/>
    <w:rsid w:val="002C734D"/>
    <w:rsid w:val="002C7537"/>
    <w:rsid w:val="002D00C7"/>
    <w:rsid w:val="002D0399"/>
    <w:rsid w:val="002D0882"/>
    <w:rsid w:val="002D1067"/>
    <w:rsid w:val="002D11C6"/>
    <w:rsid w:val="002D1252"/>
    <w:rsid w:val="002D17E3"/>
    <w:rsid w:val="002D2739"/>
    <w:rsid w:val="002D2B07"/>
    <w:rsid w:val="002D2DC4"/>
    <w:rsid w:val="002D2FA5"/>
    <w:rsid w:val="002D3AE3"/>
    <w:rsid w:val="002D3F6E"/>
    <w:rsid w:val="002D516B"/>
    <w:rsid w:val="002D51C1"/>
    <w:rsid w:val="002D527A"/>
    <w:rsid w:val="002D5811"/>
    <w:rsid w:val="002D6978"/>
    <w:rsid w:val="002D6A0C"/>
    <w:rsid w:val="002D6A9D"/>
    <w:rsid w:val="002D72DE"/>
    <w:rsid w:val="002D7651"/>
    <w:rsid w:val="002D7BAD"/>
    <w:rsid w:val="002D7BFC"/>
    <w:rsid w:val="002E029F"/>
    <w:rsid w:val="002E130D"/>
    <w:rsid w:val="002E1ADD"/>
    <w:rsid w:val="002E1EDB"/>
    <w:rsid w:val="002E20E4"/>
    <w:rsid w:val="002E2255"/>
    <w:rsid w:val="002E2470"/>
    <w:rsid w:val="002E2C27"/>
    <w:rsid w:val="002E2D64"/>
    <w:rsid w:val="002E339C"/>
    <w:rsid w:val="002E4150"/>
    <w:rsid w:val="002E43D0"/>
    <w:rsid w:val="002E49A6"/>
    <w:rsid w:val="002E6EAB"/>
    <w:rsid w:val="002E7F57"/>
    <w:rsid w:val="002F013B"/>
    <w:rsid w:val="002F0511"/>
    <w:rsid w:val="002F094A"/>
    <w:rsid w:val="002F0FD4"/>
    <w:rsid w:val="002F209C"/>
    <w:rsid w:val="002F2AA4"/>
    <w:rsid w:val="002F343A"/>
    <w:rsid w:val="002F37A8"/>
    <w:rsid w:val="002F3E25"/>
    <w:rsid w:val="002F4E32"/>
    <w:rsid w:val="002F5021"/>
    <w:rsid w:val="002F50A5"/>
    <w:rsid w:val="002F5497"/>
    <w:rsid w:val="002F56B6"/>
    <w:rsid w:val="002F6391"/>
    <w:rsid w:val="002F68BA"/>
    <w:rsid w:val="002F6AC3"/>
    <w:rsid w:val="002F6D4A"/>
    <w:rsid w:val="002F748D"/>
    <w:rsid w:val="002F781A"/>
    <w:rsid w:val="002F7EAC"/>
    <w:rsid w:val="00300566"/>
    <w:rsid w:val="003006DA"/>
    <w:rsid w:val="0030071E"/>
    <w:rsid w:val="00300C77"/>
    <w:rsid w:val="00300DE1"/>
    <w:rsid w:val="00300E8B"/>
    <w:rsid w:val="0030108C"/>
    <w:rsid w:val="003015BA"/>
    <w:rsid w:val="00301E6A"/>
    <w:rsid w:val="00302CD2"/>
    <w:rsid w:val="0030300D"/>
    <w:rsid w:val="00303208"/>
    <w:rsid w:val="00303427"/>
    <w:rsid w:val="0030350B"/>
    <w:rsid w:val="00303543"/>
    <w:rsid w:val="00303716"/>
    <w:rsid w:val="00303BB4"/>
    <w:rsid w:val="00304129"/>
    <w:rsid w:val="00304DDA"/>
    <w:rsid w:val="00304EE1"/>
    <w:rsid w:val="00305CF4"/>
    <w:rsid w:val="00305F56"/>
    <w:rsid w:val="00307BFD"/>
    <w:rsid w:val="00307E09"/>
    <w:rsid w:val="00307E4B"/>
    <w:rsid w:val="00307F21"/>
    <w:rsid w:val="00310430"/>
    <w:rsid w:val="003114FA"/>
    <w:rsid w:val="00311BEA"/>
    <w:rsid w:val="00311D79"/>
    <w:rsid w:val="00312B38"/>
    <w:rsid w:val="00313799"/>
    <w:rsid w:val="00313907"/>
    <w:rsid w:val="00313A44"/>
    <w:rsid w:val="00313E37"/>
    <w:rsid w:val="00314D1E"/>
    <w:rsid w:val="00315241"/>
    <w:rsid w:val="003153BB"/>
    <w:rsid w:val="003159D9"/>
    <w:rsid w:val="0031729F"/>
    <w:rsid w:val="003174F8"/>
    <w:rsid w:val="00317FD8"/>
    <w:rsid w:val="00320B2A"/>
    <w:rsid w:val="00320F20"/>
    <w:rsid w:val="00321558"/>
    <w:rsid w:val="00321743"/>
    <w:rsid w:val="00322BE4"/>
    <w:rsid w:val="00322FA8"/>
    <w:rsid w:val="00324DD1"/>
    <w:rsid w:val="00325472"/>
    <w:rsid w:val="00325769"/>
    <w:rsid w:val="00325AC3"/>
    <w:rsid w:val="00326155"/>
    <w:rsid w:val="00326B55"/>
    <w:rsid w:val="00327425"/>
    <w:rsid w:val="00330509"/>
    <w:rsid w:val="003308A9"/>
    <w:rsid w:val="00330C3B"/>
    <w:rsid w:val="0033105F"/>
    <w:rsid w:val="003310A7"/>
    <w:rsid w:val="003311C5"/>
    <w:rsid w:val="00331492"/>
    <w:rsid w:val="00332972"/>
    <w:rsid w:val="0033309B"/>
    <w:rsid w:val="00333789"/>
    <w:rsid w:val="00333B5E"/>
    <w:rsid w:val="0033470F"/>
    <w:rsid w:val="00334766"/>
    <w:rsid w:val="00334E1E"/>
    <w:rsid w:val="00335348"/>
    <w:rsid w:val="00335F25"/>
    <w:rsid w:val="00336631"/>
    <w:rsid w:val="003368A9"/>
    <w:rsid w:val="00337244"/>
    <w:rsid w:val="00337793"/>
    <w:rsid w:val="00337863"/>
    <w:rsid w:val="00337CA7"/>
    <w:rsid w:val="00340786"/>
    <w:rsid w:val="00340CE0"/>
    <w:rsid w:val="003418A7"/>
    <w:rsid w:val="00342205"/>
    <w:rsid w:val="003423EB"/>
    <w:rsid w:val="003429F1"/>
    <w:rsid w:val="00342B71"/>
    <w:rsid w:val="00342EDD"/>
    <w:rsid w:val="0034309B"/>
    <w:rsid w:val="00343737"/>
    <w:rsid w:val="00344353"/>
    <w:rsid w:val="00344B38"/>
    <w:rsid w:val="003459AC"/>
    <w:rsid w:val="003464BD"/>
    <w:rsid w:val="00346E32"/>
    <w:rsid w:val="0034755B"/>
    <w:rsid w:val="00350336"/>
    <w:rsid w:val="00351513"/>
    <w:rsid w:val="00351BD9"/>
    <w:rsid w:val="00352C2B"/>
    <w:rsid w:val="00352F76"/>
    <w:rsid w:val="0035338B"/>
    <w:rsid w:val="003533A4"/>
    <w:rsid w:val="0035368F"/>
    <w:rsid w:val="00354E8D"/>
    <w:rsid w:val="0035525B"/>
    <w:rsid w:val="003554A7"/>
    <w:rsid w:val="00355C2D"/>
    <w:rsid w:val="00356CE8"/>
    <w:rsid w:val="00357974"/>
    <w:rsid w:val="003579F2"/>
    <w:rsid w:val="00360058"/>
    <w:rsid w:val="00360470"/>
    <w:rsid w:val="00360BE6"/>
    <w:rsid w:val="00361524"/>
    <w:rsid w:val="00361EAF"/>
    <w:rsid w:val="00361FC7"/>
    <w:rsid w:val="00362463"/>
    <w:rsid w:val="0036257D"/>
    <w:rsid w:val="00363014"/>
    <w:rsid w:val="0036316C"/>
    <w:rsid w:val="00363315"/>
    <w:rsid w:val="0036333F"/>
    <w:rsid w:val="003636BA"/>
    <w:rsid w:val="00363C1A"/>
    <w:rsid w:val="00363E99"/>
    <w:rsid w:val="00364563"/>
    <w:rsid w:val="00365690"/>
    <w:rsid w:val="0036577B"/>
    <w:rsid w:val="00365959"/>
    <w:rsid w:val="003674D9"/>
    <w:rsid w:val="00367850"/>
    <w:rsid w:val="0037017F"/>
    <w:rsid w:val="00370377"/>
    <w:rsid w:val="00371384"/>
    <w:rsid w:val="00371EEF"/>
    <w:rsid w:val="00372965"/>
    <w:rsid w:val="00372C6F"/>
    <w:rsid w:val="00373E32"/>
    <w:rsid w:val="003748CB"/>
    <w:rsid w:val="00374CB3"/>
    <w:rsid w:val="00375136"/>
    <w:rsid w:val="00375C31"/>
    <w:rsid w:val="00376467"/>
    <w:rsid w:val="00376A38"/>
    <w:rsid w:val="00377E04"/>
    <w:rsid w:val="00377FA0"/>
    <w:rsid w:val="00380F3E"/>
    <w:rsid w:val="00380F49"/>
    <w:rsid w:val="003810AB"/>
    <w:rsid w:val="00381745"/>
    <w:rsid w:val="00381764"/>
    <w:rsid w:val="0038363F"/>
    <w:rsid w:val="00383E33"/>
    <w:rsid w:val="003849E0"/>
    <w:rsid w:val="00384DDA"/>
    <w:rsid w:val="00385055"/>
    <w:rsid w:val="003854E9"/>
    <w:rsid w:val="0038577D"/>
    <w:rsid w:val="00385C8A"/>
    <w:rsid w:val="0038746F"/>
    <w:rsid w:val="00390575"/>
    <w:rsid w:val="003906CD"/>
    <w:rsid w:val="00391125"/>
    <w:rsid w:val="00391F0E"/>
    <w:rsid w:val="003922B1"/>
    <w:rsid w:val="0039296F"/>
    <w:rsid w:val="003930B5"/>
    <w:rsid w:val="0039334A"/>
    <w:rsid w:val="00393468"/>
    <w:rsid w:val="00393585"/>
    <w:rsid w:val="003935B9"/>
    <w:rsid w:val="00394407"/>
    <w:rsid w:val="00395CCF"/>
    <w:rsid w:val="00396338"/>
    <w:rsid w:val="003967B0"/>
    <w:rsid w:val="00396958"/>
    <w:rsid w:val="00396B1E"/>
    <w:rsid w:val="00396BCA"/>
    <w:rsid w:val="00396E17"/>
    <w:rsid w:val="003A06C5"/>
    <w:rsid w:val="003A0890"/>
    <w:rsid w:val="003A0A29"/>
    <w:rsid w:val="003A0C97"/>
    <w:rsid w:val="003A1AF7"/>
    <w:rsid w:val="003A221F"/>
    <w:rsid w:val="003A25F4"/>
    <w:rsid w:val="003A295A"/>
    <w:rsid w:val="003A3159"/>
    <w:rsid w:val="003A39C7"/>
    <w:rsid w:val="003A3AC4"/>
    <w:rsid w:val="003A3D0E"/>
    <w:rsid w:val="003A3D9A"/>
    <w:rsid w:val="003A409D"/>
    <w:rsid w:val="003A4129"/>
    <w:rsid w:val="003A420E"/>
    <w:rsid w:val="003A4801"/>
    <w:rsid w:val="003A48A3"/>
    <w:rsid w:val="003A4AAF"/>
    <w:rsid w:val="003A4B2E"/>
    <w:rsid w:val="003A54BC"/>
    <w:rsid w:val="003A5737"/>
    <w:rsid w:val="003A58AF"/>
    <w:rsid w:val="003A636B"/>
    <w:rsid w:val="003A774B"/>
    <w:rsid w:val="003B019B"/>
    <w:rsid w:val="003B01E4"/>
    <w:rsid w:val="003B088E"/>
    <w:rsid w:val="003B1F25"/>
    <w:rsid w:val="003B2E07"/>
    <w:rsid w:val="003B3951"/>
    <w:rsid w:val="003B3BDF"/>
    <w:rsid w:val="003B44AF"/>
    <w:rsid w:val="003B4787"/>
    <w:rsid w:val="003B4F0C"/>
    <w:rsid w:val="003B50BA"/>
    <w:rsid w:val="003B5452"/>
    <w:rsid w:val="003B5717"/>
    <w:rsid w:val="003B5B2E"/>
    <w:rsid w:val="003B5CAF"/>
    <w:rsid w:val="003B6534"/>
    <w:rsid w:val="003B6D41"/>
    <w:rsid w:val="003B7594"/>
    <w:rsid w:val="003B7749"/>
    <w:rsid w:val="003B7C7B"/>
    <w:rsid w:val="003C0E58"/>
    <w:rsid w:val="003C11A7"/>
    <w:rsid w:val="003C14B1"/>
    <w:rsid w:val="003C1591"/>
    <w:rsid w:val="003C199E"/>
    <w:rsid w:val="003C2280"/>
    <w:rsid w:val="003C2AA7"/>
    <w:rsid w:val="003C2F47"/>
    <w:rsid w:val="003C44D1"/>
    <w:rsid w:val="003C4733"/>
    <w:rsid w:val="003C4F06"/>
    <w:rsid w:val="003C5A14"/>
    <w:rsid w:val="003C5DE7"/>
    <w:rsid w:val="003C6080"/>
    <w:rsid w:val="003C6592"/>
    <w:rsid w:val="003C667C"/>
    <w:rsid w:val="003C71EB"/>
    <w:rsid w:val="003C7651"/>
    <w:rsid w:val="003C7879"/>
    <w:rsid w:val="003C79DB"/>
    <w:rsid w:val="003D067C"/>
    <w:rsid w:val="003D0906"/>
    <w:rsid w:val="003D13D8"/>
    <w:rsid w:val="003D15B7"/>
    <w:rsid w:val="003D15ED"/>
    <w:rsid w:val="003D1608"/>
    <w:rsid w:val="003D2486"/>
    <w:rsid w:val="003D2A35"/>
    <w:rsid w:val="003D321B"/>
    <w:rsid w:val="003D35FA"/>
    <w:rsid w:val="003D39EF"/>
    <w:rsid w:val="003D3CCD"/>
    <w:rsid w:val="003D41BA"/>
    <w:rsid w:val="003D41C7"/>
    <w:rsid w:val="003D420B"/>
    <w:rsid w:val="003D4CC1"/>
    <w:rsid w:val="003D529E"/>
    <w:rsid w:val="003D5F69"/>
    <w:rsid w:val="003D6474"/>
    <w:rsid w:val="003D664F"/>
    <w:rsid w:val="003D6670"/>
    <w:rsid w:val="003D6A09"/>
    <w:rsid w:val="003D6F67"/>
    <w:rsid w:val="003D707F"/>
    <w:rsid w:val="003D71D5"/>
    <w:rsid w:val="003D74EF"/>
    <w:rsid w:val="003D7671"/>
    <w:rsid w:val="003E0CAF"/>
    <w:rsid w:val="003E1122"/>
    <w:rsid w:val="003E12C9"/>
    <w:rsid w:val="003E1604"/>
    <w:rsid w:val="003E1766"/>
    <w:rsid w:val="003E18F5"/>
    <w:rsid w:val="003E1A61"/>
    <w:rsid w:val="003E279B"/>
    <w:rsid w:val="003E2AB7"/>
    <w:rsid w:val="003E2F36"/>
    <w:rsid w:val="003E2FB3"/>
    <w:rsid w:val="003E37A0"/>
    <w:rsid w:val="003E393E"/>
    <w:rsid w:val="003E3CFE"/>
    <w:rsid w:val="003E507E"/>
    <w:rsid w:val="003E5394"/>
    <w:rsid w:val="003E678B"/>
    <w:rsid w:val="003E6D93"/>
    <w:rsid w:val="003E76C6"/>
    <w:rsid w:val="003F0186"/>
    <w:rsid w:val="003F038A"/>
    <w:rsid w:val="003F0555"/>
    <w:rsid w:val="003F09E9"/>
    <w:rsid w:val="003F0D0F"/>
    <w:rsid w:val="003F11D8"/>
    <w:rsid w:val="003F1222"/>
    <w:rsid w:val="003F1AAC"/>
    <w:rsid w:val="003F1C6D"/>
    <w:rsid w:val="003F1D12"/>
    <w:rsid w:val="003F1E3F"/>
    <w:rsid w:val="003F1ECD"/>
    <w:rsid w:val="003F2C12"/>
    <w:rsid w:val="003F3195"/>
    <w:rsid w:val="003F32A8"/>
    <w:rsid w:val="003F3673"/>
    <w:rsid w:val="003F3760"/>
    <w:rsid w:val="003F465F"/>
    <w:rsid w:val="003F47AB"/>
    <w:rsid w:val="003F4B6C"/>
    <w:rsid w:val="003F4DAF"/>
    <w:rsid w:val="003F5A39"/>
    <w:rsid w:val="003F6039"/>
    <w:rsid w:val="003F67D7"/>
    <w:rsid w:val="003F7144"/>
    <w:rsid w:val="003F74EF"/>
    <w:rsid w:val="00400758"/>
    <w:rsid w:val="00400A77"/>
    <w:rsid w:val="00401262"/>
    <w:rsid w:val="00401B6E"/>
    <w:rsid w:val="0040291B"/>
    <w:rsid w:val="00404123"/>
    <w:rsid w:val="00404B91"/>
    <w:rsid w:val="00404BB2"/>
    <w:rsid w:val="0040541F"/>
    <w:rsid w:val="00405424"/>
    <w:rsid w:val="00405C8A"/>
    <w:rsid w:val="00406889"/>
    <w:rsid w:val="00406DEE"/>
    <w:rsid w:val="004072DC"/>
    <w:rsid w:val="00407C6C"/>
    <w:rsid w:val="00410081"/>
    <w:rsid w:val="00410E96"/>
    <w:rsid w:val="00411C1D"/>
    <w:rsid w:val="0041242B"/>
    <w:rsid w:val="00412A04"/>
    <w:rsid w:val="00412C22"/>
    <w:rsid w:val="00412DB7"/>
    <w:rsid w:val="00412E59"/>
    <w:rsid w:val="0041307A"/>
    <w:rsid w:val="00413397"/>
    <w:rsid w:val="00413D02"/>
    <w:rsid w:val="00413DF7"/>
    <w:rsid w:val="004141EF"/>
    <w:rsid w:val="004150A8"/>
    <w:rsid w:val="004158E1"/>
    <w:rsid w:val="00415B20"/>
    <w:rsid w:val="00417E9B"/>
    <w:rsid w:val="00417ECD"/>
    <w:rsid w:val="00420473"/>
    <w:rsid w:val="00420694"/>
    <w:rsid w:val="0042081E"/>
    <w:rsid w:val="00420E0C"/>
    <w:rsid w:val="00421989"/>
    <w:rsid w:val="00421C02"/>
    <w:rsid w:val="00422163"/>
    <w:rsid w:val="00422B00"/>
    <w:rsid w:val="0042331A"/>
    <w:rsid w:val="00423479"/>
    <w:rsid w:val="00424B49"/>
    <w:rsid w:val="00424BC0"/>
    <w:rsid w:val="00424CD9"/>
    <w:rsid w:val="00424EE9"/>
    <w:rsid w:val="00425A9F"/>
    <w:rsid w:val="00425C82"/>
    <w:rsid w:val="004267BD"/>
    <w:rsid w:val="00426D00"/>
    <w:rsid w:val="00427071"/>
    <w:rsid w:val="0043000A"/>
    <w:rsid w:val="0043033C"/>
    <w:rsid w:val="00430A35"/>
    <w:rsid w:val="004318F3"/>
    <w:rsid w:val="0043232C"/>
    <w:rsid w:val="00432C14"/>
    <w:rsid w:val="00432D80"/>
    <w:rsid w:val="00432EC8"/>
    <w:rsid w:val="00433ACC"/>
    <w:rsid w:val="004341E9"/>
    <w:rsid w:val="00434323"/>
    <w:rsid w:val="00434720"/>
    <w:rsid w:val="00434C76"/>
    <w:rsid w:val="00434CA4"/>
    <w:rsid w:val="00436AF2"/>
    <w:rsid w:val="00436D44"/>
    <w:rsid w:val="004379FE"/>
    <w:rsid w:val="00440C48"/>
    <w:rsid w:val="00440E3B"/>
    <w:rsid w:val="0044111B"/>
    <w:rsid w:val="00441E7C"/>
    <w:rsid w:val="00441F13"/>
    <w:rsid w:val="00441FF4"/>
    <w:rsid w:val="004437DC"/>
    <w:rsid w:val="004443AB"/>
    <w:rsid w:val="00444624"/>
    <w:rsid w:val="0044486A"/>
    <w:rsid w:val="004448DB"/>
    <w:rsid w:val="004450D0"/>
    <w:rsid w:val="00445D17"/>
    <w:rsid w:val="00445E64"/>
    <w:rsid w:val="00445F93"/>
    <w:rsid w:val="0044645D"/>
    <w:rsid w:val="00446746"/>
    <w:rsid w:val="004473E1"/>
    <w:rsid w:val="00447435"/>
    <w:rsid w:val="00447467"/>
    <w:rsid w:val="00447BE4"/>
    <w:rsid w:val="00447CC7"/>
    <w:rsid w:val="0045342A"/>
    <w:rsid w:val="004539F3"/>
    <w:rsid w:val="00453E52"/>
    <w:rsid w:val="00454F37"/>
    <w:rsid w:val="004551C5"/>
    <w:rsid w:val="0045536D"/>
    <w:rsid w:val="0045563A"/>
    <w:rsid w:val="00455C0B"/>
    <w:rsid w:val="00460A2F"/>
    <w:rsid w:val="00460DFC"/>
    <w:rsid w:val="00462344"/>
    <w:rsid w:val="00462792"/>
    <w:rsid w:val="00462EC3"/>
    <w:rsid w:val="00463713"/>
    <w:rsid w:val="00463AAA"/>
    <w:rsid w:val="00464A54"/>
    <w:rsid w:val="00464F15"/>
    <w:rsid w:val="00465E1C"/>
    <w:rsid w:val="00466917"/>
    <w:rsid w:val="00466A68"/>
    <w:rsid w:val="00466E1F"/>
    <w:rsid w:val="00467A07"/>
    <w:rsid w:val="00467DDF"/>
    <w:rsid w:val="00467E6F"/>
    <w:rsid w:val="0047087C"/>
    <w:rsid w:val="004709CF"/>
    <w:rsid w:val="00470D72"/>
    <w:rsid w:val="004712BA"/>
    <w:rsid w:val="004715DB"/>
    <w:rsid w:val="004717FC"/>
    <w:rsid w:val="00472D57"/>
    <w:rsid w:val="0047319E"/>
    <w:rsid w:val="0047343D"/>
    <w:rsid w:val="004737AB"/>
    <w:rsid w:val="00474861"/>
    <w:rsid w:val="004756A4"/>
    <w:rsid w:val="004757DD"/>
    <w:rsid w:val="00475A00"/>
    <w:rsid w:val="00475DE8"/>
    <w:rsid w:val="0047620B"/>
    <w:rsid w:val="004765C1"/>
    <w:rsid w:val="00476839"/>
    <w:rsid w:val="00477156"/>
    <w:rsid w:val="00477886"/>
    <w:rsid w:val="00480314"/>
    <w:rsid w:val="00480836"/>
    <w:rsid w:val="0048093C"/>
    <w:rsid w:val="00480C6C"/>
    <w:rsid w:val="004815E1"/>
    <w:rsid w:val="00481755"/>
    <w:rsid w:val="00483EBC"/>
    <w:rsid w:val="004842F9"/>
    <w:rsid w:val="004847E2"/>
    <w:rsid w:val="0048633C"/>
    <w:rsid w:val="00487507"/>
    <w:rsid w:val="00487663"/>
    <w:rsid w:val="004877CE"/>
    <w:rsid w:val="00487AA1"/>
    <w:rsid w:val="00487D87"/>
    <w:rsid w:val="0049089F"/>
    <w:rsid w:val="0049099D"/>
    <w:rsid w:val="00490E4A"/>
    <w:rsid w:val="004913DD"/>
    <w:rsid w:val="00491AF2"/>
    <w:rsid w:val="00491FB0"/>
    <w:rsid w:val="00492077"/>
    <w:rsid w:val="004920BE"/>
    <w:rsid w:val="004923E3"/>
    <w:rsid w:val="004930C9"/>
    <w:rsid w:val="00493F13"/>
    <w:rsid w:val="00495607"/>
    <w:rsid w:val="00495774"/>
    <w:rsid w:val="00495F75"/>
    <w:rsid w:val="00496151"/>
    <w:rsid w:val="00496379"/>
    <w:rsid w:val="004969CB"/>
    <w:rsid w:val="00496CB2"/>
    <w:rsid w:val="00497689"/>
    <w:rsid w:val="00497B8B"/>
    <w:rsid w:val="004A0111"/>
    <w:rsid w:val="004A0A58"/>
    <w:rsid w:val="004A0FBA"/>
    <w:rsid w:val="004A1B28"/>
    <w:rsid w:val="004A1C37"/>
    <w:rsid w:val="004A20D4"/>
    <w:rsid w:val="004A2BF9"/>
    <w:rsid w:val="004A2C3A"/>
    <w:rsid w:val="004A39B3"/>
    <w:rsid w:val="004A3A16"/>
    <w:rsid w:val="004A443B"/>
    <w:rsid w:val="004A5BC6"/>
    <w:rsid w:val="004A6087"/>
    <w:rsid w:val="004A67DF"/>
    <w:rsid w:val="004A73AA"/>
    <w:rsid w:val="004B014F"/>
    <w:rsid w:val="004B0A99"/>
    <w:rsid w:val="004B14D9"/>
    <w:rsid w:val="004B2450"/>
    <w:rsid w:val="004B32FC"/>
    <w:rsid w:val="004B3CEC"/>
    <w:rsid w:val="004B4071"/>
    <w:rsid w:val="004B41CA"/>
    <w:rsid w:val="004B41D3"/>
    <w:rsid w:val="004B4228"/>
    <w:rsid w:val="004B4A3D"/>
    <w:rsid w:val="004B5ADF"/>
    <w:rsid w:val="004B5DC2"/>
    <w:rsid w:val="004B66C4"/>
    <w:rsid w:val="004B67FA"/>
    <w:rsid w:val="004B702C"/>
    <w:rsid w:val="004B7411"/>
    <w:rsid w:val="004B7497"/>
    <w:rsid w:val="004B74DA"/>
    <w:rsid w:val="004C009E"/>
    <w:rsid w:val="004C0413"/>
    <w:rsid w:val="004C0CA4"/>
    <w:rsid w:val="004C1CED"/>
    <w:rsid w:val="004C2707"/>
    <w:rsid w:val="004C43B3"/>
    <w:rsid w:val="004C458A"/>
    <w:rsid w:val="004C4C7A"/>
    <w:rsid w:val="004C4E08"/>
    <w:rsid w:val="004C4F65"/>
    <w:rsid w:val="004C5DDA"/>
    <w:rsid w:val="004C5F4E"/>
    <w:rsid w:val="004C60F8"/>
    <w:rsid w:val="004C665A"/>
    <w:rsid w:val="004C6876"/>
    <w:rsid w:val="004C6BE5"/>
    <w:rsid w:val="004C6EDF"/>
    <w:rsid w:val="004C6F08"/>
    <w:rsid w:val="004C75F6"/>
    <w:rsid w:val="004D0314"/>
    <w:rsid w:val="004D0661"/>
    <w:rsid w:val="004D0892"/>
    <w:rsid w:val="004D1AD3"/>
    <w:rsid w:val="004D311F"/>
    <w:rsid w:val="004D4B5F"/>
    <w:rsid w:val="004D4EF0"/>
    <w:rsid w:val="004D54BD"/>
    <w:rsid w:val="004D6524"/>
    <w:rsid w:val="004D68BE"/>
    <w:rsid w:val="004D6BD9"/>
    <w:rsid w:val="004D789A"/>
    <w:rsid w:val="004E0134"/>
    <w:rsid w:val="004E0695"/>
    <w:rsid w:val="004E081A"/>
    <w:rsid w:val="004E09DC"/>
    <w:rsid w:val="004E1731"/>
    <w:rsid w:val="004E1D47"/>
    <w:rsid w:val="004E20A2"/>
    <w:rsid w:val="004E2A05"/>
    <w:rsid w:val="004E31BA"/>
    <w:rsid w:val="004E3966"/>
    <w:rsid w:val="004E3AFB"/>
    <w:rsid w:val="004E3D62"/>
    <w:rsid w:val="004E43D2"/>
    <w:rsid w:val="004E45A3"/>
    <w:rsid w:val="004E46DA"/>
    <w:rsid w:val="004E59B2"/>
    <w:rsid w:val="004E5E56"/>
    <w:rsid w:val="004E604F"/>
    <w:rsid w:val="004E73E8"/>
    <w:rsid w:val="004E74EC"/>
    <w:rsid w:val="004E7BF8"/>
    <w:rsid w:val="004E7DEA"/>
    <w:rsid w:val="004F0914"/>
    <w:rsid w:val="004F141F"/>
    <w:rsid w:val="004F2000"/>
    <w:rsid w:val="004F24FB"/>
    <w:rsid w:val="004F2F68"/>
    <w:rsid w:val="004F3176"/>
    <w:rsid w:val="004F4735"/>
    <w:rsid w:val="004F5B6B"/>
    <w:rsid w:val="004F5B94"/>
    <w:rsid w:val="004F63B9"/>
    <w:rsid w:val="004F709F"/>
    <w:rsid w:val="004F767C"/>
    <w:rsid w:val="005001BC"/>
    <w:rsid w:val="00500DD6"/>
    <w:rsid w:val="00501648"/>
    <w:rsid w:val="00501C83"/>
    <w:rsid w:val="0050271A"/>
    <w:rsid w:val="00502E71"/>
    <w:rsid w:val="00503A88"/>
    <w:rsid w:val="005042BC"/>
    <w:rsid w:val="00504C80"/>
    <w:rsid w:val="005061E5"/>
    <w:rsid w:val="005062B4"/>
    <w:rsid w:val="00506F08"/>
    <w:rsid w:val="005074FD"/>
    <w:rsid w:val="005104CF"/>
    <w:rsid w:val="00510E7E"/>
    <w:rsid w:val="00510F27"/>
    <w:rsid w:val="00511EE9"/>
    <w:rsid w:val="00513759"/>
    <w:rsid w:val="00514262"/>
    <w:rsid w:val="00514327"/>
    <w:rsid w:val="00514D54"/>
    <w:rsid w:val="005159CD"/>
    <w:rsid w:val="00515C6E"/>
    <w:rsid w:val="005160E2"/>
    <w:rsid w:val="005161AD"/>
    <w:rsid w:val="00516BBA"/>
    <w:rsid w:val="00516CBD"/>
    <w:rsid w:val="00516EB9"/>
    <w:rsid w:val="0051752A"/>
    <w:rsid w:val="00517B9C"/>
    <w:rsid w:val="00517F39"/>
    <w:rsid w:val="00517FBF"/>
    <w:rsid w:val="005211AC"/>
    <w:rsid w:val="00521371"/>
    <w:rsid w:val="00521617"/>
    <w:rsid w:val="00522945"/>
    <w:rsid w:val="005239B7"/>
    <w:rsid w:val="00523BD2"/>
    <w:rsid w:val="00523CBE"/>
    <w:rsid w:val="00523FAF"/>
    <w:rsid w:val="00524146"/>
    <w:rsid w:val="00524EA5"/>
    <w:rsid w:val="00525257"/>
    <w:rsid w:val="00525B14"/>
    <w:rsid w:val="00525B7E"/>
    <w:rsid w:val="00525D95"/>
    <w:rsid w:val="005260E6"/>
    <w:rsid w:val="0052633F"/>
    <w:rsid w:val="00526B74"/>
    <w:rsid w:val="00526DB4"/>
    <w:rsid w:val="00527901"/>
    <w:rsid w:val="00527AC5"/>
    <w:rsid w:val="00527EDB"/>
    <w:rsid w:val="00530B61"/>
    <w:rsid w:val="00530FDE"/>
    <w:rsid w:val="0053152B"/>
    <w:rsid w:val="00531CF0"/>
    <w:rsid w:val="00531E6A"/>
    <w:rsid w:val="0053288C"/>
    <w:rsid w:val="00532B67"/>
    <w:rsid w:val="00532B8D"/>
    <w:rsid w:val="00532E70"/>
    <w:rsid w:val="005342A1"/>
    <w:rsid w:val="0053580A"/>
    <w:rsid w:val="0053590B"/>
    <w:rsid w:val="00535D0B"/>
    <w:rsid w:val="00536119"/>
    <w:rsid w:val="00536390"/>
    <w:rsid w:val="0053646A"/>
    <w:rsid w:val="0053674A"/>
    <w:rsid w:val="00536EB8"/>
    <w:rsid w:val="0053709A"/>
    <w:rsid w:val="00537407"/>
    <w:rsid w:val="00540B24"/>
    <w:rsid w:val="005415DB"/>
    <w:rsid w:val="005416BB"/>
    <w:rsid w:val="005418E2"/>
    <w:rsid w:val="00541A87"/>
    <w:rsid w:val="00541CC7"/>
    <w:rsid w:val="00541D3C"/>
    <w:rsid w:val="00542445"/>
    <w:rsid w:val="00542F7E"/>
    <w:rsid w:val="00543B10"/>
    <w:rsid w:val="00544D59"/>
    <w:rsid w:val="00545235"/>
    <w:rsid w:val="005452F5"/>
    <w:rsid w:val="00546054"/>
    <w:rsid w:val="005466DD"/>
    <w:rsid w:val="00546765"/>
    <w:rsid w:val="00546871"/>
    <w:rsid w:val="00547879"/>
    <w:rsid w:val="005479F1"/>
    <w:rsid w:val="00547B59"/>
    <w:rsid w:val="00547D22"/>
    <w:rsid w:val="00547E58"/>
    <w:rsid w:val="00550288"/>
    <w:rsid w:val="005509A3"/>
    <w:rsid w:val="005517D2"/>
    <w:rsid w:val="00551840"/>
    <w:rsid w:val="0055185A"/>
    <w:rsid w:val="00551D2E"/>
    <w:rsid w:val="005523C9"/>
    <w:rsid w:val="00552767"/>
    <w:rsid w:val="005529F1"/>
    <w:rsid w:val="00552DD1"/>
    <w:rsid w:val="00553279"/>
    <w:rsid w:val="0055332C"/>
    <w:rsid w:val="005536CF"/>
    <w:rsid w:val="0055394B"/>
    <w:rsid w:val="00553C93"/>
    <w:rsid w:val="00553FA6"/>
    <w:rsid w:val="0055409C"/>
    <w:rsid w:val="00554124"/>
    <w:rsid w:val="0055413D"/>
    <w:rsid w:val="005544B3"/>
    <w:rsid w:val="00554E40"/>
    <w:rsid w:val="00554F97"/>
    <w:rsid w:val="005554C2"/>
    <w:rsid w:val="00555ED2"/>
    <w:rsid w:val="00556C0A"/>
    <w:rsid w:val="0055775F"/>
    <w:rsid w:val="00557E0E"/>
    <w:rsid w:val="00557E48"/>
    <w:rsid w:val="00560BE0"/>
    <w:rsid w:val="00562A60"/>
    <w:rsid w:val="00562AE4"/>
    <w:rsid w:val="00564889"/>
    <w:rsid w:val="00564B27"/>
    <w:rsid w:val="00564C9B"/>
    <w:rsid w:val="00564DE4"/>
    <w:rsid w:val="00564FA7"/>
    <w:rsid w:val="00565386"/>
    <w:rsid w:val="00565A20"/>
    <w:rsid w:val="005661AF"/>
    <w:rsid w:val="0056691D"/>
    <w:rsid w:val="005679D6"/>
    <w:rsid w:val="00567D22"/>
    <w:rsid w:val="00567FC1"/>
    <w:rsid w:val="0057038E"/>
    <w:rsid w:val="00570A13"/>
    <w:rsid w:val="00570B11"/>
    <w:rsid w:val="005710C0"/>
    <w:rsid w:val="005718EC"/>
    <w:rsid w:val="00572297"/>
    <w:rsid w:val="00572482"/>
    <w:rsid w:val="00572C96"/>
    <w:rsid w:val="005730AB"/>
    <w:rsid w:val="005730C8"/>
    <w:rsid w:val="00573521"/>
    <w:rsid w:val="00573774"/>
    <w:rsid w:val="00573EAB"/>
    <w:rsid w:val="005748E5"/>
    <w:rsid w:val="005750C2"/>
    <w:rsid w:val="0057515A"/>
    <w:rsid w:val="00575BC1"/>
    <w:rsid w:val="00576B32"/>
    <w:rsid w:val="00576DE4"/>
    <w:rsid w:val="00577129"/>
    <w:rsid w:val="0058007A"/>
    <w:rsid w:val="00580CD8"/>
    <w:rsid w:val="005828F1"/>
    <w:rsid w:val="00582E34"/>
    <w:rsid w:val="005830F2"/>
    <w:rsid w:val="00583830"/>
    <w:rsid w:val="005843CD"/>
    <w:rsid w:val="00585ABE"/>
    <w:rsid w:val="00585DEE"/>
    <w:rsid w:val="00585E2D"/>
    <w:rsid w:val="00585F7D"/>
    <w:rsid w:val="00586239"/>
    <w:rsid w:val="0058649D"/>
    <w:rsid w:val="005868D0"/>
    <w:rsid w:val="005875DB"/>
    <w:rsid w:val="00587993"/>
    <w:rsid w:val="00587B01"/>
    <w:rsid w:val="005904BE"/>
    <w:rsid w:val="0059095A"/>
    <w:rsid w:val="00590BA5"/>
    <w:rsid w:val="00590F0B"/>
    <w:rsid w:val="005914A0"/>
    <w:rsid w:val="00591C47"/>
    <w:rsid w:val="005923EC"/>
    <w:rsid w:val="005928C5"/>
    <w:rsid w:val="00593297"/>
    <w:rsid w:val="005932E4"/>
    <w:rsid w:val="0059381A"/>
    <w:rsid w:val="00594879"/>
    <w:rsid w:val="00594E6B"/>
    <w:rsid w:val="00595AB2"/>
    <w:rsid w:val="00596854"/>
    <w:rsid w:val="005978A0"/>
    <w:rsid w:val="00597A30"/>
    <w:rsid w:val="00597A74"/>
    <w:rsid w:val="00597E5D"/>
    <w:rsid w:val="00597FA3"/>
    <w:rsid w:val="005A0129"/>
    <w:rsid w:val="005A0EFB"/>
    <w:rsid w:val="005A1084"/>
    <w:rsid w:val="005A1885"/>
    <w:rsid w:val="005A21BC"/>
    <w:rsid w:val="005A2571"/>
    <w:rsid w:val="005A3963"/>
    <w:rsid w:val="005A3CA5"/>
    <w:rsid w:val="005A4CCA"/>
    <w:rsid w:val="005A5A32"/>
    <w:rsid w:val="005A5C9B"/>
    <w:rsid w:val="005A6AE8"/>
    <w:rsid w:val="005A7007"/>
    <w:rsid w:val="005A72D7"/>
    <w:rsid w:val="005A73B5"/>
    <w:rsid w:val="005A7911"/>
    <w:rsid w:val="005A7BE4"/>
    <w:rsid w:val="005B035A"/>
    <w:rsid w:val="005B0468"/>
    <w:rsid w:val="005B0BCF"/>
    <w:rsid w:val="005B197F"/>
    <w:rsid w:val="005B1C5D"/>
    <w:rsid w:val="005B2B3E"/>
    <w:rsid w:val="005B32E1"/>
    <w:rsid w:val="005B3401"/>
    <w:rsid w:val="005B3653"/>
    <w:rsid w:val="005B372F"/>
    <w:rsid w:val="005B4024"/>
    <w:rsid w:val="005B4374"/>
    <w:rsid w:val="005B4559"/>
    <w:rsid w:val="005B4689"/>
    <w:rsid w:val="005B5237"/>
    <w:rsid w:val="005B54E9"/>
    <w:rsid w:val="005B5773"/>
    <w:rsid w:val="005B6604"/>
    <w:rsid w:val="005B77C7"/>
    <w:rsid w:val="005B79D1"/>
    <w:rsid w:val="005B7B29"/>
    <w:rsid w:val="005B7BF4"/>
    <w:rsid w:val="005C0F0A"/>
    <w:rsid w:val="005C109C"/>
    <w:rsid w:val="005C1D42"/>
    <w:rsid w:val="005C2439"/>
    <w:rsid w:val="005C2746"/>
    <w:rsid w:val="005C2B9F"/>
    <w:rsid w:val="005C3FEE"/>
    <w:rsid w:val="005C4796"/>
    <w:rsid w:val="005C4E3B"/>
    <w:rsid w:val="005C5AE4"/>
    <w:rsid w:val="005C5C59"/>
    <w:rsid w:val="005C62AA"/>
    <w:rsid w:val="005C71AA"/>
    <w:rsid w:val="005C73FB"/>
    <w:rsid w:val="005C7C55"/>
    <w:rsid w:val="005C7FB2"/>
    <w:rsid w:val="005D0A1C"/>
    <w:rsid w:val="005D114B"/>
    <w:rsid w:val="005D2250"/>
    <w:rsid w:val="005D30DB"/>
    <w:rsid w:val="005D3640"/>
    <w:rsid w:val="005D3712"/>
    <w:rsid w:val="005D3747"/>
    <w:rsid w:val="005D4088"/>
    <w:rsid w:val="005D43CB"/>
    <w:rsid w:val="005D4951"/>
    <w:rsid w:val="005D6209"/>
    <w:rsid w:val="005D6312"/>
    <w:rsid w:val="005D707E"/>
    <w:rsid w:val="005D7574"/>
    <w:rsid w:val="005D7867"/>
    <w:rsid w:val="005D7EEA"/>
    <w:rsid w:val="005D7F1C"/>
    <w:rsid w:val="005E0989"/>
    <w:rsid w:val="005E0A3F"/>
    <w:rsid w:val="005E0F68"/>
    <w:rsid w:val="005E0FB0"/>
    <w:rsid w:val="005E12E0"/>
    <w:rsid w:val="005E1717"/>
    <w:rsid w:val="005E1A9F"/>
    <w:rsid w:val="005E1E33"/>
    <w:rsid w:val="005E2907"/>
    <w:rsid w:val="005E3057"/>
    <w:rsid w:val="005E3375"/>
    <w:rsid w:val="005E3957"/>
    <w:rsid w:val="005E3EA2"/>
    <w:rsid w:val="005E50DF"/>
    <w:rsid w:val="005E53B2"/>
    <w:rsid w:val="005E5D7B"/>
    <w:rsid w:val="005E6143"/>
    <w:rsid w:val="005E618A"/>
    <w:rsid w:val="005E6419"/>
    <w:rsid w:val="005E670D"/>
    <w:rsid w:val="005E6B8D"/>
    <w:rsid w:val="005E6F26"/>
    <w:rsid w:val="005E7BE5"/>
    <w:rsid w:val="005E7E1E"/>
    <w:rsid w:val="005F0E48"/>
    <w:rsid w:val="005F1247"/>
    <w:rsid w:val="005F12B4"/>
    <w:rsid w:val="005F32FC"/>
    <w:rsid w:val="005F374A"/>
    <w:rsid w:val="005F3781"/>
    <w:rsid w:val="005F3C83"/>
    <w:rsid w:val="005F4066"/>
    <w:rsid w:val="005F4EE3"/>
    <w:rsid w:val="005F5068"/>
    <w:rsid w:val="005F585D"/>
    <w:rsid w:val="005F5AD1"/>
    <w:rsid w:val="005F5F63"/>
    <w:rsid w:val="005F6133"/>
    <w:rsid w:val="005F65F9"/>
    <w:rsid w:val="005F661F"/>
    <w:rsid w:val="005F6D10"/>
    <w:rsid w:val="005F6E29"/>
    <w:rsid w:val="005F7245"/>
    <w:rsid w:val="005F770F"/>
    <w:rsid w:val="006004E2"/>
    <w:rsid w:val="006006E5"/>
    <w:rsid w:val="00600C91"/>
    <w:rsid w:val="00601B4A"/>
    <w:rsid w:val="00601C10"/>
    <w:rsid w:val="00601C6D"/>
    <w:rsid w:val="00601E59"/>
    <w:rsid w:val="00601F31"/>
    <w:rsid w:val="006029EF"/>
    <w:rsid w:val="006031AD"/>
    <w:rsid w:val="00603524"/>
    <w:rsid w:val="00603C32"/>
    <w:rsid w:val="006040AB"/>
    <w:rsid w:val="00604699"/>
    <w:rsid w:val="0060482E"/>
    <w:rsid w:val="00605D5C"/>
    <w:rsid w:val="00606840"/>
    <w:rsid w:val="006073CE"/>
    <w:rsid w:val="0060764B"/>
    <w:rsid w:val="00607658"/>
    <w:rsid w:val="00610BF6"/>
    <w:rsid w:val="00610E61"/>
    <w:rsid w:val="00611140"/>
    <w:rsid w:val="006114AE"/>
    <w:rsid w:val="006124DD"/>
    <w:rsid w:val="006127AB"/>
    <w:rsid w:val="0061290D"/>
    <w:rsid w:val="00612DE7"/>
    <w:rsid w:val="006130EE"/>
    <w:rsid w:val="006131CE"/>
    <w:rsid w:val="006138C0"/>
    <w:rsid w:val="00613EF5"/>
    <w:rsid w:val="0061441E"/>
    <w:rsid w:val="006147E5"/>
    <w:rsid w:val="006149DB"/>
    <w:rsid w:val="00615836"/>
    <w:rsid w:val="00615D2C"/>
    <w:rsid w:val="00615DFD"/>
    <w:rsid w:val="00616104"/>
    <w:rsid w:val="00616AAF"/>
    <w:rsid w:val="006173C1"/>
    <w:rsid w:val="00617584"/>
    <w:rsid w:val="006176D9"/>
    <w:rsid w:val="00617B03"/>
    <w:rsid w:val="00617E61"/>
    <w:rsid w:val="0062059F"/>
    <w:rsid w:val="00620605"/>
    <w:rsid w:val="006211CD"/>
    <w:rsid w:val="00621247"/>
    <w:rsid w:val="006226A2"/>
    <w:rsid w:val="00622E44"/>
    <w:rsid w:val="00623453"/>
    <w:rsid w:val="00623C52"/>
    <w:rsid w:val="00624692"/>
    <w:rsid w:val="00624A65"/>
    <w:rsid w:val="00625445"/>
    <w:rsid w:val="0062612B"/>
    <w:rsid w:val="006267F7"/>
    <w:rsid w:val="0062731C"/>
    <w:rsid w:val="006311F1"/>
    <w:rsid w:val="006314C2"/>
    <w:rsid w:val="00631843"/>
    <w:rsid w:val="0063209E"/>
    <w:rsid w:val="006320EC"/>
    <w:rsid w:val="0063233E"/>
    <w:rsid w:val="006326C5"/>
    <w:rsid w:val="00632A6F"/>
    <w:rsid w:val="00632AF3"/>
    <w:rsid w:val="00633754"/>
    <w:rsid w:val="0063379F"/>
    <w:rsid w:val="0063405A"/>
    <w:rsid w:val="00635AD4"/>
    <w:rsid w:val="006365DE"/>
    <w:rsid w:val="00636B48"/>
    <w:rsid w:val="00636CD7"/>
    <w:rsid w:val="00636CE4"/>
    <w:rsid w:val="0063794E"/>
    <w:rsid w:val="00637AF9"/>
    <w:rsid w:val="00640454"/>
    <w:rsid w:val="00641023"/>
    <w:rsid w:val="00641482"/>
    <w:rsid w:val="00641A26"/>
    <w:rsid w:val="0064274E"/>
    <w:rsid w:val="00642AF6"/>
    <w:rsid w:val="00642EEF"/>
    <w:rsid w:val="0064302D"/>
    <w:rsid w:val="006438FE"/>
    <w:rsid w:val="006459AD"/>
    <w:rsid w:val="006464AC"/>
    <w:rsid w:val="006469C2"/>
    <w:rsid w:val="00646A3A"/>
    <w:rsid w:val="00646F69"/>
    <w:rsid w:val="00647013"/>
    <w:rsid w:val="00647C7E"/>
    <w:rsid w:val="006502ED"/>
    <w:rsid w:val="006512F0"/>
    <w:rsid w:val="0065135E"/>
    <w:rsid w:val="00651ADF"/>
    <w:rsid w:val="00651FFE"/>
    <w:rsid w:val="00652861"/>
    <w:rsid w:val="00652B05"/>
    <w:rsid w:val="00652BF0"/>
    <w:rsid w:val="00652F60"/>
    <w:rsid w:val="00652FB4"/>
    <w:rsid w:val="00653F1C"/>
    <w:rsid w:val="0065423E"/>
    <w:rsid w:val="0065462C"/>
    <w:rsid w:val="00654637"/>
    <w:rsid w:val="0065486D"/>
    <w:rsid w:val="00654CF7"/>
    <w:rsid w:val="00654D82"/>
    <w:rsid w:val="0065544D"/>
    <w:rsid w:val="006554E5"/>
    <w:rsid w:val="00656AE0"/>
    <w:rsid w:val="00656BDE"/>
    <w:rsid w:val="00656DBF"/>
    <w:rsid w:val="00657160"/>
    <w:rsid w:val="006573F5"/>
    <w:rsid w:val="006577FA"/>
    <w:rsid w:val="006600B7"/>
    <w:rsid w:val="00660629"/>
    <w:rsid w:val="006608F8"/>
    <w:rsid w:val="00660C93"/>
    <w:rsid w:val="00661B4C"/>
    <w:rsid w:val="00662282"/>
    <w:rsid w:val="006628B2"/>
    <w:rsid w:val="006629AB"/>
    <w:rsid w:val="0066339D"/>
    <w:rsid w:val="006637F7"/>
    <w:rsid w:val="00664474"/>
    <w:rsid w:val="0066448E"/>
    <w:rsid w:val="00664D95"/>
    <w:rsid w:val="00664FC5"/>
    <w:rsid w:val="006658F0"/>
    <w:rsid w:val="00665F0E"/>
    <w:rsid w:val="006662BA"/>
    <w:rsid w:val="00666332"/>
    <w:rsid w:val="0066642F"/>
    <w:rsid w:val="006666FD"/>
    <w:rsid w:val="00666D23"/>
    <w:rsid w:val="00666DDF"/>
    <w:rsid w:val="006673D9"/>
    <w:rsid w:val="00667D51"/>
    <w:rsid w:val="0067032B"/>
    <w:rsid w:val="00670491"/>
    <w:rsid w:val="00670F01"/>
    <w:rsid w:val="00670F08"/>
    <w:rsid w:val="00671112"/>
    <w:rsid w:val="006711CD"/>
    <w:rsid w:val="00671274"/>
    <w:rsid w:val="006714CE"/>
    <w:rsid w:val="00672021"/>
    <w:rsid w:val="00672626"/>
    <w:rsid w:val="00672876"/>
    <w:rsid w:val="00672DD5"/>
    <w:rsid w:val="00672F78"/>
    <w:rsid w:val="0067339C"/>
    <w:rsid w:val="006734BE"/>
    <w:rsid w:val="00673D32"/>
    <w:rsid w:val="00675366"/>
    <w:rsid w:val="006759CB"/>
    <w:rsid w:val="00675D32"/>
    <w:rsid w:val="00675E99"/>
    <w:rsid w:val="006760DF"/>
    <w:rsid w:val="0067611A"/>
    <w:rsid w:val="0067642C"/>
    <w:rsid w:val="00676A74"/>
    <w:rsid w:val="00676B58"/>
    <w:rsid w:val="00676D5D"/>
    <w:rsid w:val="00680148"/>
    <w:rsid w:val="00680F5B"/>
    <w:rsid w:val="00681EF2"/>
    <w:rsid w:val="00682164"/>
    <w:rsid w:val="006821A3"/>
    <w:rsid w:val="0068230C"/>
    <w:rsid w:val="00682BA5"/>
    <w:rsid w:val="00682FA5"/>
    <w:rsid w:val="0068316A"/>
    <w:rsid w:val="00683417"/>
    <w:rsid w:val="006834D8"/>
    <w:rsid w:val="00683CCE"/>
    <w:rsid w:val="00683DEA"/>
    <w:rsid w:val="00683F05"/>
    <w:rsid w:val="006843EE"/>
    <w:rsid w:val="00684B43"/>
    <w:rsid w:val="00684D70"/>
    <w:rsid w:val="006858F0"/>
    <w:rsid w:val="00685937"/>
    <w:rsid w:val="0068612F"/>
    <w:rsid w:val="00687B93"/>
    <w:rsid w:val="00687E4C"/>
    <w:rsid w:val="00690A36"/>
    <w:rsid w:val="00690C85"/>
    <w:rsid w:val="0069106C"/>
    <w:rsid w:val="00691433"/>
    <w:rsid w:val="006914E7"/>
    <w:rsid w:val="006916AA"/>
    <w:rsid w:val="00691D6E"/>
    <w:rsid w:val="00692436"/>
    <w:rsid w:val="00692D16"/>
    <w:rsid w:val="00692FF7"/>
    <w:rsid w:val="006930BD"/>
    <w:rsid w:val="0069324C"/>
    <w:rsid w:val="00694761"/>
    <w:rsid w:val="00694840"/>
    <w:rsid w:val="0069509B"/>
    <w:rsid w:val="006951E2"/>
    <w:rsid w:val="006960FC"/>
    <w:rsid w:val="006964C6"/>
    <w:rsid w:val="00696852"/>
    <w:rsid w:val="00697379"/>
    <w:rsid w:val="006976BB"/>
    <w:rsid w:val="006978ED"/>
    <w:rsid w:val="00697AF3"/>
    <w:rsid w:val="006A015F"/>
    <w:rsid w:val="006A114F"/>
    <w:rsid w:val="006A184C"/>
    <w:rsid w:val="006A2C78"/>
    <w:rsid w:val="006A3481"/>
    <w:rsid w:val="006A433E"/>
    <w:rsid w:val="006A4F97"/>
    <w:rsid w:val="006A52EE"/>
    <w:rsid w:val="006A6E5D"/>
    <w:rsid w:val="006B1105"/>
    <w:rsid w:val="006B1158"/>
    <w:rsid w:val="006B15AD"/>
    <w:rsid w:val="006B3446"/>
    <w:rsid w:val="006B3921"/>
    <w:rsid w:val="006B4618"/>
    <w:rsid w:val="006B4AFB"/>
    <w:rsid w:val="006B4F01"/>
    <w:rsid w:val="006B58A1"/>
    <w:rsid w:val="006B74D3"/>
    <w:rsid w:val="006B7810"/>
    <w:rsid w:val="006B7845"/>
    <w:rsid w:val="006B7867"/>
    <w:rsid w:val="006B79C8"/>
    <w:rsid w:val="006C0638"/>
    <w:rsid w:val="006C09E4"/>
    <w:rsid w:val="006C0ED8"/>
    <w:rsid w:val="006C102B"/>
    <w:rsid w:val="006C1144"/>
    <w:rsid w:val="006C1185"/>
    <w:rsid w:val="006C16F4"/>
    <w:rsid w:val="006C1B63"/>
    <w:rsid w:val="006C1F97"/>
    <w:rsid w:val="006C2872"/>
    <w:rsid w:val="006C3DDE"/>
    <w:rsid w:val="006C57B2"/>
    <w:rsid w:val="006C7528"/>
    <w:rsid w:val="006C77ED"/>
    <w:rsid w:val="006C783F"/>
    <w:rsid w:val="006C798A"/>
    <w:rsid w:val="006C7A48"/>
    <w:rsid w:val="006C7E40"/>
    <w:rsid w:val="006D05DB"/>
    <w:rsid w:val="006D179A"/>
    <w:rsid w:val="006D21E9"/>
    <w:rsid w:val="006D22F6"/>
    <w:rsid w:val="006D311A"/>
    <w:rsid w:val="006D341F"/>
    <w:rsid w:val="006D37AF"/>
    <w:rsid w:val="006D3A1F"/>
    <w:rsid w:val="006D4403"/>
    <w:rsid w:val="006D4720"/>
    <w:rsid w:val="006D4DF2"/>
    <w:rsid w:val="006D4FA9"/>
    <w:rsid w:val="006D5019"/>
    <w:rsid w:val="006D501E"/>
    <w:rsid w:val="006D5274"/>
    <w:rsid w:val="006D5B26"/>
    <w:rsid w:val="006D6D49"/>
    <w:rsid w:val="006D6DB7"/>
    <w:rsid w:val="006D70E0"/>
    <w:rsid w:val="006E0F71"/>
    <w:rsid w:val="006E13AE"/>
    <w:rsid w:val="006E3498"/>
    <w:rsid w:val="006E3D8A"/>
    <w:rsid w:val="006E3DFD"/>
    <w:rsid w:val="006E4199"/>
    <w:rsid w:val="006E43F6"/>
    <w:rsid w:val="006E450A"/>
    <w:rsid w:val="006E4CA2"/>
    <w:rsid w:val="006E4D80"/>
    <w:rsid w:val="006E4E3E"/>
    <w:rsid w:val="006E532B"/>
    <w:rsid w:val="006E5464"/>
    <w:rsid w:val="006E5EE8"/>
    <w:rsid w:val="006E718A"/>
    <w:rsid w:val="006E71F1"/>
    <w:rsid w:val="006E78A2"/>
    <w:rsid w:val="006E7D1E"/>
    <w:rsid w:val="006F0766"/>
    <w:rsid w:val="006F0B1D"/>
    <w:rsid w:val="006F195F"/>
    <w:rsid w:val="006F1CEE"/>
    <w:rsid w:val="006F1F96"/>
    <w:rsid w:val="006F21DA"/>
    <w:rsid w:val="006F2870"/>
    <w:rsid w:val="006F28CA"/>
    <w:rsid w:val="006F2D05"/>
    <w:rsid w:val="006F2DD0"/>
    <w:rsid w:val="006F3AED"/>
    <w:rsid w:val="006F5A43"/>
    <w:rsid w:val="006F618D"/>
    <w:rsid w:val="006F61DF"/>
    <w:rsid w:val="006F650B"/>
    <w:rsid w:val="006F67AF"/>
    <w:rsid w:val="006F69CF"/>
    <w:rsid w:val="006F70EF"/>
    <w:rsid w:val="007014EC"/>
    <w:rsid w:val="007019F6"/>
    <w:rsid w:val="00701F04"/>
    <w:rsid w:val="0070267F"/>
    <w:rsid w:val="00702CAB"/>
    <w:rsid w:val="00703521"/>
    <w:rsid w:val="00704407"/>
    <w:rsid w:val="00704FF7"/>
    <w:rsid w:val="00705558"/>
    <w:rsid w:val="00705B86"/>
    <w:rsid w:val="00705E27"/>
    <w:rsid w:val="00705F5D"/>
    <w:rsid w:val="007064D2"/>
    <w:rsid w:val="00706583"/>
    <w:rsid w:val="007103DD"/>
    <w:rsid w:val="007107DF"/>
    <w:rsid w:val="007108F1"/>
    <w:rsid w:val="00710FA6"/>
    <w:rsid w:val="00710FBC"/>
    <w:rsid w:val="007110D8"/>
    <w:rsid w:val="00711275"/>
    <w:rsid w:val="007125DE"/>
    <w:rsid w:val="00712750"/>
    <w:rsid w:val="00712967"/>
    <w:rsid w:val="0071312F"/>
    <w:rsid w:val="0071384D"/>
    <w:rsid w:val="00713A49"/>
    <w:rsid w:val="00713A52"/>
    <w:rsid w:val="00713B49"/>
    <w:rsid w:val="00713CCA"/>
    <w:rsid w:val="00713ED4"/>
    <w:rsid w:val="00713EF8"/>
    <w:rsid w:val="00714741"/>
    <w:rsid w:val="00714C37"/>
    <w:rsid w:val="00714C8E"/>
    <w:rsid w:val="007156A6"/>
    <w:rsid w:val="0071574D"/>
    <w:rsid w:val="00715DF7"/>
    <w:rsid w:val="00716567"/>
    <w:rsid w:val="00716847"/>
    <w:rsid w:val="00716F33"/>
    <w:rsid w:val="0071747F"/>
    <w:rsid w:val="00717754"/>
    <w:rsid w:val="00717B7A"/>
    <w:rsid w:val="00720BDD"/>
    <w:rsid w:val="0072101F"/>
    <w:rsid w:val="007212CB"/>
    <w:rsid w:val="0072166A"/>
    <w:rsid w:val="00721EE9"/>
    <w:rsid w:val="0072369E"/>
    <w:rsid w:val="007238A9"/>
    <w:rsid w:val="007240EE"/>
    <w:rsid w:val="007243FC"/>
    <w:rsid w:val="00724512"/>
    <w:rsid w:val="00724D36"/>
    <w:rsid w:val="00724E80"/>
    <w:rsid w:val="00724F48"/>
    <w:rsid w:val="00724FD0"/>
    <w:rsid w:val="00725400"/>
    <w:rsid w:val="0072604F"/>
    <w:rsid w:val="0072742F"/>
    <w:rsid w:val="0073154D"/>
    <w:rsid w:val="0073162B"/>
    <w:rsid w:val="00731913"/>
    <w:rsid w:val="00731DB2"/>
    <w:rsid w:val="007321D1"/>
    <w:rsid w:val="0073226A"/>
    <w:rsid w:val="007326BB"/>
    <w:rsid w:val="00732B3D"/>
    <w:rsid w:val="0073326B"/>
    <w:rsid w:val="007337B9"/>
    <w:rsid w:val="007337E1"/>
    <w:rsid w:val="00733F24"/>
    <w:rsid w:val="00733FA3"/>
    <w:rsid w:val="007342AC"/>
    <w:rsid w:val="00734F0F"/>
    <w:rsid w:val="00736743"/>
    <w:rsid w:val="007373FD"/>
    <w:rsid w:val="00737A7A"/>
    <w:rsid w:val="00737FE5"/>
    <w:rsid w:val="007401D9"/>
    <w:rsid w:val="00740460"/>
    <w:rsid w:val="0074051D"/>
    <w:rsid w:val="00740F24"/>
    <w:rsid w:val="00741B45"/>
    <w:rsid w:val="00741E2F"/>
    <w:rsid w:val="00741EC9"/>
    <w:rsid w:val="0074246F"/>
    <w:rsid w:val="007429ED"/>
    <w:rsid w:val="00742A67"/>
    <w:rsid w:val="00743DC3"/>
    <w:rsid w:val="00743F94"/>
    <w:rsid w:val="00744E39"/>
    <w:rsid w:val="007450A7"/>
    <w:rsid w:val="00745692"/>
    <w:rsid w:val="007464FB"/>
    <w:rsid w:val="00747741"/>
    <w:rsid w:val="00747D86"/>
    <w:rsid w:val="007501D2"/>
    <w:rsid w:val="00750C6B"/>
    <w:rsid w:val="00750DF9"/>
    <w:rsid w:val="00752066"/>
    <w:rsid w:val="007529C8"/>
    <w:rsid w:val="00753B48"/>
    <w:rsid w:val="00753EB2"/>
    <w:rsid w:val="0075428E"/>
    <w:rsid w:val="007542B0"/>
    <w:rsid w:val="00754429"/>
    <w:rsid w:val="00754D0A"/>
    <w:rsid w:val="007553B1"/>
    <w:rsid w:val="0075719C"/>
    <w:rsid w:val="007577CE"/>
    <w:rsid w:val="007579E1"/>
    <w:rsid w:val="00757B91"/>
    <w:rsid w:val="007607CE"/>
    <w:rsid w:val="00760AD3"/>
    <w:rsid w:val="00760DF0"/>
    <w:rsid w:val="00760F06"/>
    <w:rsid w:val="007615E4"/>
    <w:rsid w:val="0076186B"/>
    <w:rsid w:val="00761E0D"/>
    <w:rsid w:val="00762133"/>
    <w:rsid w:val="0076230C"/>
    <w:rsid w:val="00762DD6"/>
    <w:rsid w:val="00762FDB"/>
    <w:rsid w:val="00763648"/>
    <w:rsid w:val="00763A62"/>
    <w:rsid w:val="007640A5"/>
    <w:rsid w:val="007648E6"/>
    <w:rsid w:val="00765995"/>
    <w:rsid w:val="00765E01"/>
    <w:rsid w:val="00765E98"/>
    <w:rsid w:val="00766416"/>
    <w:rsid w:val="00766422"/>
    <w:rsid w:val="00766B23"/>
    <w:rsid w:val="00766B5F"/>
    <w:rsid w:val="00766CA5"/>
    <w:rsid w:val="00767D7B"/>
    <w:rsid w:val="00767F3E"/>
    <w:rsid w:val="00770427"/>
    <w:rsid w:val="0077045B"/>
    <w:rsid w:val="00770887"/>
    <w:rsid w:val="007708DC"/>
    <w:rsid w:val="007727F1"/>
    <w:rsid w:val="00772CAA"/>
    <w:rsid w:val="007730CC"/>
    <w:rsid w:val="00773772"/>
    <w:rsid w:val="00774716"/>
    <w:rsid w:val="0077484D"/>
    <w:rsid w:val="00774DE7"/>
    <w:rsid w:val="007752F8"/>
    <w:rsid w:val="0077538D"/>
    <w:rsid w:val="007759E0"/>
    <w:rsid w:val="00775AF6"/>
    <w:rsid w:val="00776409"/>
    <w:rsid w:val="007766A4"/>
    <w:rsid w:val="00776784"/>
    <w:rsid w:val="007767C5"/>
    <w:rsid w:val="007770A7"/>
    <w:rsid w:val="0077785A"/>
    <w:rsid w:val="00777CBA"/>
    <w:rsid w:val="00777E17"/>
    <w:rsid w:val="00780319"/>
    <w:rsid w:val="007803D0"/>
    <w:rsid w:val="00780ABC"/>
    <w:rsid w:val="00780EBC"/>
    <w:rsid w:val="007815EB"/>
    <w:rsid w:val="00781659"/>
    <w:rsid w:val="0078251F"/>
    <w:rsid w:val="00783029"/>
    <w:rsid w:val="007830F5"/>
    <w:rsid w:val="007832BD"/>
    <w:rsid w:val="0078359E"/>
    <w:rsid w:val="007837AB"/>
    <w:rsid w:val="007841D6"/>
    <w:rsid w:val="00784246"/>
    <w:rsid w:val="00784D35"/>
    <w:rsid w:val="00784E3D"/>
    <w:rsid w:val="00786515"/>
    <w:rsid w:val="007866E5"/>
    <w:rsid w:val="00786C75"/>
    <w:rsid w:val="0078727E"/>
    <w:rsid w:val="00790251"/>
    <w:rsid w:val="00790C39"/>
    <w:rsid w:val="0079130C"/>
    <w:rsid w:val="007919BA"/>
    <w:rsid w:val="00792348"/>
    <w:rsid w:val="00792BF4"/>
    <w:rsid w:val="00792F8D"/>
    <w:rsid w:val="00793281"/>
    <w:rsid w:val="007950CE"/>
    <w:rsid w:val="007957B6"/>
    <w:rsid w:val="0079645D"/>
    <w:rsid w:val="00796BDD"/>
    <w:rsid w:val="00796C8D"/>
    <w:rsid w:val="00797250"/>
    <w:rsid w:val="007977B0"/>
    <w:rsid w:val="00797848"/>
    <w:rsid w:val="00797A1F"/>
    <w:rsid w:val="007A10A3"/>
    <w:rsid w:val="007A126F"/>
    <w:rsid w:val="007A12F9"/>
    <w:rsid w:val="007A1642"/>
    <w:rsid w:val="007A2B3E"/>
    <w:rsid w:val="007A2C8D"/>
    <w:rsid w:val="007A3260"/>
    <w:rsid w:val="007A3376"/>
    <w:rsid w:val="007A34B2"/>
    <w:rsid w:val="007A4208"/>
    <w:rsid w:val="007A445E"/>
    <w:rsid w:val="007A4EC2"/>
    <w:rsid w:val="007A50B2"/>
    <w:rsid w:val="007A62E3"/>
    <w:rsid w:val="007A6B37"/>
    <w:rsid w:val="007A7191"/>
    <w:rsid w:val="007A7205"/>
    <w:rsid w:val="007A7314"/>
    <w:rsid w:val="007A78EA"/>
    <w:rsid w:val="007A7B2D"/>
    <w:rsid w:val="007B008F"/>
    <w:rsid w:val="007B04F5"/>
    <w:rsid w:val="007B2B70"/>
    <w:rsid w:val="007B3315"/>
    <w:rsid w:val="007B3549"/>
    <w:rsid w:val="007B4A82"/>
    <w:rsid w:val="007B52A7"/>
    <w:rsid w:val="007B626B"/>
    <w:rsid w:val="007B64AA"/>
    <w:rsid w:val="007B7198"/>
    <w:rsid w:val="007B7302"/>
    <w:rsid w:val="007B7497"/>
    <w:rsid w:val="007B7F69"/>
    <w:rsid w:val="007C1321"/>
    <w:rsid w:val="007C1790"/>
    <w:rsid w:val="007C18CB"/>
    <w:rsid w:val="007C2392"/>
    <w:rsid w:val="007C24EE"/>
    <w:rsid w:val="007C2A25"/>
    <w:rsid w:val="007C3B8A"/>
    <w:rsid w:val="007C4568"/>
    <w:rsid w:val="007C4657"/>
    <w:rsid w:val="007C5910"/>
    <w:rsid w:val="007C5951"/>
    <w:rsid w:val="007C59F7"/>
    <w:rsid w:val="007C6DCF"/>
    <w:rsid w:val="007C6E65"/>
    <w:rsid w:val="007C7AB4"/>
    <w:rsid w:val="007C7BB9"/>
    <w:rsid w:val="007C7C33"/>
    <w:rsid w:val="007C7F1F"/>
    <w:rsid w:val="007D0044"/>
    <w:rsid w:val="007D06F4"/>
    <w:rsid w:val="007D2455"/>
    <w:rsid w:val="007D32B4"/>
    <w:rsid w:val="007D3AF7"/>
    <w:rsid w:val="007D434E"/>
    <w:rsid w:val="007D4BA8"/>
    <w:rsid w:val="007D4C28"/>
    <w:rsid w:val="007D4DEE"/>
    <w:rsid w:val="007D569F"/>
    <w:rsid w:val="007D59BC"/>
    <w:rsid w:val="007D5B05"/>
    <w:rsid w:val="007D6F9A"/>
    <w:rsid w:val="007D716C"/>
    <w:rsid w:val="007D79D5"/>
    <w:rsid w:val="007E00E9"/>
    <w:rsid w:val="007E04BF"/>
    <w:rsid w:val="007E0DBB"/>
    <w:rsid w:val="007E0F97"/>
    <w:rsid w:val="007E100E"/>
    <w:rsid w:val="007E127A"/>
    <w:rsid w:val="007E1753"/>
    <w:rsid w:val="007E1904"/>
    <w:rsid w:val="007E1DD6"/>
    <w:rsid w:val="007E1F9F"/>
    <w:rsid w:val="007E2108"/>
    <w:rsid w:val="007E28C4"/>
    <w:rsid w:val="007E2B0A"/>
    <w:rsid w:val="007E2F61"/>
    <w:rsid w:val="007E301B"/>
    <w:rsid w:val="007E323F"/>
    <w:rsid w:val="007E35E4"/>
    <w:rsid w:val="007E376B"/>
    <w:rsid w:val="007E3A9E"/>
    <w:rsid w:val="007E3CBB"/>
    <w:rsid w:val="007E413C"/>
    <w:rsid w:val="007E41FB"/>
    <w:rsid w:val="007E4B68"/>
    <w:rsid w:val="007E4CC0"/>
    <w:rsid w:val="007E4DD3"/>
    <w:rsid w:val="007E59CA"/>
    <w:rsid w:val="007E75C0"/>
    <w:rsid w:val="007E786E"/>
    <w:rsid w:val="007F07F3"/>
    <w:rsid w:val="007F1203"/>
    <w:rsid w:val="007F178D"/>
    <w:rsid w:val="007F1A1F"/>
    <w:rsid w:val="007F1D41"/>
    <w:rsid w:val="007F1F03"/>
    <w:rsid w:val="007F2625"/>
    <w:rsid w:val="007F35DF"/>
    <w:rsid w:val="007F406A"/>
    <w:rsid w:val="007F45BC"/>
    <w:rsid w:val="007F5114"/>
    <w:rsid w:val="007F54DE"/>
    <w:rsid w:val="007F59DB"/>
    <w:rsid w:val="007F65F9"/>
    <w:rsid w:val="007F65FF"/>
    <w:rsid w:val="007F68B7"/>
    <w:rsid w:val="007F6C61"/>
    <w:rsid w:val="007F78D5"/>
    <w:rsid w:val="007F7902"/>
    <w:rsid w:val="0080016B"/>
    <w:rsid w:val="00801265"/>
    <w:rsid w:val="00801843"/>
    <w:rsid w:val="00801A73"/>
    <w:rsid w:val="008024AE"/>
    <w:rsid w:val="0080396D"/>
    <w:rsid w:val="00803CEE"/>
    <w:rsid w:val="00803F6D"/>
    <w:rsid w:val="00803F9C"/>
    <w:rsid w:val="00805103"/>
    <w:rsid w:val="00805E97"/>
    <w:rsid w:val="00805FD3"/>
    <w:rsid w:val="00806131"/>
    <w:rsid w:val="008069A6"/>
    <w:rsid w:val="00807560"/>
    <w:rsid w:val="00810546"/>
    <w:rsid w:val="00810653"/>
    <w:rsid w:val="00810935"/>
    <w:rsid w:val="00810D7B"/>
    <w:rsid w:val="00810DC0"/>
    <w:rsid w:val="00810E3C"/>
    <w:rsid w:val="00811441"/>
    <w:rsid w:val="00812597"/>
    <w:rsid w:val="008138E4"/>
    <w:rsid w:val="00813BBB"/>
    <w:rsid w:val="00815198"/>
    <w:rsid w:val="00815CEC"/>
    <w:rsid w:val="008168A5"/>
    <w:rsid w:val="00816D7C"/>
    <w:rsid w:val="00817036"/>
    <w:rsid w:val="008170E9"/>
    <w:rsid w:val="00817C76"/>
    <w:rsid w:val="0082004A"/>
    <w:rsid w:val="008202F3"/>
    <w:rsid w:val="0082037E"/>
    <w:rsid w:val="0082079C"/>
    <w:rsid w:val="00820962"/>
    <w:rsid w:val="00820BE6"/>
    <w:rsid w:val="008210D3"/>
    <w:rsid w:val="008213AF"/>
    <w:rsid w:val="00821444"/>
    <w:rsid w:val="008215B9"/>
    <w:rsid w:val="008216BC"/>
    <w:rsid w:val="00821747"/>
    <w:rsid w:val="00821B89"/>
    <w:rsid w:val="0082235A"/>
    <w:rsid w:val="00822EDB"/>
    <w:rsid w:val="008234DD"/>
    <w:rsid w:val="00823976"/>
    <w:rsid w:val="00823C82"/>
    <w:rsid w:val="00823E43"/>
    <w:rsid w:val="00823F07"/>
    <w:rsid w:val="008241D8"/>
    <w:rsid w:val="008242AC"/>
    <w:rsid w:val="0082454A"/>
    <w:rsid w:val="00830423"/>
    <w:rsid w:val="008306CF"/>
    <w:rsid w:val="0083082F"/>
    <w:rsid w:val="00830D15"/>
    <w:rsid w:val="008314D1"/>
    <w:rsid w:val="0083168F"/>
    <w:rsid w:val="00831EED"/>
    <w:rsid w:val="00832056"/>
    <w:rsid w:val="008326E7"/>
    <w:rsid w:val="008328E3"/>
    <w:rsid w:val="00834161"/>
    <w:rsid w:val="00834BCD"/>
    <w:rsid w:val="00834FB3"/>
    <w:rsid w:val="008354B6"/>
    <w:rsid w:val="00835CC8"/>
    <w:rsid w:val="00835DBD"/>
    <w:rsid w:val="0083601A"/>
    <w:rsid w:val="008360FD"/>
    <w:rsid w:val="00836272"/>
    <w:rsid w:val="00836D0F"/>
    <w:rsid w:val="00836FD7"/>
    <w:rsid w:val="008374FC"/>
    <w:rsid w:val="00837BEB"/>
    <w:rsid w:val="00840198"/>
    <w:rsid w:val="00840441"/>
    <w:rsid w:val="008405E0"/>
    <w:rsid w:val="00840BC5"/>
    <w:rsid w:val="00840C3C"/>
    <w:rsid w:val="00840F7F"/>
    <w:rsid w:val="00841150"/>
    <w:rsid w:val="0084199D"/>
    <w:rsid w:val="00841D85"/>
    <w:rsid w:val="00842771"/>
    <w:rsid w:val="00842ECE"/>
    <w:rsid w:val="00843CBA"/>
    <w:rsid w:val="00843EAC"/>
    <w:rsid w:val="008442D2"/>
    <w:rsid w:val="00844697"/>
    <w:rsid w:val="00844985"/>
    <w:rsid w:val="00844A9F"/>
    <w:rsid w:val="00844C3E"/>
    <w:rsid w:val="00844E9A"/>
    <w:rsid w:val="00845606"/>
    <w:rsid w:val="0084568A"/>
    <w:rsid w:val="00845BDB"/>
    <w:rsid w:val="008461C8"/>
    <w:rsid w:val="00846F2F"/>
    <w:rsid w:val="00847E54"/>
    <w:rsid w:val="00850E23"/>
    <w:rsid w:val="008519BC"/>
    <w:rsid w:val="00852638"/>
    <w:rsid w:val="00852D5C"/>
    <w:rsid w:val="00852F05"/>
    <w:rsid w:val="00853090"/>
    <w:rsid w:val="00853329"/>
    <w:rsid w:val="00853509"/>
    <w:rsid w:val="00853AF2"/>
    <w:rsid w:val="0085437C"/>
    <w:rsid w:val="00854CCB"/>
    <w:rsid w:val="0085580B"/>
    <w:rsid w:val="00855C1C"/>
    <w:rsid w:val="00856595"/>
    <w:rsid w:val="00856D8A"/>
    <w:rsid w:val="008575D8"/>
    <w:rsid w:val="00860156"/>
    <w:rsid w:val="00860F01"/>
    <w:rsid w:val="00860F36"/>
    <w:rsid w:val="008612A8"/>
    <w:rsid w:val="008625C0"/>
    <w:rsid w:val="00862B00"/>
    <w:rsid w:val="00863FA2"/>
    <w:rsid w:val="00864BAC"/>
    <w:rsid w:val="00865223"/>
    <w:rsid w:val="00865264"/>
    <w:rsid w:val="0086592B"/>
    <w:rsid w:val="00866142"/>
    <w:rsid w:val="00866972"/>
    <w:rsid w:val="00867198"/>
    <w:rsid w:val="0086751D"/>
    <w:rsid w:val="00867903"/>
    <w:rsid w:val="00867EE1"/>
    <w:rsid w:val="00870084"/>
    <w:rsid w:val="00870264"/>
    <w:rsid w:val="00870638"/>
    <w:rsid w:val="00870888"/>
    <w:rsid w:val="00870FA2"/>
    <w:rsid w:val="00871528"/>
    <w:rsid w:val="0087193A"/>
    <w:rsid w:val="00871B9F"/>
    <w:rsid w:val="008722DD"/>
    <w:rsid w:val="00872D49"/>
    <w:rsid w:val="008734C1"/>
    <w:rsid w:val="00874500"/>
    <w:rsid w:val="0087488B"/>
    <w:rsid w:val="00874B1E"/>
    <w:rsid w:val="00874BAA"/>
    <w:rsid w:val="008755C0"/>
    <w:rsid w:val="00875CB8"/>
    <w:rsid w:val="00876987"/>
    <w:rsid w:val="008777AC"/>
    <w:rsid w:val="00877A4E"/>
    <w:rsid w:val="00880721"/>
    <w:rsid w:val="00880CE6"/>
    <w:rsid w:val="00881DA0"/>
    <w:rsid w:val="00882DCD"/>
    <w:rsid w:val="00883399"/>
    <w:rsid w:val="0088368D"/>
    <w:rsid w:val="00883A3D"/>
    <w:rsid w:val="00883A43"/>
    <w:rsid w:val="00884394"/>
    <w:rsid w:val="0088475C"/>
    <w:rsid w:val="00885C38"/>
    <w:rsid w:val="00886D08"/>
    <w:rsid w:val="00887157"/>
    <w:rsid w:val="00887FDF"/>
    <w:rsid w:val="008900E0"/>
    <w:rsid w:val="00891B29"/>
    <w:rsid w:val="0089296D"/>
    <w:rsid w:val="008930F0"/>
    <w:rsid w:val="00893D2C"/>
    <w:rsid w:val="00893F6D"/>
    <w:rsid w:val="008947AD"/>
    <w:rsid w:val="00896D37"/>
    <w:rsid w:val="00897432"/>
    <w:rsid w:val="00897E53"/>
    <w:rsid w:val="008A0A31"/>
    <w:rsid w:val="008A0DA6"/>
    <w:rsid w:val="008A1FA2"/>
    <w:rsid w:val="008A3859"/>
    <w:rsid w:val="008A443A"/>
    <w:rsid w:val="008A4C9D"/>
    <w:rsid w:val="008A4FD2"/>
    <w:rsid w:val="008A50AB"/>
    <w:rsid w:val="008A5701"/>
    <w:rsid w:val="008A5DC0"/>
    <w:rsid w:val="008A680B"/>
    <w:rsid w:val="008A68CE"/>
    <w:rsid w:val="008A7090"/>
    <w:rsid w:val="008B0629"/>
    <w:rsid w:val="008B07BC"/>
    <w:rsid w:val="008B1242"/>
    <w:rsid w:val="008B165E"/>
    <w:rsid w:val="008B19FD"/>
    <w:rsid w:val="008B21AD"/>
    <w:rsid w:val="008B2795"/>
    <w:rsid w:val="008B2B3C"/>
    <w:rsid w:val="008B327D"/>
    <w:rsid w:val="008B3C26"/>
    <w:rsid w:val="008B4705"/>
    <w:rsid w:val="008B5D4B"/>
    <w:rsid w:val="008B70EF"/>
    <w:rsid w:val="008B7125"/>
    <w:rsid w:val="008C01D1"/>
    <w:rsid w:val="008C022C"/>
    <w:rsid w:val="008C0A2D"/>
    <w:rsid w:val="008C1673"/>
    <w:rsid w:val="008C298A"/>
    <w:rsid w:val="008C30EB"/>
    <w:rsid w:val="008C326F"/>
    <w:rsid w:val="008C34B2"/>
    <w:rsid w:val="008C3788"/>
    <w:rsid w:val="008C3C39"/>
    <w:rsid w:val="008C48B0"/>
    <w:rsid w:val="008C541E"/>
    <w:rsid w:val="008C635B"/>
    <w:rsid w:val="008C6976"/>
    <w:rsid w:val="008C6B7D"/>
    <w:rsid w:val="008C7074"/>
    <w:rsid w:val="008C73F7"/>
    <w:rsid w:val="008C750D"/>
    <w:rsid w:val="008C7604"/>
    <w:rsid w:val="008D006B"/>
    <w:rsid w:val="008D0DFE"/>
    <w:rsid w:val="008D1112"/>
    <w:rsid w:val="008D14BB"/>
    <w:rsid w:val="008D176B"/>
    <w:rsid w:val="008D196A"/>
    <w:rsid w:val="008D1A01"/>
    <w:rsid w:val="008D1F29"/>
    <w:rsid w:val="008D2835"/>
    <w:rsid w:val="008D3DDA"/>
    <w:rsid w:val="008D3FF4"/>
    <w:rsid w:val="008D4678"/>
    <w:rsid w:val="008D4831"/>
    <w:rsid w:val="008D48C6"/>
    <w:rsid w:val="008D53C2"/>
    <w:rsid w:val="008D53D8"/>
    <w:rsid w:val="008D5C9C"/>
    <w:rsid w:val="008D60BA"/>
    <w:rsid w:val="008D653F"/>
    <w:rsid w:val="008D73C3"/>
    <w:rsid w:val="008D73D2"/>
    <w:rsid w:val="008D78AA"/>
    <w:rsid w:val="008E09C3"/>
    <w:rsid w:val="008E0ACA"/>
    <w:rsid w:val="008E1192"/>
    <w:rsid w:val="008E13BD"/>
    <w:rsid w:val="008E182C"/>
    <w:rsid w:val="008E20FF"/>
    <w:rsid w:val="008E272A"/>
    <w:rsid w:val="008E3521"/>
    <w:rsid w:val="008E3A2F"/>
    <w:rsid w:val="008E3AED"/>
    <w:rsid w:val="008E3DEE"/>
    <w:rsid w:val="008E4C75"/>
    <w:rsid w:val="008E513C"/>
    <w:rsid w:val="008E56F4"/>
    <w:rsid w:val="008E601B"/>
    <w:rsid w:val="008E7038"/>
    <w:rsid w:val="008E72DC"/>
    <w:rsid w:val="008F0D04"/>
    <w:rsid w:val="008F0DD5"/>
    <w:rsid w:val="008F1581"/>
    <w:rsid w:val="008F1D9B"/>
    <w:rsid w:val="008F1EA8"/>
    <w:rsid w:val="008F1EB5"/>
    <w:rsid w:val="008F209F"/>
    <w:rsid w:val="008F21BA"/>
    <w:rsid w:val="008F2B13"/>
    <w:rsid w:val="008F2C55"/>
    <w:rsid w:val="008F3684"/>
    <w:rsid w:val="008F4D07"/>
    <w:rsid w:val="008F4F70"/>
    <w:rsid w:val="008F57F6"/>
    <w:rsid w:val="008F5D76"/>
    <w:rsid w:val="008F5E15"/>
    <w:rsid w:val="008F62EF"/>
    <w:rsid w:val="008F6D8B"/>
    <w:rsid w:val="009006AA"/>
    <w:rsid w:val="00900FC5"/>
    <w:rsid w:val="009012FB"/>
    <w:rsid w:val="009020AD"/>
    <w:rsid w:val="0090215C"/>
    <w:rsid w:val="0090310A"/>
    <w:rsid w:val="009039C4"/>
    <w:rsid w:val="00903E34"/>
    <w:rsid w:val="009041DE"/>
    <w:rsid w:val="0090512C"/>
    <w:rsid w:val="009051FB"/>
    <w:rsid w:val="0090557C"/>
    <w:rsid w:val="0090562D"/>
    <w:rsid w:val="0090641A"/>
    <w:rsid w:val="0090737E"/>
    <w:rsid w:val="00907E49"/>
    <w:rsid w:val="009108E1"/>
    <w:rsid w:val="00910E84"/>
    <w:rsid w:val="00911411"/>
    <w:rsid w:val="00911B8C"/>
    <w:rsid w:val="00911DA0"/>
    <w:rsid w:val="0091226D"/>
    <w:rsid w:val="0091353B"/>
    <w:rsid w:val="0091366D"/>
    <w:rsid w:val="00913C26"/>
    <w:rsid w:val="00914399"/>
    <w:rsid w:val="009145A3"/>
    <w:rsid w:val="0091562C"/>
    <w:rsid w:val="009160C9"/>
    <w:rsid w:val="0091667E"/>
    <w:rsid w:val="009167E2"/>
    <w:rsid w:val="0091680A"/>
    <w:rsid w:val="00916F6B"/>
    <w:rsid w:val="00917990"/>
    <w:rsid w:val="00917A63"/>
    <w:rsid w:val="00917BC5"/>
    <w:rsid w:val="00921262"/>
    <w:rsid w:val="00921588"/>
    <w:rsid w:val="009223FB"/>
    <w:rsid w:val="00922FE6"/>
    <w:rsid w:val="009231A5"/>
    <w:rsid w:val="00923559"/>
    <w:rsid w:val="009240F6"/>
    <w:rsid w:val="0092429A"/>
    <w:rsid w:val="00924C97"/>
    <w:rsid w:val="00925C80"/>
    <w:rsid w:val="00925E60"/>
    <w:rsid w:val="00926944"/>
    <w:rsid w:val="009269F4"/>
    <w:rsid w:val="009272C0"/>
    <w:rsid w:val="00927717"/>
    <w:rsid w:val="00927E90"/>
    <w:rsid w:val="00927EF1"/>
    <w:rsid w:val="0093004F"/>
    <w:rsid w:val="0093040B"/>
    <w:rsid w:val="00930DB4"/>
    <w:rsid w:val="00930E6C"/>
    <w:rsid w:val="0093211F"/>
    <w:rsid w:val="00932186"/>
    <w:rsid w:val="009325A8"/>
    <w:rsid w:val="0093296D"/>
    <w:rsid w:val="00933BBE"/>
    <w:rsid w:val="00934030"/>
    <w:rsid w:val="009343A4"/>
    <w:rsid w:val="009344DC"/>
    <w:rsid w:val="00934F91"/>
    <w:rsid w:val="00935767"/>
    <w:rsid w:val="00935852"/>
    <w:rsid w:val="009366D4"/>
    <w:rsid w:val="009367C4"/>
    <w:rsid w:val="00937178"/>
    <w:rsid w:val="00937331"/>
    <w:rsid w:val="00937702"/>
    <w:rsid w:val="00937A89"/>
    <w:rsid w:val="00937E06"/>
    <w:rsid w:val="00937E15"/>
    <w:rsid w:val="00937F0C"/>
    <w:rsid w:val="00940328"/>
    <w:rsid w:val="009403AD"/>
    <w:rsid w:val="00940EA8"/>
    <w:rsid w:val="00940FE5"/>
    <w:rsid w:val="00941E99"/>
    <w:rsid w:val="009420B2"/>
    <w:rsid w:val="009426F7"/>
    <w:rsid w:val="009427EB"/>
    <w:rsid w:val="00942C9B"/>
    <w:rsid w:val="0094308D"/>
    <w:rsid w:val="00944338"/>
    <w:rsid w:val="00944627"/>
    <w:rsid w:val="00944890"/>
    <w:rsid w:val="009448F8"/>
    <w:rsid w:val="00944B8F"/>
    <w:rsid w:val="0094633A"/>
    <w:rsid w:val="009463C3"/>
    <w:rsid w:val="00946883"/>
    <w:rsid w:val="00947D06"/>
    <w:rsid w:val="009501B4"/>
    <w:rsid w:val="0095090A"/>
    <w:rsid w:val="00951176"/>
    <w:rsid w:val="00951C14"/>
    <w:rsid w:val="00951D98"/>
    <w:rsid w:val="00951E83"/>
    <w:rsid w:val="0095270C"/>
    <w:rsid w:val="00952D62"/>
    <w:rsid w:val="00953E5F"/>
    <w:rsid w:val="009544DF"/>
    <w:rsid w:val="00954BBF"/>
    <w:rsid w:val="00954CE2"/>
    <w:rsid w:val="009556AA"/>
    <w:rsid w:val="009557EA"/>
    <w:rsid w:val="00955A05"/>
    <w:rsid w:val="00955DC8"/>
    <w:rsid w:val="009567AC"/>
    <w:rsid w:val="00956CC1"/>
    <w:rsid w:val="00956E59"/>
    <w:rsid w:val="0096006A"/>
    <w:rsid w:val="009606FD"/>
    <w:rsid w:val="00960E05"/>
    <w:rsid w:val="00961073"/>
    <w:rsid w:val="009619E6"/>
    <w:rsid w:val="00961D25"/>
    <w:rsid w:val="00962004"/>
    <w:rsid w:val="00962749"/>
    <w:rsid w:val="00962F63"/>
    <w:rsid w:val="00962FD6"/>
    <w:rsid w:val="009635FF"/>
    <w:rsid w:val="00963799"/>
    <w:rsid w:val="00963E5A"/>
    <w:rsid w:val="0096612D"/>
    <w:rsid w:val="009661FC"/>
    <w:rsid w:val="0096631B"/>
    <w:rsid w:val="00966977"/>
    <w:rsid w:val="009672EC"/>
    <w:rsid w:val="00967BB9"/>
    <w:rsid w:val="00967E84"/>
    <w:rsid w:val="00970FB3"/>
    <w:rsid w:val="00971228"/>
    <w:rsid w:val="00971857"/>
    <w:rsid w:val="00971C40"/>
    <w:rsid w:val="0097264F"/>
    <w:rsid w:val="00973445"/>
    <w:rsid w:val="0097384D"/>
    <w:rsid w:val="009749AD"/>
    <w:rsid w:val="009750CE"/>
    <w:rsid w:val="00975816"/>
    <w:rsid w:val="00975E09"/>
    <w:rsid w:val="00976910"/>
    <w:rsid w:val="00976DCD"/>
    <w:rsid w:val="009772CA"/>
    <w:rsid w:val="009772D1"/>
    <w:rsid w:val="009810FB"/>
    <w:rsid w:val="00982E94"/>
    <w:rsid w:val="00983265"/>
    <w:rsid w:val="00983505"/>
    <w:rsid w:val="0098490F"/>
    <w:rsid w:val="0098552E"/>
    <w:rsid w:val="00985622"/>
    <w:rsid w:val="00986786"/>
    <w:rsid w:val="00986FE2"/>
    <w:rsid w:val="009875A2"/>
    <w:rsid w:val="00987A25"/>
    <w:rsid w:val="00987A4B"/>
    <w:rsid w:val="00987AE4"/>
    <w:rsid w:val="00987CE4"/>
    <w:rsid w:val="00987D06"/>
    <w:rsid w:val="00987F6E"/>
    <w:rsid w:val="00990212"/>
    <w:rsid w:val="00990A2E"/>
    <w:rsid w:val="00990D38"/>
    <w:rsid w:val="00991234"/>
    <w:rsid w:val="00991AB2"/>
    <w:rsid w:val="0099209A"/>
    <w:rsid w:val="009926DE"/>
    <w:rsid w:val="0099311B"/>
    <w:rsid w:val="009931B5"/>
    <w:rsid w:val="0099382C"/>
    <w:rsid w:val="00994293"/>
    <w:rsid w:val="009947C7"/>
    <w:rsid w:val="00994F58"/>
    <w:rsid w:val="009955F2"/>
    <w:rsid w:val="00995EA7"/>
    <w:rsid w:val="00996230"/>
    <w:rsid w:val="00996BA8"/>
    <w:rsid w:val="00996FC9"/>
    <w:rsid w:val="00997295"/>
    <w:rsid w:val="009973BB"/>
    <w:rsid w:val="009975EC"/>
    <w:rsid w:val="00997A43"/>
    <w:rsid w:val="00997C45"/>
    <w:rsid w:val="009A044E"/>
    <w:rsid w:val="009A067C"/>
    <w:rsid w:val="009A1307"/>
    <w:rsid w:val="009A158A"/>
    <w:rsid w:val="009A2AD3"/>
    <w:rsid w:val="009A2D3C"/>
    <w:rsid w:val="009A38EA"/>
    <w:rsid w:val="009A3E8B"/>
    <w:rsid w:val="009A3FA1"/>
    <w:rsid w:val="009A4971"/>
    <w:rsid w:val="009A4AC9"/>
    <w:rsid w:val="009A50B6"/>
    <w:rsid w:val="009A52F8"/>
    <w:rsid w:val="009A5BBF"/>
    <w:rsid w:val="009A5BCC"/>
    <w:rsid w:val="009A5E4F"/>
    <w:rsid w:val="009A6453"/>
    <w:rsid w:val="009A7350"/>
    <w:rsid w:val="009A7BBC"/>
    <w:rsid w:val="009B0036"/>
    <w:rsid w:val="009B051D"/>
    <w:rsid w:val="009B0738"/>
    <w:rsid w:val="009B08E4"/>
    <w:rsid w:val="009B0977"/>
    <w:rsid w:val="009B09EA"/>
    <w:rsid w:val="009B15F6"/>
    <w:rsid w:val="009B1713"/>
    <w:rsid w:val="009B1721"/>
    <w:rsid w:val="009B1E96"/>
    <w:rsid w:val="009B2E77"/>
    <w:rsid w:val="009B3F96"/>
    <w:rsid w:val="009B45A3"/>
    <w:rsid w:val="009B46C0"/>
    <w:rsid w:val="009B4DFD"/>
    <w:rsid w:val="009B50FB"/>
    <w:rsid w:val="009B536C"/>
    <w:rsid w:val="009B62F2"/>
    <w:rsid w:val="009B6D9A"/>
    <w:rsid w:val="009B753E"/>
    <w:rsid w:val="009B78BC"/>
    <w:rsid w:val="009C0765"/>
    <w:rsid w:val="009C18C6"/>
    <w:rsid w:val="009C2054"/>
    <w:rsid w:val="009C24EB"/>
    <w:rsid w:val="009C2594"/>
    <w:rsid w:val="009C2A6B"/>
    <w:rsid w:val="009C2C3F"/>
    <w:rsid w:val="009C2E5A"/>
    <w:rsid w:val="009C2FEF"/>
    <w:rsid w:val="009C30A3"/>
    <w:rsid w:val="009C341D"/>
    <w:rsid w:val="009C3FD0"/>
    <w:rsid w:val="009C547C"/>
    <w:rsid w:val="009C5F2F"/>
    <w:rsid w:val="009C6341"/>
    <w:rsid w:val="009C653D"/>
    <w:rsid w:val="009C721E"/>
    <w:rsid w:val="009C7B7E"/>
    <w:rsid w:val="009C7E43"/>
    <w:rsid w:val="009D06E2"/>
    <w:rsid w:val="009D0ADA"/>
    <w:rsid w:val="009D0CF2"/>
    <w:rsid w:val="009D1F8D"/>
    <w:rsid w:val="009D1FAB"/>
    <w:rsid w:val="009D2C24"/>
    <w:rsid w:val="009D3E39"/>
    <w:rsid w:val="009D4399"/>
    <w:rsid w:val="009D4E74"/>
    <w:rsid w:val="009D4F20"/>
    <w:rsid w:val="009D4F9E"/>
    <w:rsid w:val="009D56E3"/>
    <w:rsid w:val="009D5B81"/>
    <w:rsid w:val="009D62F2"/>
    <w:rsid w:val="009E05D6"/>
    <w:rsid w:val="009E1E3D"/>
    <w:rsid w:val="009E202C"/>
    <w:rsid w:val="009E28B9"/>
    <w:rsid w:val="009E2E3B"/>
    <w:rsid w:val="009E3980"/>
    <w:rsid w:val="009E3B55"/>
    <w:rsid w:val="009E43F8"/>
    <w:rsid w:val="009E4599"/>
    <w:rsid w:val="009E469A"/>
    <w:rsid w:val="009E5682"/>
    <w:rsid w:val="009E6012"/>
    <w:rsid w:val="009E6B24"/>
    <w:rsid w:val="009E7C7C"/>
    <w:rsid w:val="009E7EDD"/>
    <w:rsid w:val="009F0AA2"/>
    <w:rsid w:val="009F1097"/>
    <w:rsid w:val="009F1983"/>
    <w:rsid w:val="009F23BD"/>
    <w:rsid w:val="009F28DA"/>
    <w:rsid w:val="009F2913"/>
    <w:rsid w:val="009F38CE"/>
    <w:rsid w:val="009F3C50"/>
    <w:rsid w:val="009F3FDB"/>
    <w:rsid w:val="009F425D"/>
    <w:rsid w:val="009F42B3"/>
    <w:rsid w:val="009F48AA"/>
    <w:rsid w:val="009F4E34"/>
    <w:rsid w:val="009F532D"/>
    <w:rsid w:val="009F5ABB"/>
    <w:rsid w:val="009F6253"/>
    <w:rsid w:val="009F6ACC"/>
    <w:rsid w:val="009F7087"/>
    <w:rsid w:val="009F7DA5"/>
    <w:rsid w:val="009F7F00"/>
    <w:rsid w:val="00A00672"/>
    <w:rsid w:val="00A00F9E"/>
    <w:rsid w:val="00A012DB"/>
    <w:rsid w:val="00A01594"/>
    <w:rsid w:val="00A01A2C"/>
    <w:rsid w:val="00A01B11"/>
    <w:rsid w:val="00A0283A"/>
    <w:rsid w:val="00A02887"/>
    <w:rsid w:val="00A02FCC"/>
    <w:rsid w:val="00A04318"/>
    <w:rsid w:val="00A04927"/>
    <w:rsid w:val="00A0497C"/>
    <w:rsid w:val="00A04F4B"/>
    <w:rsid w:val="00A04FFB"/>
    <w:rsid w:val="00A0621B"/>
    <w:rsid w:val="00A0695D"/>
    <w:rsid w:val="00A06E12"/>
    <w:rsid w:val="00A10AC7"/>
    <w:rsid w:val="00A10DA5"/>
    <w:rsid w:val="00A11319"/>
    <w:rsid w:val="00A12A2D"/>
    <w:rsid w:val="00A12DAA"/>
    <w:rsid w:val="00A13915"/>
    <w:rsid w:val="00A13C4E"/>
    <w:rsid w:val="00A13F87"/>
    <w:rsid w:val="00A14560"/>
    <w:rsid w:val="00A14628"/>
    <w:rsid w:val="00A14D7C"/>
    <w:rsid w:val="00A14E53"/>
    <w:rsid w:val="00A15418"/>
    <w:rsid w:val="00A16B7B"/>
    <w:rsid w:val="00A178E7"/>
    <w:rsid w:val="00A17F7B"/>
    <w:rsid w:val="00A20195"/>
    <w:rsid w:val="00A20303"/>
    <w:rsid w:val="00A2032E"/>
    <w:rsid w:val="00A20829"/>
    <w:rsid w:val="00A21549"/>
    <w:rsid w:val="00A23F13"/>
    <w:rsid w:val="00A240BF"/>
    <w:rsid w:val="00A24643"/>
    <w:rsid w:val="00A249A0"/>
    <w:rsid w:val="00A249F7"/>
    <w:rsid w:val="00A24B24"/>
    <w:rsid w:val="00A24B51"/>
    <w:rsid w:val="00A24C80"/>
    <w:rsid w:val="00A24E4F"/>
    <w:rsid w:val="00A252C3"/>
    <w:rsid w:val="00A2728D"/>
    <w:rsid w:val="00A3027C"/>
    <w:rsid w:val="00A30A76"/>
    <w:rsid w:val="00A30EB9"/>
    <w:rsid w:val="00A31367"/>
    <w:rsid w:val="00A32CAE"/>
    <w:rsid w:val="00A3371D"/>
    <w:rsid w:val="00A33C2B"/>
    <w:rsid w:val="00A33E54"/>
    <w:rsid w:val="00A341C0"/>
    <w:rsid w:val="00A348D3"/>
    <w:rsid w:val="00A3523E"/>
    <w:rsid w:val="00A352BC"/>
    <w:rsid w:val="00A37822"/>
    <w:rsid w:val="00A37C8C"/>
    <w:rsid w:val="00A37DB5"/>
    <w:rsid w:val="00A37E59"/>
    <w:rsid w:val="00A4079A"/>
    <w:rsid w:val="00A40A62"/>
    <w:rsid w:val="00A40C5B"/>
    <w:rsid w:val="00A40D9E"/>
    <w:rsid w:val="00A40E17"/>
    <w:rsid w:val="00A412B4"/>
    <w:rsid w:val="00A415A9"/>
    <w:rsid w:val="00A41767"/>
    <w:rsid w:val="00A42538"/>
    <w:rsid w:val="00A42AAE"/>
    <w:rsid w:val="00A43680"/>
    <w:rsid w:val="00A44286"/>
    <w:rsid w:val="00A4460E"/>
    <w:rsid w:val="00A446ED"/>
    <w:rsid w:val="00A44794"/>
    <w:rsid w:val="00A44E0A"/>
    <w:rsid w:val="00A44F16"/>
    <w:rsid w:val="00A4514A"/>
    <w:rsid w:val="00A4544B"/>
    <w:rsid w:val="00A45793"/>
    <w:rsid w:val="00A4612A"/>
    <w:rsid w:val="00A461A9"/>
    <w:rsid w:val="00A463B8"/>
    <w:rsid w:val="00A46541"/>
    <w:rsid w:val="00A4681D"/>
    <w:rsid w:val="00A473A0"/>
    <w:rsid w:val="00A47613"/>
    <w:rsid w:val="00A50017"/>
    <w:rsid w:val="00A5097F"/>
    <w:rsid w:val="00A50A2F"/>
    <w:rsid w:val="00A51A64"/>
    <w:rsid w:val="00A51A85"/>
    <w:rsid w:val="00A53E27"/>
    <w:rsid w:val="00A54707"/>
    <w:rsid w:val="00A555A6"/>
    <w:rsid w:val="00A555DC"/>
    <w:rsid w:val="00A556DE"/>
    <w:rsid w:val="00A55B03"/>
    <w:rsid w:val="00A55DC7"/>
    <w:rsid w:val="00A56DCA"/>
    <w:rsid w:val="00A57514"/>
    <w:rsid w:val="00A608D2"/>
    <w:rsid w:val="00A60A7C"/>
    <w:rsid w:val="00A63118"/>
    <w:rsid w:val="00A63947"/>
    <w:rsid w:val="00A64063"/>
    <w:rsid w:val="00A64B4B"/>
    <w:rsid w:val="00A64DD4"/>
    <w:rsid w:val="00A6526E"/>
    <w:rsid w:val="00A6574A"/>
    <w:rsid w:val="00A66962"/>
    <w:rsid w:val="00A70049"/>
    <w:rsid w:val="00A700D2"/>
    <w:rsid w:val="00A71831"/>
    <w:rsid w:val="00A72295"/>
    <w:rsid w:val="00A72310"/>
    <w:rsid w:val="00A72611"/>
    <w:rsid w:val="00A72FE5"/>
    <w:rsid w:val="00A73091"/>
    <w:rsid w:val="00A7328B"/>
    <w:rsid w:val="00A73DA1"/>
    <w:rsid w:val="00A73EF0"/>
    <w:rsid w:val="00A74112"/>
    <w:rsid w:val="00A74918"/>
    <w:rsid w:val="00A74B3D"/>
    <w:rsid w:val="00A7504B"/>
    <w:rsid w:val="00A76160"/>
    <w:rsid w:val="00A76521"/>
    <w:rsid w:val="00A77154"/>
    <w:rsid w:val="00A77462"/>
    <w:rsid w:val="00A775F1"/>
    <w:rsid w:val="00A7792B"/>
    <w:rsid w:val="00A8034E"/>
    <w:rsid w:val="00A80774"/>
    <w:rsid w:val="00A81005"/>
    <w:rsid w:val="00A81543"/>
    <w:rsid w:val="00A81A39"/>
    <w:rsid w:val="00A825FF"/>
    <w:rsid w:val="00A8294F"/>
    <w:rsid w:val="00A8297B"/>
    <w:rsid w:val="00A8413F"/>
    <w:rsid w:val="00A841C9"/>
    <w:rsid w:val="00A84E08"/>
    <w:rsid w:val="00A851FA"/>
    <w:rsid w:val="00A85602"/>
    <w:rsid w:val="00A85A19"/>
    <w:rsid w:val="00A8631F"/>
    <w:rsid w:val="00A90046"/>
    <w:rsid w:val="00A90542"/>
    <w:rsid w:val="00A90A3E"/>
    <w:rsid w:val="00A9101B"/>
    <w:rsid w:val="00A91A56"/>
    <w:rsid w:val="00A91A5F"/>
    <w:rsid w:val="00A91FD2"/>
    <w:rsid w:val="00A93845"/>
    <w:rsid w:val="00A94ED5"/>
    <w:rsid w:val="00A953AC"/>
    <w:rsid w:val="00A95437"/>
    <w:rsid w:val="00A95523"/>
    <w:rsid w:val="00A96705"/>
    <w:rsid w:val="00A968C9"/>
    <w:rsid w:val="00A9696C"/>
    <w:rsid w:val="00A977B0"/>
    <w:rsid w:val="00AA07C3"/>
    <w:rsid w:val="00AA0987"/>
    <w:rsid w:val="00AA1E72"/>
    <w:rsid w:val="00AA274A"/>
    <w:rsid w:val="00AA3595"/>
    <w:rsid w:val="00AA3FD0"/>
    <w:rsid w:val="00AA4582"/>
    <w:rsid w:val="00AA5177"/>
    <w:rsid w:val="00AA54D3"/>
    <w:rsid w:val="00AA55C7"/>
    <w:rsid w:val="00AA6367"/>
    <w:rsid w:val="00AA67FF"/>
    <w:rsid w:val="00AA7215"/>
    <w:rsid w:val="00AA7CAF"/>
    <w:rsid w:val="00AB0046"/>
    <w:rsid w:val="00AB0C38"/>
    <w:rsid w:val="00AB1750"/>
    <w:rsid w:val="00AB1878"/>
    <w:rsid w:val="00AB1C75"/>
    <w:rsid w:val="00AB24F1"/>
    <w:rsid w:val="00AB365E"/>
    <w:rsid w:val="00AB443B"/>
    <w:rsid w:val="00AB44CD"/>
    <w:rsid w:val="00AB4667"/>
    <w:rsid w:val="00AB4E1B"/>
    <w:rsid w:val="00AB4EA7"/>
    <w:rsid w:val="00AB5AF3"/>
    <w:rsid w:val="00AB6B43"/>
    <w:rsid w:val="00AB6E51"/>
    <w:rsid w:val="00AB76E0"/>
    <w:rsid w:val="00AB7A71"/>
    <w:rsid w:val="00AB7C65"/>
    <w:rsid w:val="00AC0A98"/>
    <w:rsid w:val="00AC1729"/>
    <w:rsid w:val="00AC2954"/>
    <w:rsid w:val="00AC2E5B"/>
    <w:rsid w:val="00AC3200"/>
    <w:rsid w:val="00AC3300"/>
    <w:rsid w:val="00AC41AA"/>
    <w:rsid w:val="00AC420C"/>
    <w:rsid w:val="00AC50F2"/>
    <w:rsid w:val="00AC6147"/>
    <w:rsid w:val="00AC6261"/>
    <w:rsid w:val="00AC63A4"/>
    <w:rsid w:val="00AC645F"/>
    <w:rsid w:val="00AC6DDB"/>
    <w:rsid w:val="00AC779C"/>
    <w:rsid w:val="00AD0B87"/>
    <w:rsid w:val="00AD12AC"/>
    <w:rsid w:val="00AD1536"/>
    <w:rsid w:val="00AD1C9E"/>
    <w:rsid w:val="00AD23B2"/>
    <w:rsid w:val="00AD27B4"/>
    <w:rsid w:val="00AD32F7"/>
    <w:rsid w:val="00AD3A95"/>
    <w:rsid w:val="00AD3DB0"/>
    <w:rsid w:val="00AD4519"/>
    <w:rsid w:val="00AD481E"/>
    <w:rsid w:val="00AD584B"/>
    <w:rsid w:val="00AD5DC0"/>
    <w:rsid w:val="00AD5FD7"/>
    <w:rsid w:val="00AD63D3"/>
    <w:rsid w:val="00AD65BA"/>
    <w:rsid w:val="00AD6B5D"/>
    <w:rsid w:val="00AD7027"/>
    <w:rsid w:val="00AE120E"/>
    <w:rsid w:val="00AE17A1"/>
    <w:rsid w:val="00AE22BE"/>
    <w:rsid w:val="00AE244F"/>
    <w:rsid w:val="00AE5544"/>
    <w:rsid w:val="00AE6D16"/>
    <w:rsid w:val="00AE6E66"/>
    <w:rsid w:val="00AE70AA"/>
    <w:rsid w:val="00AE73F3"/>
    <w:rsid w:val="00AF0271"/>
    <w:rsid w:val="00AF099F"/>
    <w:rsid w:val="00AF1218"/>
    <w:rsid w:val="00AF12CD"/>
    <w:rsid w:val="00AF190A"/>
    <w:rsid w:val="00AF1BD5"/>
    <w:rsid w:val="00AF1CA0"/>
    <w:rsid w:val="00AF1E89"/>
    <w:rsid w:val="00AF1FFD"/>
    <w:rsid w:val="00AF205D"/>
    <w:rsid w:val="00AF242C"/>
    <w:rsid w:val="00AF3022"/>
    <w:rsid w:val="00AF3241"/>
    <w:rsid w:val="00AF4235"/>
    <w:rsid w:val="00AF489E"/>
    <w:rsid w:val="00AF5E98"/>
    <w:rsid w:val="00AF5ED0"/>
    <w:rsid w:val="00AF68D2"/>
    <w:rsid w:val="00AF74C8"/>
    <w:rsid w:val="00AF7B4A"/>
    <w:rsid w:val="00AF7DE7"/>
    <w:rsid w:val="00B00085"/>
    <w:rsid w:val="00B00966"/>
    <w:rsid w:val="00B00ACA"/>
    <w:rsid w:val="00B00DE8"/>
    <w:rsid w:val="00B011F2"/>
    <w:rsid w:val="00B0247F"/>
    <w:rsid w:val="00B02A41"/>
    <w:rsid w:val="00B02B0D"/>
    <w:rsid w:val="00B0343C"/>
    <w:rsid w:val="00B036E0"/>
    <w:rsid w:val="00B03AF2"/>
    <w:rsid w:val="00B03D11"/>
    <w:rsid w:val="00B04268"/>
    <w:rsid w:val="00B049D7"/>
    <w:rsid w:val="00B04A6B"/>
    <w:rsid w:val="00B04D85"/>
    <w:rsid w:val="00B04F49"/>
    <w:rsid w:val="00B05191"/>
    <w:rsid w:val="00B0527D"/>
    <w:rsid w:val="00B0532B"/>
    <w:rsid w:val="00B05EF9"/>
    <w:rsid w:val="00B067C3"/>
    <w:rsid w:val="00B06E02"/>
    <w:rsid w:val="00B07348"/>
    <w:rsid w:val="00B07CFD"/>
    <w:rsid w:val="00B100AC"/>
    <w:rsid w:val="00B103A6"/>
    <w:rsid w:val="00B1053E"/>
    <w:rsid w:val="00B10A61"/>
    <w:rsid w:val="00B110AB"/>
    <w:rsid w:val="00B110C1"/>
    <w:rsid w:val="00B12935"/>
    <w:rsid w:val="00B129B7"/>
    <w:rsid w:val="00B12B2D"/>
    <w:rsid w:val="00B13128"/>
    <w:rsid w:val="00B13721"/>
    <w:rsid w:val="00B13C4B"/>
    <w:rsid w:val="00B16262"/>
    <w:rsid w:val="00B16A1D"/>
    <w:rsid w:val="00B16BE0"/>
    <w:rsid w:val="00B16C80"/>
    <w:rsid w:val="00B170A3"/>
    <w:rsid w:val="00B1783A"/>
    <w:rsid w:val="00B17ADD"/>
    <w:rsid w:val="00B20173"/>
    <w:rsid w:val="00B201FA"/>
    <w:rsid w:val="00B20366"/>
    <w:rsid w:val="00B209F4"/>
    <w:rsid w:val="00B20BB9"/>
    <w:rsid w:val="00B20F01"/>
    <w:rsid w:val="00B2122C"/>
    <w:rsid w:val="00B21242"/>
    <w:rsid w:val="00B22D04"/>
    <w:rsid w:val="00B23068"/>
    <w:rsid w:val="00B237FA"/>
    <w:rsid w:val="00B2387C"/>
    <w:rsid w:val="00B23FEF"/>
    <w:rsid w:val="00B24250"/>
    <w:rsid w:val="00B2429A"/>
    <w:rsid w:val="00B24950"/>
    <w:rsid w:val="00B2495D"/>
    <w:rsid w:val="00B24D9B"/>
    <w:rsid w:val="00B24E45"/>
    <w:rsid w:val="00B24EA2"/>
    <w:rsid w:val="00B2623A"/>
    <w:rsid w:val="00B26519"/>
    <w:rsid w:val="00B268B1"/>
    <w:rsid w:val="00B26E23"/>
    <w:rsid w:val="00B27B66"/>
    <w:rsid w:val="00B3002A"/>
    <w:rsid w:val="00B30463"/>
    <w:rsid w:val="00B30A94"/>
    <w:rsid w:val="00B30B56"/>
    <w:rsid w:val="00B30D6F"/>
    <w:rsid w:val="00B31322"/>
    <w:rsid w:val="00B31D49"/>
    <w:rsid w:val="00B32126"/>
    <w:rsid w:val="00B329C7"/>
    <w:rsid w:val="00B32A95"/>
    <w:rsid w:val="00B33729"/>
    <w:rsid w:val="00B34F16"/>
    <w:rsid w:val="00B35DC3"/>
    <w:rsid w:val="00B3677B"/>
    <w:rsid w:val="00B36A14"/>
    <w:rsid w:val="00B36ED3"/>
    <w:rsid w:val="00B3738D"/>
    <w:rsid w:val="00B378BA"/>
    <w:rsid w:val="00B37E05"/>
    <w:rsid w:val="00B37E10"/>
    <w:rsid w:val="00B37F65"/>
    <w:rsid w:val="00B37F8A"/>
    <w:rsid w:val="00B40C9B"/>
    <w:rsid w:val="00B40E83"/>
    <w:rsid w:val="00B414B6"/>
    <w:rsid w:val="00B4152F"/>
    <w:rsid w:val="00B417F7"/>
    <w:rsid w:val="00B418FB"/>
    <w:rsid w:val="00B41A74"/>
    <w:rsid w:val="00B41DDD"/>
    <w:rsid w:val="00B41FED"/>
    <w:rsid w:val="00B421CC"/>
    <w:rsid w:val="00B42914"/>
    <w:rsid w:val="00B42F86"/>
    <w:rsid w:val="00B43287"/>
    <w:rsid w:val="00B432B9"/>
    <w:rsid w:val="00B43A5C"/>
    <w:rsid w:val="00B44C1C"/>
    <w:rsid w:val="00B45BCB"/>
    <w:rsid w:val="00B45C7E"/>
    <w:rsid w:val="00B46240"/>
    <w:rsid w:val="00B4647C"/>
    <w:rsid w:val="00B466BC"/>
    <w:rsid w:val="00B47730"/>
    <w:rsid w:val="00B51846"/>
    <w:rsid w:val="00B5196B"/>
    <w:rsid w:val="00B5197A"/>
    <w:rsid w:val="00B52123"/>
    <w:rsid w:val="00B52192"/>
    <w:rsid w:val="00B529DF"/>
    <w:rsid w:val="00B52E1C"/>
    <w:rsid w:val="00B53232"/>
    <w:rsid w:val="00B538A7"/>
    <w:rsid w:val="00B542CF"/>
    <w:rsid w:val="00B5559A"/>
    <w:rsid w:val="00B55E9E"/>
    <w:rsid w:val="00B566E2"/>
    <w:rsid w:val="00B56E2A"/>
    <w:rsid w:val="00B573FE"/>
    <w:rsid w:val="00B57DC1"/>
    <w:rsid w:val="00B602EC"/>
    <w:rsid w:val="00B6079A"/>
    <w:rsid w:val="00B608A3"/>
    <w:rsid w:val="00B60FE8"/>
    <w:rsid w:val="00B6108F"/>
    <w:rsid w:val="00B61869"/>
    <w:rsid w:val="00B61C85"/>
    <w:rsid w:val="00B625C3"/>
    <w:rsid w:val="00B62756"/>
    <w:rsid w:val="00B63FEA"/>
    <w:rsid w:val="00B64205"/>
    <w:rsid w:val="00B64340"/>
    <w:rsid w:val="00B64364"/>
    <w:rsid w:val="00B646BF"/>
    <w:rsid w:val="00B64941"/>
    <w:rsid w:val="00B654DB"/>
    <w:rsid w:val="00B657E8"/>
    <w:rsid w:val="00B65833"/>
    <w:rsid w:val="00B65A2D"/>
    <w:rsid w:val="00B65BBE"/>
    <w:rsid w:val="00B66261"/>
    <w:rsid w:val="00B66672"/>
    <w:rsid w:val="00B669A6"/>
    <w:rsid w:val="00B67B77"/>
    <w:rsid w:val="00B703AF"/>
    <w:rsid w:val="00B708FB"/>
    <w:rsid w:val="00B70BA5"/>
    <w:rsid w:val="00B711C3"/>
    <w:rsid w:val="00B716C8"/>
    <w:rsid w:val="00B721C7"/>
    <w:rsid w:val="00B72BCF"/>
    <w:rsid w:val="00B72E9D"/>
    <w:rsid w:val="00B73395"/>
    <w:rsid w:val="00B738DC"/>
    <w:rsid w:val="00B7424D"/>
    <w:rsid w:val="00B74475"/>
    <w:rsid w:val="00B74858"/>
    <w:rsid w:val="00B74A09"/>
    <w:rsid w:val="00B74D9E"/>
    <w:rsid w:val="00B75514"/>
    <w:rsid w:val="00B75DEF"/>
    <w:rsid w:val="00B76064"/>
    <w:rsid w:val="00B76763"/>
    <w:rsid w:val="00B77876"/>
    <w:rsid w:val="00B80307"/>
    <w:rsid w:val="00B809F2"/>
    <w:rsid w:val="00B80E88"/>
    <w:rsid w:val="00B81142"/>
    <w:rsid w:val="00B81227"/>
    <w:rsid w:val="00B816B8"/>
    <w:rsid w:val="00B82272"/>
    <w:rsid w:val="00B82360"/>
    <w:rsid w:val="00B832B4"/>
    <w:rsid w:val="00B834AF"/>
    <w:rsid w:val="00B83D67"/>
    <w:rsid w:val="00B843FE"/>
    <w:rsid w:val="00B84D8D"/>
    <w:rsid w:val="00B84E02"/>
    <w:rsid w:val="00B85F9A"/>
    <w:rsid w:val="00B8608B"/>
    <w:rsid w:val="00B86279"/>
    <w:rsid w:val="00B86928"/>
    <w:rsid w:val="00B86B13"/>
    <w:rsid w:val="00B87435"/>
    <w:rsid w:val="00B87481"/>
    <w:rsid w:val="00B87995"/>
    <w:rsid w:val="00B906CA"/>
    <w:rsid w:val="00B907BB"/>
    <w:rsid w:val="00B90A20"/>
    <w:rsid w:val="00B90E95"/>
    <w:rsid w:val="00B9144F"/>
    <w:rsid w:val="00B924EC"/>
    <w:rsid w:val="00B93219"/>
    <w:rsid w:val="00B93271"/>
    <w:rsid w:val="00B9341C"/>
    <w:rsid w:val="00B9351A"/>
    <w:rsid w:val="00B93839"/>
    <w:rsid w:val="00B93FD2"/>
    <w:rsid w:val="00B942AC"/>
    <w:rsid w:val="00B95110"/>
    <w:rsid w:val="00B95876"/>
    <w:rsid w:val="00B96172"/>
    <w:rsid w:val="00B9621C"/>
    <w:rsid w:val="00B9632D"/>
    <w:rsid w:val="00B97227"/>
    <w:rsid w:val="00B976B5"/>
    <w:rsid w:val="00BA099B"/>
    <w:rsid w:val="00BA0C6C"/>
    <w:rsid w:val="00BA1B27"/>
    <w:rsid w:val="00BA1E27"/>
    <w:rsid w:val="00BA2285"/>
    <w:rsid w:val="00BA288F"/>
    <w:rsid w:val="00BA28CC"/>
    <w:rsid w:val="00BA2FDE"/>
    <w:rsid w:val="00BA376D"/>
    <w:rsid w:val="00BA39C4"/>
    <w:rsid w:val="00BA5399"/>
    <w:rsid w:val="00BA5F4E"/>
    <w:rsid w:val="00BA5FDD"/>
    <w:rsid w:val="00BA6673"/>
    <w:rsid w:val="00BA6945"/>
    <w:rsid w:val="00BA6AD2"/>
    <w:rsid w:val="00BA6B11"/>
    <w:rsid w:val="00BA6D69"/>
    <w:rsid w:val="00BA6F24"/>
    <w:rsid w:val="00BA707E"/>
    <w:rsid w:val="00BA7B75"/>
    <w:rsid w:val="00BA7B94"/>
    <w:rsid w:val="00BA7E6D"/>
    <w:rsid w:val="00BB059C"/>
    <w:rsid w:val="00BB0DAE"/>
    <w:rsid w:val="00BB0DBD"/>
    <w:rsid w:val="00BB0FA6"/>
    <w:rsid w:val="00BB1069"/>
    <w:rsid w:val="00BB106E"/>
    <w:rsid w:val="00BB11E9"/>
    <w:rsid w:val="00BB14D2"/>
    <w:rsid w:val="00BB1BC3"/>
    <w:rsid w:val="00BB27DB"/>
    <w:rsid w:val="00BB2AD2"/>
    <w:rsid w:val="00BB3D38"/>
    <w:rsid w:val="00BB3D3C"/>
    <w:rsid w:val="00BB45A9"/>
    <w:rsid w:val="00BB4A49"/>
    <w:rsid w:val="00BB4F85"/>
    <w:rsid w:val="00BB5024"/>
    <w:rsid w:val="00BB55DF"/>
    <w:rsid w:val="00BB5FA3"/>
    <w:rsid w:val="00BB76BF"/>
    <w:rsid w:val="00BC02C9"/>
    <w:rsid w:val="00BC1E67"/>
    <w:rsid w:val="00BC2554"/>
    <w:rsid w:val="00BC2583"/>
    <w:rsid w:val="00BC280E"/>
    <w:rsid w:val="00BC2D54"/>
    <w:rsid w:val="00BC3134"/>
    <w:rsid w:val="00BC376A"/>
    <w:rsid w:val="00BC392D"/>
    <w:rsid w:val="00BC4CB2"/>
    <w:rsid w:val="00BC6426"/>
    <w:rsid w:val="00BC6B51"/>
    <w:rsid w:val="00BC7265"/>
    <w:rsid w:val="00BC7C00"/>
    <w:rsid w:val="00BD01E6"/>
    <w:rsid w:val="00BD0223"/>
    <w:rsid w:val="00BD0265"/>
    <w:rsid w:val="00BD0C34"/>
    <w:rsid w:val="00BD0DFE"/>
    <w:rsid w:val="00BD174A"/>
    <w:rsid w:val="00BD1F2A"/>
    <w:rsid w:val="00BD209D"/>
    <w:rsid w:val="00BD25FB"/>
    <w:rsid w:val="00BD2711"/>
    <w:rsid w:val="00BD369D"/>
    <w:rsid w:val="00BD3772"/>
    <w:rsid w:val="00BD3834"/>
    <w:rsid w:val="00BD3B54"/>
    <w:rsid w:val="00BD3B97"/>
    <w:rsid w:val="00BD3E27"/>
    <w:rsid w:val="00BD462D"/>
    <w:rsid w:val="00BD4784"/>
    <w:rsid w:val="00BD4A93"/>
    <w:rsid w:val="00BD4E44"/>
    <w:rsid w:val="00BD6A65"/>
    <w:rsid w:val="00BD756E"/>
    <w:rsid w:val="00BD76D4"/>
    <w:rsid w:val="00BD7A60"/>
    <w:rsid w:val="00BE0030"/>
    <w:rsid w:val="00BE00EA"/>
    <w:rsid w:val="00BE16B2"/>
    <w:rsid w:val="00BE1C49"/>
    <w:rsid w:val="00BE1D66"/>
    <w:rsid w:val="00BE1F9B"/>
    <w:rsid w:val="00BE2100"/>
    <w:rsid w:val="00BE2721"/>
    <w:rsid w:val="00BE2A8D"/>
    <w:rsid w:val="00BE3398"/>
    <w:rsid w:val="00BE3676"/>
    <w:rsid w:val="00BE44BE"/>
    <w:rsid w:val="00BE52A7"/>
    <w:rsid w:val="00BE58FC"/>
    <w:rsid w:val="00BE5A27"/>
    <w:rsid w:val="00BE5C73"/>
    <w:rsid w:val="00BE6677"/>
    <w:rsid w:val="00BE7049"/>
    <w:rsid w:val="00BE708F"/>
    <w:rsid w:val="00BE7723"/>
    <w:rsid w:val="00BF10F5"/>
    <w:rsid w:val="00BF1593"/>
    <w:rsid w:val="00BF196E"/>
    <w:rsid w:val="00BF3625"/>
    <w:rsid w:val="00BF3781"/>
    <w:rsid w:val="00BF3966"/>
    <w:rsid w:val="00BF3A53"/>
    <w:rsid w:val="00BF3B6B"/>
    <w:rsid w:val="00BF41E2"/>
    <w:rsid w:val="00BF466D"/>
    <w:rsid w:val="00BF5936"/>
    <w:rsid w:val="00BF62D3"/>
    <w:rsid w:val="00BF662F"/>
    <w:rsid w:val="00BF7316"/>
    <w:rsid w:val="00BF7DD9"/>
    <w:rsid w:val="00C0025C"/>
    <w:rsid w:val="00C0099A"/>
    <w:rsid w:val="00C00B59"/>
    <w:rsid w:val="00C012E6"/>
    <w:rsid w:val="00C02276"/>
    <w:rsid w:val="00C024A9"/>
    <w:rsid w:val="00C02536"/>
    <w:rsid w:val="00C032BF"/>
    <w:rsid w:val="00C0398A"/>
    <w:rsid w:val="00C03A0A"/>
    <w:rsid w:val="00C04181"/>
    <w:rsid w:val="00C0419A"/>
    <w:rsid w:val="00C04331"/>
    <w:rsid w:val="00C04B0A"/>
    <w:rsid w:val="00C05184"/>
    <w:rsid w:val="00C06F91"/>
    <w:rsid w:val="00C07085"/>
    <w:rsid w:val="00C07293"/>
    <w:rsid w:val="00C07C2B"/>
    <w:rsid w:val="00C1022A"/>
    <w:rsid w:val="00C10F9E"/>
    <w:rsid w:val="00C12A73"/>
    <w:rsid w:val="00C14078"/>
    <w:rsid w:val="00C14CAF"/>
    <w:rsid w:val="00C1518C"/>
    <w:rsid w:val="00C156DF"/>
    <w:rsid w:val="00C157CD"/>
    <w:rsid w:val="00C15AEF"/>
    <w:rsid w:val="00C16110"/>
    <w:rsid w:val="00C1636B"/>
    <w:rsid w:val="00C17244"/>
    <w:rsid w:val="00C173DC"/>
    <w:rsid w:val="00C17491"/>
    <w:rsid w:val="00C20200"/>
    <w:rsid w:val="00C2042B"/>
    <w:rsid w:val="00C205BF"/>
    <w:rsid w:val="00C20631"/>
    <w:rsid w:val="00C20868"/>
    <w:rsid w:val="00C21BB9"/>
    <w:rsid w:val="00C22592"/>
    <w:rsid w:val="00C22672"/>
    <w:rsid w:val="00C22C28"/>
    <w:rsid w:val="00C23B2D"/>
    <w:rsid w:val="00C2406A"/>
    <w:rsid w:val="00C2409D"/>
    <w:rsid w:val="00C248F3"/>
    <w:rsid w:val="00C24A17"/>
    <w:rsid w:val="00C24AE4"/>
    <w:rsid w:val="00C24DBE"/>
    <w:rsid w:val="00C25683"/>
    <w:rsid w:val="00C25FA5"/>
    <w:rsid w:val="00C26351"/>
    <w:rsid w:val="00C26FED"/>
    <w:rsid w:val="00C27662"/>
    <w:rsid w:val="00C27DB0"/>
    <w:rsid w:val="00C27E86"/>
    <w:rsid w:val="00C304B9"/>
    <w:rsid w:val="00C30D70"/>
    <w:rsid w:val="00C30F29"/>
    <w:rsid w:val="00C311D2"/>
    <w:rsid w:val="00C3169F"/>
    <w:rsid w:val="00C31729"/>
    <w:rsid w:val="00C31A7B"/>
    <w:rsid w:val="00C31DA6"/>
    <w:rsid w:val="00C320D1"/>
    <w:rsid w:val="00C32154"/>
    <w:rsid w:val="00C331F6"/>
    <w:rsid w:val="00C3320C"/>
    <w:rsid w:val="00C33489"/>
    <w:rsid w:val="00C346C5"/>
    <w:rsid w:val="00C34BD6"/>
    <w:rsid w:val="00C34BF2"/>
    <w:rsid w:val="00C34E44"/>
    <w:rsid w:val="00C357D2"/>
    <w:rsid w:val="00C35849"/>
    <w:rsid w:val="00C35C17"/>
    <w:rsid w:val="00C36431"/>
    <w:rsid w:val="00C3669A"/>
    <w:rsid w:val="00C36718"/>
    <w:rsid w:val="00C3675D"/>
    <w:rsid w:val="00C370BE"/>
    <w:rsid w:val="00C370E6"/>
    <w:rsid w:val="00C3726E"/>
    <w:rsid w:val="00C373E3"/>
    <w:rsid w:val="00C3755D"/>
    <w:rsid w:val="00C3796D"/>
    <w:rsid w:val="00C4018A"/>
    <w:rsid w:val="00C40557"/>
    <w:rsid w:val="00C4087E"/>
    <w:rsid w:val="00C41216"/>
    <w:rsid w:val="00C41F11"/>
    <w:rsid w:val="00C422BA"/>
    <w:rsid w:val="00C4277C"/>
    <w:rsid w:val="00C42992"/>
    <w:rsid w:val="00C42B66"/>
    <w:rsid w:val="00C431F9"/>
    <w:rsid w:val="00C4338C"/>
    <w:rsid w:val="00C4395A"/>
    <w:rsid w:val="00C43EE2"/>
    <w:rsid w:val="00C445D2"/>
    <w:rsid w:val="00C44EEA"/>
    <w:rsid w:val="00C454D3"/>
    <w:rsid w:val="00C4733D"/>
    <w:rsid w:val="00C474EF"/>
    <w:rsid w:val="00C47D8D"/>
    <w:rsid w:val="00C50227"/>
    <w:rsid w:val="00C50296"/>
    <w:rsid w:val="00C50631"/>
    <w:rsid w:val="00C5090E"/>
    <w:rsid w:val="00C50B51"/>
    <w:rsid w:val="00C50B99"/>
    <w:rsid w:val="00C514DD"/>
    <w:rsid w:val="00C522AE"/>
    <w:rsid w:val="00C52625"/>
    <w:rsid w:val="00C52B8B"/>
    <w:rsid w:val="00C52C8E"/>
    <w:rsid w:val="00C536AD"/>
    <w:rsid w:val="00C53B42"/>
    <w:rsid w:val="00C53FE2"/>
    <w:rsid w:val="00C54440"/>
    <w:rsid w:val="00C544EB"/>
    <w:rsid w:val="00C54573"/>
    <w:rsid w:val="00C54A11"/>
    <w:rsid w:val="00C54BB2"/>
    <w:rsid w:val="00C54FCA"/>
    <w:rsid w:val="00C55A10"/>
    <w:rsid w:val="00C5705A"/>
    <w:rsid w:val="00C570F8"/>
    <w:rsid w:val="00C571FE"/>
    <w:rsid w:val="00C5757B"/>
    <w:rsid w:val="00C60682"/>
    <w:rsid w:val="00C61620"/>
    <w:rsid w:val="00C6163A"/>
    <w:rsid w:val="00C61C61"/>
    <w:rsid w:val="00C61CDC"/>
    <w:rsid w:val="00C62849"/>
    <w:rsid w:val="00C62B54"/>
    <w:rsid w:val="00C63BFF"/>
    <w:rsid w:val="00C63E05"/>
    <w:rsid w:val="00C64674"/>
    <w:rsid w:val="00C647A9"/>
    <w:rsid w:val="00C652D4"/>
    <w:rsid w:val="00C65416"/>
    <w:rsid w:val="00C65450"/>
    <w:rsid w:val="00C659A2"/>
    <w:rsid w:val="00C660F5"/>
    <w:rsid w:val="00C66B1D"/>
    <w:rsid w:val="00C66F48"/>
    <w:rsid w:val="00C66F7C"/>
    <w:rsid w:val="00C67DE6"/>
    <w:rsid w:val="00C70992"/>
    <w:rsid w:val="00C70DD2"/>
    <w:rsid w:val="00C70E7B"/>
    <w:rsid w:val="00C70FB7"/>
    <w:rsid w:val="00C71ECC"/>
    <w:rsid w:val="00C72624"/>
    <w:rsid w:val="00C72B02"/>
    <w:rsid w:val="00C73808"/>
    <w:rsid w:val="00C7384F"/>
    <w:rsid w:val="00C73984"/>
    <w:rsid w:val="00C747F6"/>
    <w:rsid w:val="00C74DAC"/>
    <w:rsid w:val="00C75F99"/>
    <w:rsid w:val="00C76712"/>
    <w:rsid w:val="00C76F0B"/>
    <w:rsid w:val="00C77324"/>
    <w:rsid w:val="00C77A13"/>
    <w:rsid w:val="00C80BC1"/>
    <w:rsid w:val="00C80C93"/>
    <w:rsid w:val="00C80F1A"/>
    <w:rsid w:val="00C818E7"/>
    <w:rsid w:val="00C823FA"/>
    <w:rsid w:val="00C828FC"/>
    <w:rsid w:val="00C82AD3"/>
    <w:rsid w:val="00C83494"/>
    <w:rsid w:val="00C83498"/>
    <w:rsid w:val="00C846DA"/>
    <w:rsid w:val="00C84919"/>
    <w:rsid w:val="00C853E8"/>
    <w:rsid w:val="00C85452"/>
    <w:rsid w:val="00C860D0"/>
    <w:rsid w:val="00C8701E"/>
    <w:rsid w:val="00C873BC"/>
    <w:rsid w:val="00C87725"/>
    <w:rsid w:val="00C87E68"/>
    <w:rsid w:val="00C87F8A"/>
    <w:rsid w:val="00C9046A"/>
    <w:rsid w:val="00C9048F"/>
    <w:rsid w:val="00C90F2E"/>
    <w:rsid w:val="00C91166"/>
    <w:rsid w:val="00C9192D"/>
    <w:rsid w:val="00C91A45"/>
    <w:rsid w:val="00C93859"/>
    <w:rsid w:val="00C93B71"/>
    <w:rsid w:val="00C942FA"/>
    <w:rsid w:val="00C94BBF"/>
    <w:rsid w:val="00C956DB"/>
    <w:rsid w:val="00C95C27"/>
    <w:rsid w:val="00C95DF8"/>
    <w:rsid w:val="00C9617A"/>
    <w:rsid w:val="00C96244"/>
    <w:rsid w:val="00C9678B"/>
    <w:rsid w:val="00C9680B"/>
    <w:rsid w:val="00C96FF7"/>
    <w:rsid w:val="00C977E8"/>
    <w:rsid w:val="00CA0F20"/>
    <w:rsid w:val="00CA17BD"/>
    <w:rsid w:val="00CA1A2A"/>
    <w:rsid w:val="00CA1DC5"/>
    <w:rsid w:val="00CA22C4"/>
    <w:rsid w:val="00CA2753"/>
    <w:rsid w:val="00CA2BE7"/>
    <w:rsid w:val="00CA2F18"/>
    <w:rsid w:val="00CA34ED"/>
    <w:rsid w:val="00CA3F79"/>
    <w:rsid w:val="00CA4187"/>
    <w:rsid w:val="00CA41AB"/>
    <w:rsid w:val="00CA45AD"/>
    <w:rsid w:val="00CA46B8"/>
    <w:rsid w:val="00CA4B97"/>
    <w:rsid w:val="00CA4D46"/>
    <w:rsid w:val="00CA5E8D"/>
    <w:rsid w:val="00CA68C9"/>
    <w:rsid w:val="00CA69AE"/>
    <w:rsid w:val="00CA7C01"/>
    <w:rsid w:val="00CA7CA8"/>
    <w:rsid w:val="00CA7EB4"/>
    <w:rsid w:val="00CB019A"/>
    <w:rsid w:val="00CB0ED7"/>
    <w:rsid w:val="00CB15CA"/>
    <w:rsid w:val="00CB19A5"/>
    <w:rsid w:val="00CB1C7E"/>
    <w:rsid w:val="00CB2E15"/>
    <w:rsid w:val="00CB2E79"/>
    <w:rsid w:val="00CB2FA2"/>
    <w:rsid w:val="00CB39AF"/>
    <w:rsid w:val="00CB3AA1"/>
    <w:rsid w:val="00CB3CB9"/>
    <w:rsid w:val="00CB49E4"/>
    <w:rsid w:val="00CB54D4"/>
    <w:rsid w:val="00CB57A1"/>
    <w:rsid w:val="00CB57D8"/>
    <w:rsid w:val="00CB5A40"/>
    <w:rsid w:val="00CB5EAF"/>
    <w:rsid w:val="00CB5FC6"/>
    <w:rsid w:val="00CB6ED8"/>
    <w:rsid w:val="00CB7771"/>
    <w:rsid w:val="00CB7A7A"/>
    <w:rsid w:val="00CB7FEE"/>
    <w:rsid w:val="00CC0687"/>
    <w:rsid w:val="00CC0B06"/>
    <w:rsid w:val="00CC1AAA"/>
    <w:rsid w:val="00CC1E51"/>
    <w:rsid w:val="00CC3186"/>
    <w:rsid w:val="00CC4022"/>
    <w:rsid w:val="00CC4216"/>
    <w:rsid w:val="00CC449A"/>
    <w:rsid w:val="00CC4BE9"/>
    <w:rsid w:val="00CC4D42"/>
    <w:rsid w:val="00CC51BE"/>
    <w:rsid w:val="00CC52AC"/>
    <w:rsid w:val="00CC5B57"/>
    <w:rsid w:val="00CC5BFC"/>
    <w:rsid w:val="00CC5F6E"/>
    <w:rsid w:val="00CC75BE"/>
    <w:rsid w:val="00CC75D4"/>
    <w:rsid w:val="00CC79D5"/>
    <w:rsid w:val="00CC7D7B"/>
    <w:rsid w:val="00CC7D8F"/>
    <w:rsid w:val="00CD031C"/>
    <w:rsid w:val="00CD03D6"/>
    <w:rsid w:val="00CD070B"/>
    <w:rsid w:val="00CD2A1F"/>
    <w:rsid w:val="00CD2F95"/>
    <w:rsid w:val="00CD3064"/>
    <w:rsid w:val="00CD3441"/>
    <w:rsid w:val="00CD390B"/>
    <w:rsid w:val="00CD394B"/>
    <w:rsid w:val="00CD4152"/>
    <w:rsid w:val="00CD4483"/>
    <w:rsid w:val="00CD46ED"/>
    <w:rsid w:val="00CD477E"/>
    <w:rsid w:val="00CD4B7F"/>
    <w:rsid w:val="00CD4C41"/>
    <w:rsid w:val="00CD5CE1"/>
    <w:rsid w:val="00CD628F"/>
    <w:rsid w:val="00CD62FE"/>
    <w:rsid w:val="00CD766B"/>
    <w:rsid w:val="00CD7EB6"/>
    <w:rsid w:val="00CE04DE"/>
    <w:rsid w:val="00CE0E84"/>
    <w:rsid w:val="00CE10B1"/>
    <w:rsid w:val="00CE14D6"/>
    <w:rsid w:val="00CE153D"/>
    <w:rsid w:val="00CE1D7B"/>
    <w:rsid w:val="00CE2118"/>
    <w:rsid w:val="00CE243F"/>
    <w:rsid w:val="00CE3175"/>
    <w:rsid w:val="00CE3293"/>
    <w:rsid w:val="00CE3C6D"/>
    <w:rsid w:val="00CE3C82"/>
    <w:rsid w:val="00CE43B1"/>
    <w:rsid w:val="00CE45DB"/>
    <w:rsid w:val="00CE537D"/>
    <w:rsid w:val="00CE55AA"/>
    <w:rsid w:val="00CE6D9E"/>
    <w:rsid w:val="00CE794B"/>
    <w:rsid w:val="00CE7C39"/>
    <w:rsid w:val="00CF05EA"/>
    <w:rsid w:val="00CF0FB9"/>
    <w:rsid w:val="00CF248F"/>
    <w:rsid w:val="00CF3522"/>
    <w:rsid w:val="00CF3F37"/>
    <w:rsid w:val="00CF4A46"/>
    <w:rsid w:val="00CF4BD8"/>
    <w:rsid w:val="00CF5506"/>
    <w:rsid w:val="00CF581A"/>
    <w:rsid w:val="00CF6248"/>
    <w:rsid w:val="00CF63D1"/>
    <w:rsid w:val="00CF74C0"/>
    <w:rsid w:val="00CF7897"/>
    <w:rsid w:val="00CF7997"/>
    <w:rsid w:val="00D009E0"/>
    <w:rsid w:val="00D00AB4"/>
    <w:rsid w:val="00D013D9"/>
    <w:rsid w:val="00D01E38"/>
    <w:rsid w:val="00D026AB"/>
    <w:rsid w:val="00D0283B"/>
    <w:rsid w:val="00D02ABB"/>
    <w:rsid w:val="00D03A98"/>
    <w:rsid w:val="00D03BB9"/>
    <w:rsid w:val="00D03D4D"/>
    <w:rsid w:val="00D03E69"/>
    <w:rsid w:val="00D03F6C"/>
    <w:rsid w:val="00D0415C"/>
    <w:rsid w:val="00D04983"/>
    <w:rsid w:val="00D05778"/>
    <w:rsid w:val="00D070FF"/>
    <w:rsid w:val="00D075A4"/>
    <w:rsid w:val="00D07D94"/>
    <w:rsid w:val="00D1058E"/>
    <w:rsid w:val="00D12059"/>
    <w:rsid w:val="00D1239D"/>
    <w:rsid w:val="00D125DE"/>
    <w:rsid w:val="00D12DF5"/>
    <w:rsid w:val="00D13777"/>
    <w:rsid w:val="00D13BB6"/>
    <w:rsid w:val="00D13C2D"/>
    <w:rsid w:val="00D1459C"/>
    <w:rsid w:val="00D151F0"/>
    <w:rsid w:val="00D15F8E"/>
    <w:rsid w:val="00D1690E"/>
    <w:rsid w:val="00D16A78"/>
    <w:rsid w:val="00D172D8"/>
    <w:rsid w:val="00D173A5"/>
    <w:rsid w:val="00D178E9"/>
    <w:rsid w:val="00D17B3F"/>
    <w:rsid w:val="00D17F1D"/>
    <w:rsid w:val="00D219D5"/>
    <w:rsid w:val="00D21BFA"/>
    <w:rsid w:val="00D2203E"/>
    <w:rsid w:val="00D2231C"/>
    <w:rsid w:val="00D23513"/>
    <w:rsid w:val="00D237C9"/>
    <w:rsid w:val="00D245E2"/>
    <w:rsid w:val="00D24A53"/>
    <w:rsid w:val="00D24C69"/>
    <w:rsid w:val="00D251CF"/>
    <w:rsid w:val="00D252B8"/>
    <w:rsid w:val="00D267D6"/>
    <w:rsid w:val="00D26BEC"/>
    <w:rsid w:val="00D2729A"/>
    <w:rsid w:val="00D27506"/>
    <w:rsid w:val="00D27E6C"/>
    <w:rsid w:val="00D30F5A"/>
    <w:rsid w:val="00D3198D"/>
    <w:rsid w:val="00D32EAB"/>
    <w:rsid w:val="00D3357B"/>
    <w:rsid w:val="00D33953"/>
    <w:rsid w:val="00D34338"/>
    <w:rsid w:val="00D34688"/>
    <w:rsid w:val="00D35601"/>
    <w:rsid w:val="00D35F3B"/>
    <w:rsid w:val="00D36027"/>
    <w:rsid w:val="00D36337"/>
    <w:rsid w:val="00D36522"/>
    <w:rsid w:val="00D366B7"/>
    <w:rsid w:val="00D367F5"/>
    <w:rsid w:val="00D36C23"/>
    <w:rsid w:val="00D36FB2"/>
    <w:rsid w:val="00D375C7"/>
    <w:rsid w:val="00D3769E"/>
    <w:rsid w:val="00D40EAF"/>
    <w:rsid w:val="00D41034"/>
    <w:rsid w:val="00D411A8"/>
    <w:rsid w:val="00D413DA"/>
    <w:rsid w:val="00D41B99"/>
    <w:rsid w:val="00D42249"/>
    <w:rsid w:val="00D4244A"/>
    <w:rsid w:val="00D42487"/>
    <w:rsid w:val="00D4341B"/>
    <w:rsid w:val="00D44CC7"/>
    <w:rsid w:val="00D45867"/>
    <w:rsid w:val="00D4595F"/>
    <w:rsid w:val="00D45CE3"/>
    <w:rsid w:val="00D46157"/>
    <w:rsid w:val="00D4632C"/>
    <w:rsid w:val="00D4646A"/>
    <w:rsid w:val="00D466A8"/>
    <w:rsid w:val="00D46A18"/>
    <w:rsid w:val="00D46BEF"/>
    <w:rsid w:val="00D47187"/>
    <w:rsid w:val="00D4751A"/>
    <w:rsid w:val="00D47859"/>
    <w:rsid w:val="00D50011"/>
    <w:rsid w:val="00D500F2"/>
    <w:rsid w:val="00D5017E"/>
    <w:rsid w:val="00D508E4"/>
    <w:rsid w:val="00D50B2C"/>
    <w:rsid w:val="00D519D2"/>
    <w:rsid w:val="00D52284"/>
    <w:rsid w:val="00D5322C"/>
    <w:rsid w:val="00D533BF"/>
    <w:rsid w:val="00D53841"/>
    <w:rsid w:val="00D53C05"/>
    <w:rsid w:val="00D546B8"/>
    <w:rsid w:val="00D55294"/>
    <w:rsid w:val="00D56ACF"/>
    <w:rsid w:val="00D57152"/>
    <w:rsid w:val="00D57692"/>
    <w:rsid w:val="00D57AF1"/>
    <w:rsid w:val="00D57CBB"/>
    <w:rsid w:val="00D60236"/>
    <w:rsid w:val="00D60B43"/>
    <w:rsid w:val="00D60C45"/>
    <w:rsid w:val="00D614C7"/>
    <w:rsid w:val="00D61E9C"/>
    <w:rsid w:val="00D61F3D"/>
    <w:rsid w:val="00D61F93"/>
    <w:rsid w:val="00D623A8"/>
    <w:rsid w:val="00D62545"/>
    <w:rsid w:val="00D62EEF"/>
    <w:rsid w:val="00D6312F"/>
    <w:rsid w:val="00D63A3E"/>
    <w:rsid w:val="00D63D69"/>
    <w:rsid w:val="00D640F2"/>
    <w:rsid w:val="00D64236"/>
    <w:rsid w:val="00D642AD"/>
    <w:rsid w:val="00D64A40"/>
    <w:rsid w:val="00D64BD4"/>
    <w:rsid w:val="00D64E02"/>
    <w:rsid w:val="00D654E8"/>
    <w:rsid w:val="00D654FB"/>
    <w:rsid w:val="00D65619"/>
    <w:rsid w:val="00D66C42"/>
    <w:rsid w:val="00D67216"/>
    <w:rsid w:val="00D67780"/>
    <w:rsid w:val="00D701C2"/>
    <w:rsid w:val="00D7055C"/>
    <w:rsid w:val="00D709B0"/>
    <w:rsid w:val="00D71468"/>
    <w:rsid w:val="00D7160C"/>
    <w:rsid w:val="00D71741"/>
    <w:rsid w:val="00D71C1F"/>
    <w:rsid w:val="00D71CE6"/>
    <w:rsid w:val="00D72304"/>
    <w:rsid w:val="00D727B3"/>
    <w:rsid w:val="00D73210"/>
    <w:rsid w:val="00D73AD4"/>
    <w:rsid w:val="00D74862"/>
    <w:rsid w:val="00D756D2"/>
    <w:rsid w:val="00D75879"/>
    <w:rsid w:val="00D75908"/>
    <w:rsid w:val="00D75ECA"/>
    <w:rsid w:val="00D766A9"/>
    <w:rsid w:val="00D775CD"/>
    <w:rsid w:val="00D8005C"/>
    <w:rsid w:val="00D80A72"/>
    <w:rsid w:val="00D81003"/>
    <w:rsid w:val="00D8102B"/>
    <w:rsid w:val="00D81129"/>
    <w:rsid w:val="00D81A7D"/>
    <w:rsid w:val="00D8202C"/>
    <w:rsid w:val="00D82F39"/>
    <w:rsid w:val="00D8378B"/>
    <w:rsid w:val="00D846D9"/>
    <w:rsid w:val="00D84B62"/>
    <w:rsid w:val="00D84CF1"/>
    <w:rsid w:val="00D84F1E"/>
    <w:rsid w:val="00D859E0"/>
    <w:rsid w:val="00D85CF7"/>
    <w:rsid w:val="00D863F7"/>
    <w:rsid w:val="00D87225"/>
    <w:rsid w:val="00D87307"/>
    <w:rsid w:val="00D87322"/>
    <w:rsid w:val="00D8792C"/>
    <w:rsid w:val="00D87974"/>
    <w:rsid w:val="00D87B4D"/>
    <w:rsid w:val="00D87C8F"/>
    <w:rsid w:val="00D87F7F"/>
    <w:rsid w:val="00D9076C"/>
    <w:rsid w:val="00D90F3C"/>
    <w:rsid w:val="00D91686"/>
    <w:rsid w:val="00D9181C"/>
    <w:rsid w:val="00D91841"/>
    <w:rsid w:val="00D918BC"/>
    <w:rsid w:val="00D9191D"/>
    <w:rsid w:val="00D91D95"/>
    <w:rsid w:val="00D91E5A"/>
    <w:rsid w:val="00D92454"/>
    <w:rsid w:val="00D9270B"/>
    <w:rsid w:val="00D927AB"/>
    <w:rsid w:val="00D93CB6"/>
    <w:rsid w:val="00D94506"/>
    <w:rsid w:val="00D94C19"/>
    <w:rsid w:val="00D94FA6"/>
    <w:rsid w:val="00D95DD1"/>
    <w:rsid w:val="00D96A20"/>
    <w:rsid w:val="00D97020"/>
    <w:rsid w:val="00DA2813"/>
    <w:rsid w:val="00DA2C32"/>
    <w:rsid w:val="00DA2DF2"/>
    <w:rsid w:val="00DA31ED"/>
    <w:rsid w:val="00DA36B3"/>
    <w:rsid w:val="00DA467B"/>
    <w:rsid w:val="00DA4DDB"/>
    <w:rsid w:val="00DA53B9"/>
    <w:rsid w:val="00DA64C9"/>
    <w:rsid w:val="00DA6B67"/>
    <w:rsid w:val="00DA7371"/>
    <w:rsid w:val="00DA74CE"/>
    <w:rsid w:val="00DA7705"/>
    <w:rsid w:val="00DA7878"/>
    <w:rsid w:val="00DA7D78"/>
    <w:rsid w:val="00DA7F35"/>
    <w:rsid w:val="00DB005E"/>
    <w:rsid w:val="00DB0592"/>
    <w:rsid w:val="00DB0B44"/>
    <w:rsid w:val="00DB3023"/>
    <w:rsid w:val="00DB3613"/>
    <w:rsid w:val="00DB3DB1"/>
    <w:rsid w:val="00DB3E6A"/>
    <w:rsid w:val="00DB3FDB"/>
    <w:rsid w:val="00DB4D86"/>
    <w:rsid w:val="00DB514B"/>
    <w:rsid w:val="00DB5712"/>
    <w:rsid w:val="00DB5C0E"/>
    <w:rsid w:val="00DB5D10"/>
    <w:rsid w:val="00DB5E0E"/>
    <w:rsid w:val="00DB6379"/>
    <w:rsid w:val="00DB64AA"/>
    <w:rsid w:val="00DB657F"/>
    <w:rsid w:val="00DB65C2"/>
    <w:rsid w:val="00DB70EE"/>
    <w:rsid w:val="00DB75A4"/>
    <w:rsid w:val="00DB7827"/>
    <w:rsid w:val="00DB7BF9"/>
    <w:rsid w:val="00DC00C7"/>
    <w:rsid w:val="00DC0554"/>
    <w:rsid w:val="00DC07F1"/>
    <w:rsid w:val="00DC1828"/>
    <w:rsid w:val="00DC1A6F"/>
    <w:rsid w:val="00DC2DC5"/>
    <w:rsid w:val="00DC30EA"/>
    <w:rsid w:val="00DC33EC"/>
    <w:rsid w:val="00DC3F9B"/>
    <w:rsid w:val="00DC4D22"/>
    <w:rsid w:val="00DC5B2D"/>
    <w:rsid w:val="00DC70CD"/>
    <w:rsid w:val="00DC7E6F"/>
    <w:rsid w:val="00DD00EA"/>
    <w:rsid w:val="00DD1BD3"/>
    <w:rsid w:val="00DD1EFE"/>
    <w:rsid w:val="00DD20DE"/>
    <w:rsid w:val="00DD2C33"/>
    <w:rsid w:val="00DD3B6A"/>
    <w:rsid w:val="00DD405B"/>
    <w:rsid w:val="00DD4974"/>
    <w:rsid w:val="00DD553E"/>
    <w:rsid w:val="00DD638A"/>
    <w:rsid w:val="00DD64CB"/>
    <w:rsid w:val="00DD6531"/>
    <w:rsid w:val="00DD6E0E"/>
    <w:rsid w:val="00DD6F13"/>
    <w:rsid w:val="00DD7BF9"/>
    <w:rsid w:val="00DD7C13"/>
    <w:rsid w:val="00DD7C7A"/>
    <w:rsid w:val="00DE037E"/>
    <w:rsid w:val="00DE0759"/>
    <w:rsid w:val="00DE0DFB"/>
    <w:rsid w:val="00DE1550"/>
    <w:rsid w:val="00DE176E"/>
    <w:rsid w:val="00DE1EC9"/>
    <w:rsid w:val="00DE23F2"/>
    <w:rsid w:val="00DE28B1"/>
    <w:rsid w:val="00DE38AA"/>
    <w:rsid w:val="00DE4CB8"/>
    <w:rsid w:val="00DE5A1E"/>
    <w:rsid w:val="00DE5EEE"/>
    <w:rsid w:val="00DE6721"/>
    <w:rsid w:val="00DE6912"/>
    <w:rsid w:val="00DE6F95"/>
    <w:rsid w:val="00DE7355"/>
    <w:rsid w:val="00DE77E7"/>
    <w:rsid w:val="00DE7E8B"/>
    <w:rsid w:val="00DF04A6"/>
    <w:rsid w:val="00DF0745"/>
    <w:rsid w:val="00DF0790"/>
    <w:rsid w:val="00DF15B6"/>
    <w:rsid w:val="00DF15EC"/>
    <w:rsid w:val="00DF1806"/>
    <w:rsid w:val="00DF1C2D"/>
    <w:rsid w:val="00DF1F85"/>
    <w:rsid w:val="00DF20CE"/>
    <w:rsid w:val="00DF20EA"/>
    <w:rsid w:val="00DF2974"/>
    <w:rsid w:val="00DF33BA"/>
    <w:rsid w:val="00DF3422"/>
    <w:rsid w:val="00DF3E3B"/>
    <w:rsid w:val="00DF45FF"/>
    <w:rsid w:val="00DF4CEB"/>
    <w:rsid w:val="00DF79A3"/>
    <w:rsid w:val="00E00282"/>
    <w:rsid w:val="00E0043E"/>
    <w:rsid w:val="00E00A75"/>
    <w:rsid w:val="00E0156F"/>
    <w:rsid w:val="00E01C97"/>
    <w:rsid w:val="00E027C2"/>
    <w:rsid w:val="00E02F4E"/>
    <w:rsid w:val="00E045EF"/>
    <w:rsid w:val="00E052C4"/>
    <w:rsid w:val="00E05CBA"/>
    <w:rsid w:val="00E0621A"/>
    <w:rsid w:val="00E06561"/>
    <w:rsid w:val="00E06583"/>
    <w:rsid w:val="00E0766D"/>
    <w:rsid w:val="00E10090"/>
    <w:rsid w:val="00E102DD"/>
    <w:rsid w:val="00E10331"/>
    <w:rsid w:val="00E10935"/>
    <w:rsid w:val="00E10C1D"/>
    <w:rsid w:val="00E10D76"/>
    <w:rsid w:val="00E11A6C"/>
    <w:rsid w:val="00E11AE0"/>
    <w:rsid w:val="00E12585"/>
    <w:rsid w:val="00E126E5"/>
    <w:rsid w:val="00E1421F"/>
    <w:rsid w:val="00E14A2C"/>
    <w:rsid w:val="00E14C3C"/>
    <w:rsid w:val="00E15680"/>
    <w:rsid w:val="00E1644C"/>
    <w:rsid w:val="00E16730"/>
    <w:rsid w:val="00E16852"/>
    <w:rsid w:val="00E16DB7"/>
    <w:rsid w:val="00E177F1"/>
    <w:rsid w:val="00E17D33"/>
    <w:rsid w:val="00E203ED"/>
    <w:rsid w:val="00E20CD7"/>
    <w:rsid w:val="00E20D09"/>
    <w:rsid w:val="00E2106E"/>
    <w:rsid w:val="00E21495"/>
    <w:rsid w:val="00E21AD7"/>
    <w:rsid w:val="00E22D0F"/>
    <w:rsid w:val="00E23557"/>
    <w:rsid w:val="00E24B81"/>
    <w:rsid w:val="00E24C2A"/>
    <w:rsid w:val="00E251C3"/>
    <w:rsid w:val="00E25EB1"/>
    <w:rsid w:val="00E26382"/>
    <w:rsid w:val="00E264C0"/>
    <w:rsid w:val="00E267AA"/>
    <w:rsid w:val="00E26870"/>
    <w:rsid w:val="00E273E5"/>
    <w:rsid w:val="00E27FB8"/>
    <w:rsid w:val="00E30064"/>
    <w:rsid w:val="00E301E4"/>
    <w:rsid w:val="00E3078A"/>
    <w:rsid w:val="00E319E0"/>
    <w:rsid w:val="00E32209"/>
    <w:rsid w:val="00E3275C"/>
    <w:rsid w:val="00E327B1"/>
    <w:rsid w:val="00E327B9"/>
    <w:rsid w:val="00E32A5E"/>
    <w:rsid w:val="00E32E66"/>
    <w:rsid w:val="00E331E4"/>
    <w:rsid w:val="00E3328F"/>
    <w:rsid w:val="00E3413D"/>
    <w:rsid w:val="00E34633"/>
    <w:rsid w:val="00E3470A"/>
    <w:rsid w:val="00E34CED"/>
    <w:rsid w:val="00E35CBE"/>
    <w:rsid w:val="00E35DC5"/>
    <w:rsid w:val="00E36239"/>
    <w:rsid w:val="00E374E2"/>
    <w:rsid w:val="00E37695"/>
    <w:rsid w:val="00E37830"/>
    <w:rsid w:val="00E37F55"/>
    <w:rsid w:val="00E40453"/>
    <w:rsid w:val="00E4059C"/>
    <w:rsid w:val="00E405F0"/>
    <w:rsid w:val="00E40680"/>
    <w:rsid w:val="00E40C1A"/>
    <w:rsid w:val="00E41014"/>
    <w:rsid w:val="00E421F2"/>
    <w:rsid w:val="00E428CB"/>
    <w:rsid w:val="00E4423D"/>
    <w:rsid w:val="00E449C3"/>
    <w:rsid w:val="00E45020"/>
    <w:rsid w:val="00E4528A"/>
    <w:rsid w:val="00E45C08"/>
    <w:rsid w:val="00E46502"/>
    <w:rsid w:val="00E4665D"/>
    <w:rsid w:val="00E46F6A"/>
    <w:rsid w:val="00E471E6"/>
    <w:rsid w:val="00E476E0"/>
    <w:rsid w:val="00E47DDE"/>
    <w:rsid w:val="00E50124"/>
    <w:rsid w:val="00E519D8"/>
    <w:rsid w:val="00E51DD3"/>
    <w:rsid w:val="00E5209E"/>
    <w:rsid w:val="00E5271E"/>
    <w:rsid w:val="00E52BC4"/>
    <w:rsid w:val="00E5334A"/>
    <w:rsid w:val="00E536C6"/>
    <w:rsid w:val="00E53B8E"/>
    <w:rsid w:val="00E543EE"/>
    <w:rsid w:val="00E54422"/>
    <w:rsid w:val="00E548D1"/>
    <w:rsid w:val="00E54D9C"/>
    <w:rsid w:val="00E54E59"/>
    <w:rsid w:val="00E55EA3"/>
    <w:rsid w:val="00E55FAC"/>
    <w:rsid w:val="00E56130"/>
    <w:rsid w:val="00E56574"/>
    <w:rsid w:val="00E56D19"/>
    <w:rsid w:val="00E5737A"/>
    <w:rsid w:val="00E57704"/>
    <w:rsid w:val="00E5776E"/>
    <w:rsid w:val="00E57954"/>
    <w:rsid w:val="00E57C07"/>
    <w:rsid w:val="00E57D82"/>
    <w:rsid w:val="00E57EE7"/>
    <w:rsid w:val="00E60ABC"/>
    <w:rsid w:val="00E60D04"/>
    <w:rsid w:val="00E612CC"/>
    <w:rsid w:val="00E617FF"/>
    <w:rsid w:val="00E62268"/>
    <w:rsid w:val="00E6294C"/>
    <w:rsid w:val="00E62B0B"/>
    <w:rsid w:val="00E63504"/>
    <w:rsid w:val="00E638BA"/>
    <w:rsid w:val="00E64509"/>
    <w:rsid w:val="00E649FC"/>
    <w:rsid w:val="00E64AAF"/>
    <w:rsid w:val="00E65DDD"/>
    <w:rsid w:val="00E65EFB"/>
    <w:rsid w:val="00E6668F"/>
    <w:rsid w:val="00E666DD"/>
    <w:rsid w:val="00E66B4A"/>
    <w:rsid w:val="00E671F0"/>
    <w:rsid w:val="00E70402"/>
    <w:rsid w:val="00E707EA"/>
    <w:rsid w:val="00E7123B"/>
    <w:rsid w:val="00E712EA"/>
    <w:rsid w:val="00E722A5"/>
    <w:rsid w:val="00E7292C"/>
    <w:rsid w:val="00E73482"/>
    <w:rsid w:val="00E73537"/>
    <w:rsid w:val="00E740DA"/>
    <w:rsid w:val="00E7455D"/>
    <w:rsid w:val="00E74802"/>
    <w:rsid w:val="00E74B06"/>
    <w:rsid w:val="00E74D9F"/>
    <w:rsid w:val="00E75AAC"/>
    <w:rsid w:val="00E75D1F"/>
    <w:rsid w:val="00E76625"/>
    <w:rsid w:val="00E76C41"/>
    <w:rsid w:val="00E76F7A"/>
    <w:rsid w:val="00E775FB"/>
    <w:rsid w:val="00E77687"/>
    <w:rsid w:val="00E77DAA"/>
    <w:rsid w:val="00E804A3"/>
    <w:rsid w:val="00E80681"/>
    <w:rsid w:val="00E8086C"/>
    <w:rsid w:val="00E813F4"/>
    <w:rsid w:val="00E819A8"/>
    <w:rsid w:val="00E81A7F"/>
    <w:rsid w:val="00E81FAF"/>
    <w:rsid w:val="00E826D1"/>
    <w:rsid w:val="00E828CB"/>
    <w:rsid w:val="00E83AFD"/>
    <w:rsid w:val="00E844C3"/>
    <w:rsid w:val="00E845F8"/>
    <w:rsid w:val="00E846DB"/>
    <w:rsid w:val="00E85157"/>
    <w:rsid w:val="00E86555"/>
    <w:rsid w:val="00E8695C"/>
    <w:rsid w:val="00E86FEA"/>
    <w:rsid w:val="00E87559"/>
    <w:rsid w:val="00E87DDD"/>
    <w:rsid w:val="00E9006C"/>
    <w:rsid w:val="00E9023B"/>
    <w:rsid w:val="00E9047A"/>
    <w:rsid w:val="00E90609"/>
    <w:rsid w:val="00E913B3"/>
    <w:rsid w:val="00E918B7"/>
    <w:rsid w:val="00E92565"/>
    <w:rsid w:val="00E9260C"/>
    <w:rsid w:val="00E9266C"/>
    <w:rsid w:val="00E932D1"/>
    <w:rsid w:val="00E93C7E"/>
    <w:rsid w:val="00E93EB9"/>
    <w:rsid w:val="00E94DAA"/>
    <w:rsid w:val="00E9526E"/>
    <w:rsid w:val="00E96468"/>
    <w:rsid w:val="00E96F68"/>
    <w:rsid w:val="00E970D7"/>
    <w:rsid w:val="00E972EE"/>
    <w:rsid w:val="00E978CC"/>
    <w:rsid w:val="00E97B84"/>
    <w:rsid w:val="00E97F38"/>
    <w:rsid w:val="00EA0289"/>
    <w:rsid w:val="00EA0FCE"/>
    <w:rsid w:val="00EA18A8"/>
    <w:rsid w:val="00EA2142"/>
    <w:rsid w:val="00EA2D29"/>
    <w:rsid w:val="00EA3749"/>
    <w:rsid w:val="00EA3CF5"/>
    <w:rsid w:val="00EA4BB6"/>
    <w:rsid w:val="00EA59B0"/>
    <w:rsid w:val="00EA6094"/>
    <w:rsid w:val="00EA6224"/>
    <w:rsid w:val="00EA6D93"/>
    <w:rsid w:val="00EA70F7"/>
    <w:rsid w:val="00EA7446"/>
    <w:rsid w:val="00EB004D"/>
    <w:rsid w:val="00EB0146"/>
    <w:rsid w:val="00EB02C1"/>
    <w:rsid w:val="00EB0322"/>
    <w:rsid w:val="00EB05F5"/>
    <w:rsid w:val="00EB0ACA"/>
    <w:rsid w:val="00EB153B"/>
    <w:rsid w:val="00EB159C"/>
    <w:rsid w:val="00EB1BE8"/>
    <w:rsid w:val="00EB2D5C"/>
    <w:rsid w:val="00EB3802"/>
    <w:rsid w:val="00EB46FA"/>
    <w:rsid w:val="00EB48F6"/>
    <w:rsid w:val="00EB4BEB"/>
    <w:rsid w:val="00EB5287"/>
    <w:rsid w:val="00EB6405"/>
    <w:rsid w:val="00EB6587"/>
    <w:rsid w:val="00EB66AC"/>
    <w:rsid w:val="00EB69B4"/>
    <w:rsid w:val="00EB7059"/>
    <w:rsid w:val="00EB7932"/>
    <w:rsid w:val="00EB7E38"/>
    <w:rsid w:val="00EC0214"/>
    <w:rsid w:val="00EC05BA"/>
    <w:rsid w:val="00EC178C"/>
    <w:rsid w:val="00EC1A16"/>
    <w:rsid w:val="00EC1D75"/>
    <w:rsid w:val="00EC20DA"/>
    <w:rsid w:val="00EC238B"/>
    <w:rsid w:val="00EC3117"/>
    <w:rsid w:val="00EC3329"/>
    <w:rsid w:val="00EC3C44"/>
    <w:rsid w:val="00EC478C"/>
    <w:rsid w:val="00EC517B"/>
    <w:rsid w:val="00EC5B0D"/>
    <w:rsid w:val="00EC6364"/>
    <w:rsid w:val="00EC7114"/>
    <w:rsid w:val="00EC7D15"/>
    <w:rsid w:val="00EC7DAA"/>
    <w:rsid w:val="00EC7DB0"/>
    <w:rsid w:val="00EC7EDB"/>
    <w:rsid w:val="00ED019F"/>
    <w:rsid w:val="00ED024A"/>
    <w:rsid w:val="00ED12B0"/>
    <w:rsid w:val="00ED1F83"/>
    <w:rsid w:val="00ED213F"/>
    <w:rsid w:val="00ED2540"/>
    <w:rsid w:val="00ED2DB8"/>
    <w:rsid w:val="00ED379B"/>
    <w:rsid w:val="00ED3AA3"/>
    <w:rsid w:val="00ED45E3"/>
    <w:rsid w:val="00ED4783"/>
    <w:rsid w:val="00ED49B3"/>
    <w:rsid w:val="00ED4C0D"/>
    <w:rsid w:val="00ED51DE"/>
    <w:rsid w:val="00ED53CB"/>
    <w:rsid w:val="00ED54B4"/>
    <w:rsid w:val="00ED5993"/>
    <w:rsid w:val="00ED5A24"/>
    <w:rsid w:val="00ED6222"/>
    <w:rsid w:val="00ED6F3C"/>
    <w:rsid w:val="00ED74B3"/>
    <w:rsid w:val="00ED74C3"/>
    <w:rsid w:val="00ED79B4"/>
    <w:rsid w:val="00ED7E44"/>
    <w:rsid w:val="00EE0A57"/>
    <w:rsid w:val="00EE1B4A"/>
    <w:rsid w:val="00EE1C17"/>
    <w:rsid w:val="00EE1D56"/>
    <w:rsid w:val="00EE235A"/>
    <w:rsid w:val="00EE294E"/>
    <w:rsid w:val="00EE35B8"/>
    <w:rsid w:val="00EE3EC0"/>
    <w:rsid w:val="00EE427C"/>
    <w:rsid w:val="00EE4392"/>
    <w:rsid w:val="00EE4B3F"/>
    <w:rsid w:val="00EE4DCC"/>
    <w:rsid w:val="00EE5425"/>
    <w:rsid w:val="00EE5BB3"/>
    <w:rsid w:val="00EE7273"/>
    <w:rsid w:val="00EE74FC"/>
    <w:rsid w:val="00EE7916"/>
    <w:rsid w:val="00EE793A"/>
    <w:rsid w:val="00EE7A69"/>
    <w:rsid w:val="00EE7C99"/>
    <w:rsid w:val="00EF0A64"/>
    <w:rsid w:val="00EF132F"/>
    <w:rsid w:val="00EF1392"/>
    <w:rsid w:val="00EF19D9"/>
    <w:rsid w:val="00EF2467"/>
    <w:rsid w:val="00EF4844"/>
    <w:rsid w:val="00EF4853"/>
    <w:rsid w:val="00EF4A5A"/>
    <w:rsid w:val="00EF4E5E"/>
    <w:rsid w:val="00EF5667"/>
    <w:rsid w:val="00EF5D5A"/>
    <w:rsid w:val="00EF5D5C"/>
    <w:rsid w:val="00EF6786"/>
    <w:rsid w:val="00EF6D04"/>
    <w:rsid w:val="00EF6D93"/>
    <w:rsid w:val="00EF6EEB"/>
    <w:rsid w:val="00EF760F"/>
    <w:rsid w:val="00F00002"/>
    <w:rsid w:val="00F003C1"/>
    <w:rsid w:val="00F0069C"/>
    <w:rsid w:val="00F00918"/>
    <w:rsid w:val="00F009C1"/>
    <w:rsid w:val="00F00EA8"/>
    <w:rsid w:val="00F011DB"/>
    <w:rsid w:val="00F01A4D"/>
    <w:rsid w:val="00F01EB1"/>
    <w:rsid w:val="00F021AC"/>
    <w:rsid w:val="00F0223F"/>
    <w:rsid w:val="00F029BC"/>
    <w:rsid w:val="00F02BBD"/>
    <w:rsid w:val="00F02C66"/>
    <w:rsid w:val="00F031F5"/>
    <w:rsid w:val="00F036A3"/>
    <w:rsid w:val="00F0373C"/>
    <w:rsid w:val="00F03B42"/>
    <w:rsid w:val="00F04921"/>
    <w:rsid w:val="00F05D9F"/>
    <w:rsid w:val="00F06854"/>
    <w:rsid w:val="00F07604"/>
    <w:rsid w:val="00F07613"/>
    <w:rsid w:val="00F0767F"/>
    <w:rsid w:val="00F0785A"/>
    <w:rsid w:val="00F078EC"/>
    <w:rsid w:val="00F07B9B"/>
    <w:rsid w:val="00F07C18"/>
    <w:rsid w:val="00F11356"/>
    <w:rsid w:val="00F11778"/>
    <w:rsid w:val="00F12629"/>
    <w:rsid w:val="00F1308B"/>
    <w:rsid w:val="00F143DE"/>
    <w:rsid w:val="00F1440B"/>
    <w:rsid w:val="00F14777"/>
    <w:rsid w:val="00F147E6"/>
    <w:rsid w:val="00F14FD5"/>
    <w:rsid w:val="00F15E67"/>
    <w:rsid w:val="00F15EFD"/>
    <w:rsid w:val="00F15EFE"/>
    <w:rsid w:val="00F164DE"/>
    <w:rsid w:val="00F16634"/>
    <w:rsid w:val="00F1730F"/>
    <w:rsid w:val="00F178D2"/>
    <w:rsid w:val="00F17A79"/>
    <w:rsid w:val="00F17C66"/>
    <w:rsid w:val="00F202DD"/>
    <w:rsid w:val="00F20C34"/>
    <w:rsid w:val="00F21609"/>
    <w:rsid w:val="00F21A45"/>
    <w:rsid w:val="00F21B53"/>
    <w:rsid w:val="00F2201B"/>
    <w:rsid w:val="00F22343"/>
    <w:rsid w:val="00F22404"/>
    <w:rsid w:val="00F226B6"/>
    <w:rsid w:val="00F22D6E"/>
    <w:rsid w:val="00F236D5"/>
    <w:rsid w:val="00F238EF"/>
    <w:rsid w:val="00F24B8E"/>
    <w:rsid w:val="00F24D6A"/>
    <w:rsid w:val="00F251A5"/>
    <w:rsid w:val="00F2574A"/>
    <w:rsid w:val="00F25763"/>
    <w:rsid w:val="00F2594A"/>
    <w:rsid w:val="00F25CA3"/>
    <w:rsid w:val="00F25FC7"/>
    <w:rsid w:val="00F2630A"/>
    <w:rsid w:val="00F263AD"/>
    <w:rsid w:val="00F264B8"/>
    <w:rsid w:val="00F26A5A"/>
    <w:rsid w:val="00F26D06"/>
    <w:rsid w:val="00F26D38"/>
    <w:rsid w:val="00F3040E"/>
    <w:rsid w:val="00F304A8"/>
    <w:rsid w:val="00F309CA"/>
    <w:rsid w:val="00F30B91"/>
    <w:rsid w:val="00F30F5D"/>
    <w:rsid w:val="00F31206"/>
    <w:rsid w:val="00F3173A"/>
    <w:rsid w:val="00F31861"/>
    <w:rsid w:val="00F32088"/>
    <w:rsid w:val="00F32913"/>
    <w:rsid w:val="00F32A66"/>
    <w:rsid w:val="00F350C6"/>
    <w:rsid w:val="00F366FB"/>
    <w:rsid w:val="00F36C9F"/>
    <w:rsid w:val="00F375F4"/>
    <w:rsid w:val="00F378A6"/>
    <w:rsid w:val="00F3796D"/>
    <w:rsid w:val="00F40B27"/>
    <w:rsid w:val="00F40BE9"/>
    <w:rsid w:val="00F411C1"/>
    <w:rsid w:val="00F4123C"/>
    <w:rsid w:val="00F4131E"/>
    <w:rsid w:val="00F42164"/>
    <w:rsid w:val="00F42AC0"/>
    <w:rsid w:val="00F445FF"/>
    <w:rsid w:val="00F4463B"/>
    <w:rsid w:val="00F451D4"/>
    <w:rsid w:val="00F4541A"/>
    <w:rsid w:val="00F45BD4"/>
    <w:rsid w:val="00F45EDF"/>
    <w:rsid w:val="00F4625D"/>
    <w:rsid w:val="00F4638F"/>
    <w:rsid w:val="00F468E9"/>
    <w:rsid w:val="00F473D8"/>
    <w:rsid w:val="00F47788"/>
    <w:rsid w:val="00F47849"/>
    <w:rsid w:val="00F51106"/>
    <w:rsid w:val="00F514E3"/>
    <w:rsid w:val="00F51A14"/>
    <w:rsid w:val="00F521AA"/>
    <w:rsid w:val="00F52501"/>
    <w:rsid w:val="00F52838"/>
    <w:rsid w:val="00F52FE8"/>
    <w:rsid w:val="00F53B78"/>
    <w:rsid w:val="00F54251"/>
    <w:rsid w:val="00F547A4"/>
    <w:rsid w:val="00F54897"/>
    <w:rsid w:val="00F54D38"/>
    <w:rsid w:val="00F55082"/>
    <w:rsid w:val="00F553BF"/>
    <w:rsid w:val="00F55EAA"/>
    <w:rsid w:val="00F5629A"/>
    <w:rsid w:val="00F562A2"/>
    <w:rsid w:val="00F571DB"/>
    <w:rsid w:val="00F572FE"/>
    <w:rsid w:val="00F5774F"/>
    <w:rsid w:val="00F579D5"/>
    <w:rsid w:val="00F57E50"/>
    <w:rsid w:val="00F57F20"/>
    <w:rsid w:val="00F60617"/>
    <w:rsid w:val="00F60639"/>
    <w:rsid w:val="00F60F0A"/>
    <w:rsid w:val="00F61C2B"/>
    <w:rsid w:val="00F62348"/>
    <w:rsid w:val="00F625E6"/>
    <w:rsid w:val="00F62FEE"/>
    <w:rsid w:val="00F630ED"/>
    <w:rsid w:val="00F6367D"/>
    <w:rsid w:val="00F6436A"/>
    <w:rsid w:val="00F6480B"/>
    <w:rsid w:val="00F64B26"/>
    <w:rsid w:val="00F64BC9"/>
    <w:rsid w:val="00F651FB"/>
    <w:rsid w:val="00F655F5"/>
    <w:rsid w:val="00F65A67"/>
    <w:rsid w:val="00F66042"/>
    <w:rsid w:val="00F663E4"/>
    <w:rsid w:val="00F66822"/>
    <w:rsid w:val="00F66A6E"/>
    <w:rsid w:val="00F66D44"/>
    <w:rsid w:val="00F674DA"/>
    <w:rsid w:val="00F67D3F"/>
    <w:rsid w:val="00F700D8"/>
    <w:rsid w:val="00F708F1"/>
    <w:rsid w:val="00F70FDD"/>
    <w:rsid w:val="00F715E5"/>
    <w:rsid w:val="00F72845"/>
    <w:rsid w:val="00F729F1"/>
    <w:rsid w:val="00F72B73"/>
    <w:rsid w:val="00F73BCF"/>
    <w:rsid w:val="00F752A2"/>
    <w:rsid w:val="00F75AC3"/>
    <w:rsid w:val="00F75ADB"/>
    <w:rsid w:val="00F75EF5"/>
    <w:rsid w:val="00F76363"/>
    <w:rsid w:val="00F7685D"/>
    <w:rsid w:val="00F76C6C"/>
    <w:rsid w:val="00F76D4A"/>
    <w:rsid w:val="00F77119"/>
    <w:rsid w:val="00F77E63"/>
    <w:rsid w:val="00F8037E"/>
    <w:rsid w:val="00F803B7"/>
    <w:rsid w:val="00F806C9"/>
    <w:rsid w:val="00F807F7"/>
    <w:rsid w:val="00F816F6"/>
    <w:rsid w:val="00F838A8"/>
    <w:rsid w:val="00F83A8A"/>
    <w:rsid w:val="00F84A5A"/>
    <w:rsid w:val="00F85A9D"/>
    <w:rsid w:val="00F85B83"/>
    <w:rsid w:val="00F860D8"/>
    <w:rsid w:val="00F86914"/>
    <w:rsid w:val="00F86B73"/>
    <w:rsid w:val="00F870BF"/>
    <w:rsid w:val="00F8754B"/>
    <w:rsid w:val="00F90377"/>
    <w:rsid w:val="00F9176D"/>
    <w:rsid w:val="00F91D3B"/>
    <w:rsid w:val="00F91D8E"/>
    <w:rsid w:val="00F923B9"/>
    <w:rsid w:val="00F927E3"/>
    <w:rsid w:val="00F92F2C"/>
    <w:rsid w:val="00F934BB"/>
    <w:rsid w:val="00F939B6"/>
    <w:rsid w:val="00F9440D"/>
    <w:rsid w:val="00F94A68"/>
    <w:rsid w:val="00F94BC8"/>
    <w:rsid w:val="00F9640C"/>
    <w:rsid w:val="00F97BCC"/>
    <w:rsid w:val="00FA057A"/>
    <w:rsid w:val="00FA1322"/>
    <w:rsid w:val="00FA1A50"/>
    <w:rsid w:val="00FA1D9A"/>
    <w:rsid w:val="00FA1F76"/>
    <w:rsid w:val="00FA26F8"/>
    <w:rsid w:val="00FA276F"/>
    <w:rsid w:val="00FA3509"/>
    <w:rsid w:val="00FA357D"/>
    <w:rsid w:val="00FA3AE6"/>
    <w:rsid w:val="00FA3E60"/>
    <w:rsid w:val="00FA3EC1"/>
    <w:rsid w:val="00FA40E6"/>
    <w:rsid w:val="00FA49E0"/>
    <w:rsid w:val="00FA5819"/>
    <w:rsid w:val="00FA5C9E"/>
    <w:rsid w:val="00FA6F3D"/>
    <w:rsid w:val="00FA77FB"/>
    <w:rsid w:val="00FB016A"/>
    <w:rsid w:val="00FB055C"/>
    <w:rsid w:val="00FB0D77"/>
    <w:rsid w:val="00FB0D91"/>
    <w:rsid w:val="00FB0E86"/>
    <w:rsid w:val="00FB0F89"/>
    <w:rsid w:val="00FB1239"/>
    <w:rsid w:val="00FB274B"/>
    <w:rsid w:val="00FB39F2"/>
    <w:rsid w:val="00FB5B5B"/>
    <w:rsid w:val="00FB6CE2"/>
    <w:rsid w:val="00FB7A8F"/>
    <w:rsid w:val="00FC01EC"/>
    <w:rsid w:val="00FC051A"/>
    <w:rsid w:val="00FC1402"/>
    <w:rsid w:val="00FC15F6"/>
    <w:rsid w:val="00FC1B18"/>
    <w:rsid w:val="00FC2295"/>
    <w:rsid w:val="00FC35FA"/>
    <w:rsid w:val="00FC3D4C"/>
    <w:rsid w:val="00FC4846"/>
    <w:rsid w:val="00FC58D3"/>
    <w:rsid w:val="00FC7770"/>
    <w:rsid w:val="00FC7F65"/>
    <w:rsid w:val="00FD0D3F"/>
    <w:rsid w:val="00FD1298"/>
    <w:rsid w:val="00FD1AFF"/>
    <w:rsid w:val="00FD1CCA"/>
    <w:rsid w:val="00FD277B"/>
    <w:rsid w:val="00FD2CBA"/>
    <w:rsid w:val="00FD362E"/>
    <w:rsid w:val="00FD3816"/>
    <w:rsid w:val="00FD3AEE"/>
    <w:rsid w:val="00FD4281"/>
    <w:rsid w:val="00FD5DF2"/>
    <w:rsid w:val="00FD675A"/>
    <w:rsid w:val="00FD6EA3"/>
    <w:rsid w:val="00FD7514"/>
    <w:rsid w:val="00FE0940"/>
    <w:rsid w:val="00FE0E36"/>
    <w:rsid w:val="00FE1A57"/>
    <w:rsid w:val="00FE28C4"/>
    <w:rsid w:val="00FE34DC"/>
    <w:rsid w:val="00FE354B"/>
    <w:rsid w:val="00FE37E9"/>
    <w:rsid w:val="00FE3D93"/>
    <w:rsid w:val="00FE44CB"/>
    <w:rsid w:val="00FE45BD"/>
    <w:rsid w:val="00FE4D06"/>
    <w:rsid w:val="00FE6481"/>
    <w:rsid w:val="00FE6632"/>
    <w:rsid w:val="00FE66ED"/>
    <w:rsid w:val="00FE6C64"/>
    <w:rsid w:val="00FE76FA"/>
    <w:rsid w:val="00FE77D3"/>
    <w:rsid w:val="00FF02F7"/>
    <w:rsid w:val="00FF1329"/>
    <w:rsid w:val="00FF1B15"/>
    <w:rsid w:val="00FF1CE1"/>
    <w:rsid w:val="00FF1E0B"/>
    <w:rsid w:val="00FF2021"/>
    <w:rsid w:val="00FF24A7"/>
    <w:rsid w:val="00FF2F44"/>
    <w:rsid w:val="00FF352D"/>
    <w:rsid w:val="00FF360F"/>
    <w:rsid w:val="00FF396F"/>
    <w:rsid w:val="00FF3AA1"/>
    <w:rsid w:val="00FF463E"/>
    <w:rsid w:val="00FF4ED3"/>
    <w:rsid w:val="00FF537D"/>
    <w:rsid w:val="00FF64E9"/>
    <w:rsid w:val="00FF7965"/>
    <w:rsid w:val="00FF799E"/>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22"/>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22"/>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12E-2"/>
          <c:w val="0.90305106959238579"/>
          <c:h val="0.74626404458063433"/>
        </c:manualLayout>
      </c:layout>
      <c:barChart>
        <c:barDir val="col"/>
        <c:grouping val="clustered"/>
        <c:varyColors val="0"/>
        <c:ser>
          <c:idx val="0"/>
          <c:order val="0"/>
          <c:tx>
            <c:strRef>
              <c:f>Sheet1!$B$36</c:f>
              <c:strCache>
                <c:ptCount val="1"/>
                <c:pt idx="0">
                  <c:v>към юни 2019 г.</c:v>
                </c:pt>
              </c:strCache>
            </c:strRef>
          </c:tx>
          <c:spPr>
            <a:pattFill prst="pct5">
              <a:fgClr>
                <a:srgbClr val="FFFFFF"/>
              </a:fgClr>
              <a:bgClr>
                <a:srgbClr val="000000"/>
              </a:bgClr>
            </a:pattFill>
            <a:ln w="12683">
              <a:solidFill>
                <a:srgbClr val="000000"/>
              </a:solidFill>
              <a:prstDash val="solid"/>
            </a:ln>
          </c:spPr>
          <c:invertIfNegative val="0"/>
          <c:dLbls>
            <c:dLbl>
              <c:idx val="0"/>
              <c:layout>
                <c:manualLayout>
                  <c:x val="-1.1911120203121103E-3"/>
                  <c:y val="0.2823426664277774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E6F-4114-A707-1A6DE9781D4C}"/>
                </c:ext>
              </c:extLst>
            </c:dLbl>
            <c:dLbl>
              <c:idx val="1"/>
              <c:layout>
                <c:manualLayout>
                  <c:x val="-8.5984112728614507E-3"/>
                  <c:y val="-3.724642178348400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E6F-4114-A707-1A6DE9781D4C}"/>
                </c:ext>
              </c:extLst>
            </c:dLbl>
            <c:dLbl>
              <c:idx val="2"/>
              <c:layout>
                <c:manualLayout>
                  <c:x val="-4.0234036459434836E-3"/>
                  <c:y val="3.710572923760841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E6F-4114-A707-1A6DE9781D4C}"/>
                </c:ext>
              </c:extLst>
            </c:dLbl>
            <c:dLbl>
              <c:idx val="3"/>
              <c:layout>
                <c:manualLayout>
                  <c:x val="1.6412105113367713E-3"/>
                  <c:y val="-1.4967557207841689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2E6F-4114-A707-1A6DE9781D4C}"/>
                </c:ext>
              </c:extLst>
            </c:dLbl>
            <c:dLbl>
              <c:idx val="4"/>
              <c:layout>
                <c:manualLayout>
                  <c:x val="-1.6232910645205522E-4"/>
                  <c:y val="0.16554406139115321"/>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2E6F-4114-A707-1A6DE9781D4C}"/>
                </c:ext>
              </c:extLst>
            </c:dLbl>
            <c:dLbl>
              <c:idx val="5"/>
              <c:layout>
                <c:manualLayout>
                  <c:x val="2.215335532857596E-4"/>
                  <c:y val="4.516590851363521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2E6F-4114-A707-1A6DE9781D4C}"/>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4385.1000000000004</c:v>
                </c:pt>
                <c:pt idx="1">
                  <c:v>2.1</c:v>
                </c:pt>
                <c:pt idx="2">
                  <c:v>255.7</c:v>
                </c:pt>
                <c:pt idx="3">
                  <c:v>393.6</c:v>
                </c:pt>
                <c:pt idx="4">
                  <c:v>5432.8</c:v>
                </c:pt>
                <c:pt idx="5">
                  <c:v>717.5</c:v>
                </c:pt>
              </c:numCache>
            </c:numRef>
          </c:val>
          <c:extLst xmlns:c16r2="http://schemas.microsoft.com/office/drawing/2015/06/chart">
            <c:ext xmlns:c16="http://schemas.microsoft.com/office/drawing/2014/chart" uri="{C3380CC4-5D6E-409C-BE32-E72D297353CC}">
              <c16:uniqueId val="{00000006-2E6F-4114-A707-1A6DE9781D4C}"/>
            </c:ext>
          </c:extLst>
        </c:ser>
        <c:ser>
          <c:idx val="1"/>
          <c:order val="1"/>
          <c:tx>
            <c:strRef>
              <c:f>Sheet1!$C$36</c:f>
              <c:strCache>
                <c:ptCount val="1"/>
                <c:pt idx="0">
                  <c:v>към юни  2020 г.</c:v>
                </c:pt>
              </c:strCache>
            </c:strRef>
          </c:tx>
          <c:spPr>
            <a:pattFill prst="smConfetti">
              <a:fgClr>
                <a:srgbClr val="333333"/>
              </a:fgClr>
              <a:bgClr>
                <a:srgbClr val="FFFFFF"/>
              </a:bgClr>
            </a:pattFill>
            <a:ln w="12683">
              <a:solidFill>
                <a:srgbClr val="000000"/>
              </a:solidFill>
              <a:prstDash val="solid"/>
            </a:ln>
          </c:spPr>
          <c:invertIfNegative val="0"/>
          <c:dLbls>
            <c:dLbl>
              <c:idx val="0"/>
              <c:layout>
                <c:manualLayout>
                  <c:x val="-1.5957659542556273E-3"/>
                  <c:y val="0.295091513608431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2E6F-4114-A707-1A6DE9781D4C}"/>
                </c:ext>
              </c:extLst>
            </c:dLbl>
            <c:dLbl>
              <c:idx val="1"/>
              <c:layout>
                <c:manualLayout>
                  <c:x val="-1.3777787060437099E-3"/>
                  <c:y val="-2.24583995966021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2E6F-4114-A707-1A6DE9781D4C}"/>
                </c:ext>
              </c:extLst>
            </c:dLbl>
            <c:dLbl>
              <c:idx val="2"/>
              <c:layout>
                <c:manualLayout>
                  <c:x val="-3.8987169044187791E-5"/>
                  <c:y val="-1.243777717440491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2E6F-4114-A707-1A6DE9781D4C}"/>
                </c:ext>
              </c:extLst>
            </c:dLbl>
            <c:dLbl>
              <c:idx val="3"/>
              <c:layout>
                <c:manualLayout>
                  <c:x val="4.7143956403039979E-3"/>
                  <c:y val="-1.6552366438066211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2E6F-4114-A707-1A6DE9781D4C}"/>
                </c:ext>
              </c:extLst>
            </c:dLbl>
            <c:dLbl>
              <c:idx val="4"/>
              <c:layout>
                <c:manualLayout>
                  <c:x val="2.5961277386745813E-3"/>
                  <c:y val="0.1626427084545466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2E6F-4114-A707-1A6DE9781D4C}"/>
                </c:ext>
              </c:extLst>
            </c:dLbl>
            <c:dLbl>
              <c:idx val="5"/>
              <c:layout>
                <c:manualLayout>
                  <c:x val="1.9210701072004566E-3"/>
                  <c:y val="-6.9634624117733239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2E6F-4114-A707-1A6DE9781D4C}"/>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4589.2</c:v>
                </c:pt>
                <c:pt idx="1">
                  <c:v>4.5</c:v>
                </c:pt>
                <c:pt idx="2">
                  <c:v>236.5</c:v>
                </c:pt>
                <c:pt idx="3">
                  <c:v>344.2</c:v>
                </c:pt>
                <c:pt idx="4">
                  <c:v>6358.4</c:v>
                </c:pt>
                <c:pt idx="5">
                  <c:v>688.6</c:v>
                </c:pt>
              </c:numCache>
            </c:numRef>
          </c:val>
          <c:extLst xmlns:c16r2="http://schemas.microsoft.com/office/drawing/2015/06/chart">
            <c:ext xmlns:c16="http://schemas.microsoft.com/office/drawing/2014/chart" uri="{C3380CC4-5D6E-409C-BE32-E72D297353CC}">
              <c16:uniqueId val="{0000000D-2E6F-4114-A707-1A6DE9781D4C}"/>
            </c:ext>
          </c:extLst>
        </c:ser>
        <c:dLbls>
          <c:showLegendKey val="0"/>
          <c:showVal val="0"/>
          <c:showCatName val="0"/>
          <c:showSerName val="0"/>
          <c:showPercent val="0"/>
          <c:showBubbleSize val="0"/>
        </c:dLbls>
        <c:gapWidth val="150"/>
        <c:axId val="132967808"/>
        <c:axId val="138816512"/>
      </c:barChart>
      <c:catAx>
        <c:axId val="132967808"/>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138816512"/>
        <c:crosses val="autoZero"/>
        <c:auto val="1"/>
        <c:lblAlgn val="ctr"/>
        <c:lblOffset val="100"/>
        <c:tickLblSkip val="1"/>
        <c:tickMarkSkip val="1"/>
        <c:noMultiLvlLbl val="0"/>
      </c:catAx>
      <c:valAx>
        <c:axId val="138816512"/>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0852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132967808"/>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122363318643525"/>
          <c:y val="0.91477519855472678"/>
          <c:w val="0.40878464462499231"/>
          <c:h val="8.4652486620990564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E86AB-797E-46E9-9028-BCEACA7E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15989</Words>
  <Characters>84926</Characters>
  <Application>Microsoft Office Word</Application>
  <DocSecurity>0</DocSecurity>
  <Lines>707</Lines>
  <Paragraphs>201</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100714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Вера Данева</cp:lastModifiedBy>
  <cp:revision>8</cp:revision>
  <cp:lastPrinted>2020-07-31T13:13:00Z</cp:lastPrinted>
  <dcterms:created xsi:type="dcterms:W3CDTF">2020-08-07T06:12:00Z</dcterms:created>
  <dcterms:modified xsi:type="dcterms:W3CDTF">2020-08-07T13:35:00Z</dcterms:modified>
</cp:coreProperties>
</file>