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2CB88" w14:textId="77777777" w:rsidR="00063E15" w:rsidRPr="00DB12BD" w:rsidRDefault="00063E15" w:rsidP="008314D1">
      <w:pPr>
        <w:pStyle w:val="Title"/>
        <w:pBdr>
          <w:bottom w:val="double" w:sz="6" w:space="0" w:color="auto"/>
        </w:pBdr>
      </w:pPr>
      <w:r w:rsidRPr="00DB12BD">
        <w:t>М И Н И С Т Е Р С Т В О   Н А   Ф И Н А Н С И Т Е</w:t>
      </w:r>
    </w:p>
    <w:p w14:paraId="1096FFB8" w14:textId="77777777" w:rsidR="005F7245" w:rsidRPr="00DB12BD" w:rsidRDefault="005F7245" w:rsidP="00063E15">
      <w:pPr>
        <w:rPr>
          <w:sz w:val="16"/>
          <w:szCs w:val="16"/>
        </w:rPr>
      </w:pPr>
    </w:p>
    <w:p w14:paraId="0BDCEB1F" w14:textId="77777777" w:rsidR="0019151C" w:rsidRPr="00DB12BD" w:rsidRDefault="0019151C" w:rsidP="0019151C"/>
    <w:p w14:paraId="3534BD5C" w14:textId="77777777" w:rsidR="00E10331" w:rsidRPr="00DB12BD" w:rsidRDefault="00E10331" w:rsidP="0019151C"/>
    <w:p w14:paraId="435135A2" w14:textId="77777777" w:rsidR="00E9260C" w:rsidRPr="00DB12BD" w:rsidRDefault="00E9260C" w:rsidP="009B536C">
      <w:pPr>
        <w:pStyle w:val="Heading1"/>
        <w:rPr>
          <w:sz w:val="24"/>
        </w:rPr>
      </w:pPr>
      <w:r w:rsidRPr="00DB12BD">
        <w:rPr>
          <w:sz w:val="24"/>
        </w:rPr>
        <w:t>ИНФОРМАЦИЯ</w:t>
      </w:r>
    </w:p>
    <w:p w14:paraId="1D835F12" w14:textId="77777777" w:rsidR="00E9260C" w:rsidRPr="00DB12BD" w:rsidRDefault="00E9260C" w:rsidP="009B536C">
      <w:pPr>
        <w:jc w:val="center"/>
        <w:rPr>
          <w:b/>
          <w:bCs/>
        </w:rPr>
      </w:pPr>
      <w:r w:rsidRPr="00DB12BD">
        <w:rPr>
          <w:b/>
          <w:bCs/>
        </w:rPr>
        <w:t xml:space="preserve">ЗА </w:t>
      </w:r>
      <w:r w:rsidR="004E7BF8" w:rsidRPr="00DB12BD">
        <w:rPr>
          <w:b/>
          <w:bCs/>
        </w:rPr>
        <w:t xml:space="preserve">КАСОВОТО </w:t>
      </w:r>
      <w:r w:rsidRPr="00DB12BD">
        <w:rPr>
          <w:b/>
          <w:bCs/>
        </w:rPr>
        <w:t xml:space="preserve">ИЗПЪЛНЕНИЕ НА </w:t>
      </w:r>
      <w:r w:rsidR="004E7BF8" w:rsidRPr="00DB12BD">
        <w:rPr>
          <w:b/>
          <w:bCs/>
        </w:rPr>
        <w:t>ДЪРЖАВНИЯ</w:t>
      </w:r>
      <w:r w:rsidRPr="00DB12BD">
        <w:rPr>
          <w:b/>
          <w:bCs/>
        </w:rPr>
        <w:t xml:space="preserve"> БЮДЖЕТ</w:t>
      </w:r>
      <w:r w:rsidR="004E7BF8" w:rsidRPr="00DB12BD">
        <w:rPr>
          <w:b/>
          <w:bCs/>
        </w:rPr>
        <w:t xml:space="preserve"> И НА ОСНОВНИТЕ ПОКАЗАТЕЛИ НА КОНСОЛИДИРАНАТА ФИСКАЛНА ПРОГРАМА </w:t>
      </w:r>
    </w:p>
    <w:p w14:paraId="53E2F980" w14:textId="6212EF0A" w:rsidR="003F47AB" w:rsidRPr="00DB12BD" w:rsidRDefault="003F47AB" w:rsidP="003F47AB">
      <w:pPr>
        <w:jc w:val="center"/>
        <w:rPr>
          <w:b/>
          <w:bCs/>
        </w:rPr>
      </w:pPr>
      <w:r w:rsidRPr="00DB12BD">
        <w:rPr>
          <w:b/>
          <w:bCs/>
        </w:rPr>
        <w:t>ЗА 20</w:t>
      </w:r>
      <w:r w:rsidR="006D5D56" w:rsidRPr="00DB12BD">
        <w:rPr>
          <w:b/>
          <w:bCs/>
        </w:rPr>
        <w:t>2</w:t>
      </w:r>
      <w:r w:rsidR="00151757" w:rsidRPr="00DB12BD">
        <w:rPr>
          <w:b/>
          <w:bCs/>
        </w:rPr>
        <w:t>2</w:t>
      </w:r>
      <w:r w:rsidRPr="00DB12BD">
        <w:rPr>
          <w:b/>
          <w:bCs/>
        </w:rPr>
        <w:t xml:space="preserve"> ГОДИНА</w:t>
      </w:r>
    </w:p>
    <w:p w14:paraId="458A73AC" w14:textId="77777777" w:rsidR="00430A35" w:rsidRPr="00DB12BD" w:rsidRDefault="00430A35" w:rsidP="003A06C5">
      <w:pPr>
        <w:rPr>
          <w:b/>
          <w:bCs/>
          <w:color w:val="0070C0"/>
        </w:rPr>
      </w:pPr>
    </w:p>
    <w:p w14:paraId="6B8474F5" w14:textId="77777777" w:rsidR="00E10331" w:rsidRPr="00DB12BD" w:rsidRDefault="00E10331" w:rsidP="003A06C5">
      <w:pPr>
        <w:rPr>
          <w:b/>
          <w:bCs/>
          <w:color w:val="0070C0"/>
        </w:rPr>
      </w:pPr>
    </w:p>
    <w:p w14:paraId="5387D549" w14:textId="77777777" w:rsidR="00E10331" w:rsidRPr="00DB12BD" w:rsidRDefault="00E10331" w:rsidP="003A06C5">
      <w:pPr>
        <w:rPr>
          <w:b/>
          <w:bCs/>
          <w:color w:val="0070C0"/>
        </w:rPr>
      </w:pPr>
    </w:p>
    <w:p w14:paraId="2814FCA6" w14:textId="77777777" w:rsidR="000F52E8" w:rsidRPr="003C7D96" w:rsidRDefault="000F52E8" w:rsidP="000F52E8">
      <w:pPr>
        <w:spacing w:after="210"/>
        <w:jc w:val="both"/>
        <w:rPr>
          <w:b/>
          <w:color w:val="000000"/>
          <w:u w:val="single"/>
        </w:rPr>
      </w:pPr>
      <w:bookmarkStart w:id="0" w:name="_Toc109903428"/>
      <w:r>
        <w:rPr>
          <w:b/>
          <w:color w:val="000000"/>
          <w:u w:val="single"/>
        </w:rPr>
        <w:t xml:space="preserve">Преглед </w:t>
      </w:r>
      <w:r w:rsidRPr="003C7D96">
        <w:rPr>
          <w:b/>
          <w:color w:val="000000"/>
          <w:u w:val="single"/>
        </w:rPr>
        <w:t>на икономическата среда</w:t>
      </w:r>
    </w:p>
    <w:p w14:paraId="482D2746" w14:textId="51D150AE" w:rsidR="000F52E8" w:rsidRDefault="000F52E8" w:rsidP="000F52E8">
      <w:pPr>
        <w:spacing w:after="210"/>
        <w:jc w:val="both"/>
        <w:rPr>
          <w:color w:val="000000"/>
        </w:rPr>
      </w:pPr>
      <w:r w:rsidRPr="00700E78">
        <w:rPr>
          <w:color w:val="000000"/>
        </w:rPr>
        <w:t>За периода януари-септември 2022 г. реалният растеж на брутния вътрешен продукт на България достигна 3,7</w:t>
      </w:r>
      <w:r>
        <w:rPr>
          <w:color w:val="000000"/>
        </w:rPr>
        <w:t xml:space="preserve"> % </w:t>
      </w:r>
      <w:r w:rsidRPr="00700E78">
        <w:rPr>
          <w:color w:val="000000"/>
        </w:rPr>
        <w:t>и бе движен изцяло от вътрешното търсене. Потреблението на домакинствата се повиши с 3,9</w:t>
      </w:r>
      <w:r>
        <w:rPr>
          <w:color w:val="000000"/>
        </w:rPr>
        <w:t> </w:t>
      </w:r>
      <w:r w:rsidRPr="00700E78">
        <w:rPr>
          <w:color w:val="000000"/>
        </w:rPr>
        <w:t>%</w:t>
      </w:r>
      <w:r w:rsidR="00BA14F1">
        <w:rPr>
          <w:color w:val="000000"/>
        </w:rPr>
        <w:t>,</w:t>
      </w:r>
      <w:r w:rsidRPr="00700E78">
        <w:rPr>
          <w:color w:val="000000"/>
        </w:rPr>
        <w:t xml:space="preserve"> подкрепено от нарастване на реалния разполагаем доход. Публичното потребление нарасна със 7,4</w:t>
      </w:r>
      <w:r>
        <w:rPr>
          <w:color w:val="000000"/>
        </w:rPr>
        <w:t> </w:t>
      </w:r>
      <w:r w:rsidRPr="00700E78">
        <w:rPr>
          <w:color w:val="000000"/>
        </w:rPr>
        <w:t>% в резултат на по-високите разходи за издръжка. Инвестициите в основен капитал спаднаха със 7,4</w:t>
      </w:r>
      <w:r>
        <w:rPr>
          <w:color w:val="000000"/>
        </w:rPr>
        <w:t> </w:t>
      </w:r>
      <w:r w:rsidRPr="00700E78">
        <w:rPr>
          <w:color w:val="000000"/>
        </w:rPr>
        <w:t>%, като за намалението допринесоха както частните, така и публичните капиталови разходи. Този спад бе изцяло компенсиран от изменението на запасите, чийто принос за растежа на БВП достигна 3,3 пр.</w:t>
      </w:r>
      <w:r w:rsidR="00BB32B4">
        <w:rPr>
          <w:color w:val="000000"/>
        </w:rPr>
        <w:t xml:space="preserve"> </w:t>
      </w:r>
      <w:r w:rsidRPr="00700E78">
        <w:rPr>
          <w:color w:val="000000"/>
        </w:rPr>
        <w:t>п. Износът на стоки и услуги нарасна стабилно със 7,9</w:t>
      </w:r>
      <w:r>
        <w:rPr>
          <w:color w:val="000000"/>
        </w:rPr>
        <w:t> </w:t>
      </w:r>
      <w:r w:rsidRPr="00700E78">
        <w:rPr>
          <w:color w:val="000000"/>
        </w:rPr>
        <w:t>%, но бе изпреварен от растежа на вноса, който достигна 11,2</w:t>
      </w:r>
      <w:r>
        <w:rPr>
          <w:color w:val="000000"/>
        </w:rPr>
        <w:t> </w:t>
      </w:r>
      <w:r w:rsidRPr="00700E78">
        <w:rPr>
          <w:color w:val="000000"/>
        </w:rPr>
        <w:t>%. В резултат, нетният износ имаше отрицателен принос към растежа на БВП. Индикаторите за бизнес климата и доверието на потребителите се подобриха през четвърто тримесечие спрямо трето, но забавянето в растежа на промишленото производство до 5,1</w:t>
      </w:r>
      <w:r>
        <w:rPr>
          <w:color w:val="000000"/>
        </w:rPr>
        <w:t> </w:t>
      </w:r>
      <w:r w:rsidRPr="00700E78">
        <w:rPr>
          <w:color w:val="000000"/>
        </w:rPr>
        <w:t>% за периода октомври-ноември сигнализира за забавяне на растежа на икономиката през последното тримесечие на годината.</w:t>
      </w:r>
    </w:p>
    <w:p w14:paraId="07488066" w14:textId="77777777" w:rsidR="000F52E8" w:rsidRPr="00FA0E35" w:rsidRDefault="000F52E8" w:rsidP="000F52E8">
      <w:pPr>
        <w:spacing w:after="210"/>
        <w:jc w:val="both"/>
        <w:rPr>
          <w:color w:val="000000"/>
        </w:rPr>
      </w:pPr>
      <w:r w:rsidRPr="00FA0E35">
        <w:rPr>
          <w:color w:val="000000"/>
        </w:rPr>
        <w:t>През деветте месеца на 2022 г. се наблюдава подобрение на всички показатели на пазара на труда. Броят на заетите в икономиката се повиши с 1,4</w:t>
      </w:r>
      <w:r>
        <w:rPr>
          <w:color w:val="000000"/>
        </w:rPr>
        <w:t> </w:t>
      </w:r>
      <w:r w:rsidRPr="00FA0E35">
        <w:rPr>
          <w:color w:val="000000"/>
        </w:rPr>
        <w:t>% спрямо деветте месеца на 2021 г</w:t>
      </w:r>
      <w:r>
        <w:rPr>
          <w:color w:val="000000"/>
        </w:rPr>
        <w:t>., като това увеличение се дължеше</w:t>
      </w:r>
      <w:r w:rsidRPr="00FA0E35">
        <w:rPr>
          <w:color w:val="000000"/>
        </w:rPr>
        <w:t xml:space="preserve"> на динамиката на заетостта във всички икономически дейности от сферата на услугите (без финансови и застрахователни услуги) и в строителството. Най-съществено е увеличението в броя на</w:t>
      </w:r>
      <w:r>
        <w:rPr>
          <w:color w:val="000000"/>
        </w:rPr>
        <w:t xml:space="preserve"> заетите в „Операции с недвижими</w:t>
      </w:r>
      <w:r w:rsidRPr="00FA0E35">
        <w:rPr>
          <w:color w:val="000000"/>
        </w:rPr>
        <w:t xml:space="preserve"> им</w:t>
      </w:r>
      <w:r>
        <w:rPr>
          <w:color w:val="000000"/>
        </w:rPr>
        <w:t>оти</w:t>
      </w:r>
      <w:r w:rsidRPr="00FA0E35">
        <w:rPr>
          <w:color w:val="000000"/>
        </w:rPr>
        <w:t>“, „Създаване и разпространение на информация и творчески продукти; далекосъобщения“, „Професионални дейности и научни изследвания; административни и спомагателни дейности“ и „Търговия, ремонт на автомобили и мотоциклети; транспорт, складиране и пощи; хотелиерство и ресторантьорство“. През третото тримесечие на 2022 г. за първи път броят на заетите усп</w:t>
      </w:r>
      <w:r>
        <w:rPr>
          <w:color w:val="000000"/>
        </w:rPr>
        <w:t>я</w:t>
      </w:r>
      <w:r w:rsidRPr="00FA0E35">
        <w:rPr>
          <w:color w:val="000000"/>
        </w:rPr>
        <w:t xml:space="preserve"> да надхвърли своята стойност, регистрирана през същото тримесечие на 2019 г., последната година преди КОВИД кризата.</w:t>
      </w:r>
    </w:p>
    <w:p w14:paraId="037285FA" w14:textId="66EA0B21" w:rsidR="000F52E8" w:rsidRPr="00FA0E35" w:rsidRDefault="000F52E8" w:rsidP="000F52E8">
      <w:pPr>
        <w:spacing w:after="210"/>
        <w:jc w:val="both"/>
        <w:rPr>
          <w:color w:val="000000"/>
        </w:rPr>
      </w:pPr>
      <w:r w:rsidRPr="00FA0E35">
        <w:rPr>
          <w:color w:val="000000"/>
        </w:rPr>
        <w:t>Успоредно с увеличаването на заетостта се наблюдава и постоянна тенденция на намаляване на безработицата. Според данните от Наблюдението на работната сила (НСР) коефициентът на безработица в страната средно за периода януари-се</w:t>
      </w:r>
      <w:r>
        <w:rPr>
          <w:color w:val="000000"/>
        </w:rPr>
        <w:t>птември 2022 г. е 4,4 % и е 1,1 </w:t>
      </w:r>
      <w:r w:rsidRPr="00FA0E35">
        <w:rPr>
          <w:color w:val="000000"/>
        </w:rPr>
        <w:t>п</w:t>
      </w:r>
      <w:r>
        <w:rPr>
          <w:color w:val="000000"/>
        </w:rPr>
        <w:t>р.</w:t>
      </w:r>
      <w:r w:rsidR="00BB32B4">
        <w:rPr>
          <w:color w:val="000000"/>
        </w:rPr>
        <w:t xml:space="preserve"> </w:t>
      </w:r>
      <w:r w:rsidRPr="00FA0E35">
        <w:rPr>
          <w:color w:val="000000"/>
        </w:rPr>
        <w:t>п</w:t>
      </w:r>
      <w:r>
        <w:rPr>
          <w:color w:val="000000"/>
        </w:rPr>
        <w:t>.</w:t>
      </w:r>
      <w:r w:rsidRPr="00FA0E35">
        <w:rPr>
          <w:color w:val="000000"/>
        </w:rPr>
        <w:t xml:space="preserve"> по-нисък спрямо стойността на показателя за предходната година. През третото</w:t>
      </w:r>
      <w:r>
        <w:rPr>
          <w:color w:val="000000"/>
        </w:rPr>
        <w:t xml:space="preserve"> тримесечие на 2022 г. в</w:t>
      </w:r>
      <w:r w:rsidRPr="00FA0E35">
        <w:rPr>
          <w:color w:val="000000"/>
        </w:rPr>
        <w:t xml:space="preserve"> </w:t>
      </w:r>
      <w:r>
        <w:rPr>
          <w:color w:val="000000"/>
        </w:rPr>
        <w:t>Б</w:t>
      </w:r>
      <w:r w:rsidRPr="00FA0E35">
        <w:rPr>
          <w:color w:val="000000"/>
        </w:rPr>
        <w:t>ългария бе регистриран коефициент на безработица, който е най-нисък за досегашната история на провеждане на наблюдението. Средната стойност на показателя за деветмесечието на 20</w:t>
      </w:r>
      <w:r>
        <w:rPr>
          <w:color w:val="000000"/>
        </w:rPr>
        <w:t>22 г. за България е с около 1,8 пр.</w:t>
      </w:r>
      <w:r w:rsidR="00BA14F1">
        <w:rPr>
          <w:color w:val="000000"/>
        </w:rPr>
        <w:t xml:space="preserve"> </w:t>
      </w:r>
      <w:r w:rsidRPr="00FA0E35">
        <w:rPr>
          <w:color w:val="000000"/>
        </w:rPr>
        <w:t>п. по-нисък в сравнение със средното ниво в ЕС-27. Коефициентът на икономическа активност на население</w:t>
      </w:r>
      <w:r>
        <w:rPr>
          <w:color w:val="000000"/>
        </w:rPr>
        <w:t>то във възрастовата група 15-64 г. за същия период е 73,4 </w:t>
      </w:r>
      <w:r w:rsidRPr="00FA0E35">
        <w:rPr>
          <w:color w:val="000000"/>
        </w:rPr>
        <w:t xml:space="preserve">% и следва постоянна тенденция на </w:t>
      </w:r>
      <w:r>
        <w:rPr>
          <w:color w:val="000000"/>
        </w:rPr>
        <w:t>нарастване</w:t>
      </w:r>
      <w:r w:rsidRPr="00FA0E35">
        <w:rPr>
          <w:color w:val="000000"/>
        </w:rPr>
        <w:t>. Неговата стойност вече е съпоставима с коефициента на икономическа активност на нас</w:t>
      </w:r>
      <w:r>
        <w:rPr>
          <w:color w:val="000000"/>
        </w:rPr>
        <w:t>елението, наблюдавана през 2019 </w:t>
      </w:r>
      <w:r w:rsidRPr="00FA0E35">
        <w:rPr>
          <w:color w:val="000000"/>
        </w:rPr>
        <w:t>г.</w:t>
      </w:r>
    </w:p>
    <w:p w14:paraId="5B8A6EC8" w14:textId="160B83A6" w:rsidR="000F52E8" w:rsidRPr="00FA0E35" w:rsidRDefault="000F52E8" w:rsidP="000F52E8">
      <w:pPr>
        <w:spacing w:after="210"/>
        <w:jc w:val="both"/>
        <w:rPr>
          <w:color w:val="000000"/>
        </w:rPr>
      </w:pPr>
      <w:r w:rsidRPr="00FA0E35">
        <w:rPr>
          <w:color w:val="000000"/>
        </w:rPr>
        <w:t>В периода януари-септември 2022 г. реалният растеж на производи</w:t>
      </w:r>
      <w:r>
        <w:rPr>
          <w:color w:val="000000"/>
        </w:rPr>
        <w:t>телността на труда достигна 2,3 </w:t>
      </w:r>
      <w:r w:rsidRPr="00FA0E35">
        <w:rPr>
          <w:color w:val="000000"/>
        </w:rPr>
        <w:t xml:space="preserve">% на годишна база с водещ принос от страна на промишлеността, където реалната производителност на труда регистрира изключително високи растежи </w:t>
      </w:r>
      <w:r>
        <w:rPr>
          <w:color w:val="000000"/>
        </w:rPr>
        <w:t xml:space="preserve">на </w:t>
      </w:r>
      <w:r w:rsidRPr="00FA0E35">
        <w:rPr>
          <w:color w:val="000000"/>
        </w:rPr>
        <w:t>годишн</w:t>
      </w:r>
      <w:r>
        <w:rPr>
          <w:color w:val="000000"/>
        </w:rPr>
        <w:t>а база</w:t>
      </w:r>
      <w:r w:rsidRPr="00FA0E35">
        <w:rPr>
          <w:color w:val="000000"/>
        </w:rPr>
        <w:t xml:space="preserve"> (около 20</w:t>
      </w:r>
      <w:r>
        <w:rPr>
          <w:color w:val="000000"/>
        </w:rPr>
        <w:t> </w:t>
      </w:r>
      <w:r w:rsidRPr="00FA0E35">
        <w:rPr>
          <w:color w:val="000000"/>
        </w:rPr>
        <w:t xml:space="preserve">% средно за периода). С наблюдаваната възходяща тенденция на компенсацията на един нает над растежа на производителността на труда, номиналните разходи за </w:t>
      </w:r>
      <w:r>
        <w:rPr>
          <w:color w:val="000000"/>
        </w:rPr>
        <w:t>труд на единица продукция</w:t>
      </w:r>
      <w:r w:rsidRPr="00FA0E35">
        <w:rPr>
          <w:color w:val="000000"/>
        </w:rPr>
        <w:t xml:space="preserve"> (НРТЕП) продължиха да се повишават с двуцифрен темп (малко под 1</w:t>
      </w:r>
      <w:r>
        <w:rPr>
          <w:color w:val="000000"/>
        </w:rPr>
        <w:t>5</w:t>
      </w:r>
      <w:r w:rsidR="00357827">
        <w:rPr>
          <w:color w:val="000000"/>
        </w:rPr>
        <w:t xml:space="preserve"> </w:t>
      </w:r>
      <w:r>
        <w:rPr>
          <w:color w:val="000000"/>
        </w:rPr>
        <w:t xml:space="preserve">%). В реално </w:t>
      </w:r>
      <w:r>
        <w:rPr>
          <w:color w:val="000000"/>
        </w:rPr>
        <w:lastRenderedPageBreak/>
        <w:t>изражение тези разходи се задържаха</w:t>
      </w:r>
      <w:r w:rsidRPr="00FA0E35">
        <w:rPr>
          <w:color w:val="000000"/>
        </w:rPr>
        <w:t xml:space="preserve"> около нивото си от предходната година, поради същественото нарастване на брутната добавена стойност по текущи цени.</w:t>
      </w:r>
    </w:p>
    <w:p w14:paraId="68C8D9E0" w14:textId="70D5ACFF" w:rsidR="000F52E8" w:rsidRDefault="000F52E8" w:rsidP="000F52E8">
      <w:pPr>
        <w:spacing w:after="210"/>
        <w:jc w:val="both"/>
        <w:rPr>
          <w:color w:val="000000"/>
        </w:rPr>
      </w:pPr>
      <w:r w:rsidRPr="004C7F31">
        <w:rPr>
          <w:color w:val="000000"/>
        </w:rPr>
        <w:t>За девет</w:t>
      </w:r>
      <w:r w:rsidR="002E0B57">
        <w:rPr>
          <w:color w:val="000000"/>
        </w:rPr>
        <w:t>те</w:t>
      </w:r>
      <w:r w:rsidRPr="004C7F31">
        <w:rPr>
          <w:color w:val="000000"/>
        </w:rPr>
        <w:t xml:space="preserve"> месеца на 202</w:t>
      </w:r>
      <w:r w:rsidR="00BC546B" w:rsidRPr="004C7F31">
        <w:rPr>
          <w:color w:val="000000"/>
          <w:lang w:val="en-US"/>
        </w:rPr>
        <w:t>2</w:t>
      </w:r>
      <w:r w:rsidRPr="004C7F31">
        <w:rPr>
          <w:color w:val="000000"/>
        </w:rPr>
        <w:t xml:space="preserve"> г. средната работна заплата се повиши средно с 12,6 % на</w:t>
      </w:r>
      <w:r w:rsidRPr="00FA0E35">
        <w:rPr>
          <w:color w:val="000000"/>
        </w:rPr>
        <w:t xml:space="preserve"> годишна база, като отчетеният темп на растеж в частния сектор надхвърли почти два пъти този в обществения сектор на икономиката (14,5</w:t>
      </w:r>
      <w:r>
        <w:rPr>
          <w:color w:val="000000"/>
        </w:rPr>
        <w:t> </w:t>
      </w:r>
      <w:r w:rsidRPr="00FA0E35">
        <w:rPr>
          <w:color w:val="000000"/>
        </w:rPr>
        <w:t>% спрямо 7,5</w:t>
      </w:r>
      <w:r>
        <w:rPr>
          <w:color w:val="000000"/>
        </w:rPr>
        <w:t> </w:t>
      </w:r>
      <w:r w:rsidRPr="00FA0E35">
        <w:rPr>
          <w:color w:val="000000"/>
        </w:rPr>
        <w:t>%). През второто и третото тримесечие на 2022 г. се наблюдава известно ускоряване в номиналния годишен ръст на средната работна заплата в икономиката, като основен фактор за това бе нарасналата инфлация и стремеж</w:t>
      </w:r>
      <w:r w:rsidR="002E0B57">
        <w:rPr>
          <w:color w:val="000000"/>
        </w:rPr>
        <w:t>а</w:t>
      </w:r>
      <w:r w:rsidRPr="00FA0E35">
        <w:rPr>
          <w:color w:val="000000"/>
        </w:rPr>
        <w:t xml:space="preserve"> на работодателите да компенсират нейното влияние върху покупателната способност на номиналните възнаграждения за труд, изплащани във фирмите им. Реалната работна заплата (</w:t>
      </w:r>
      <w:proofErr w:type="spellStart"/>
      <w:r w:rsidRPr="00FA0E35">
        <w:rPr>
          <w:color w:val="000000"/>
        </w:rPr>
        <w:t>дефлирана</w:t>
      </w:r>
      <w:proofErr w:type="spellEnd"/>
      <w:r w:rsidRPr="00FA0E35">
        <w:rPr>
          <w:color w:val="000000"/>
        </w:rPr>
        <w:t xml:space="preserve"> чрез средногодишния ХИПЦ) се запазва около нивото си от предходната година.</w:t>
      </w:r>
    </w:p>
    <w:p w14:paraId="7C5B63CD" w14:textId="77777777" w:rsidR="000F52E8" w:rsidRPr="005B00A1" w:rsidRDefault="000F52E8" w:rsidP="000F52E8">
      <w:pPr>
        <w:spacing w:after="210"/>
        <w:jc w:val="both"/>
        <w:rPr>
          <w:color w:val="000000"/>
        </w:rPr>
      </w:pPr>
      <w:r w:rsidRPr="00AA2A36">
        <w:rPr>
          <w:color w:val="000000"/>
        </w:rPr>
        <w:t>Годишният темп на инфлация в страната</w:t>
      </w:r>
      <w:r>
        <w:rPr>
          <w:color w:val="000000"/>
        </w:rPr>
        <w:t xml:space="preserve"> съществено се ускори през 2022 </w:t>
      </w:r>
      <w:r w:rsidRPr="00AA2A36">
        <w:rPr>
          <w:color w:val="000000"/>
        </w:rPr>
        <w:t>г., като</w:t>
      </w:r>
      <w:r>
        <w:rPr>
          <w:color w:val="000000"/>
        </w:rPr>
        <w:t xml:space="preserve"> в края на годината достигна 14,</w:t>
      </w:r>
      <w:r w:rsidRPr="00AA2A36">
        <w:rPr>
          <w:color w:val="000000"/>
        </w:rPr>
        <w:t>3</w:t>
      </w:r>
      <w:r>
        <w:rPr>
          <w:color w:val="000000"/>
        </w:rPr>
        <w:t> </w:t>
      </w:r>
      <w:r w:rsidRPr="00AA2A36">
        <w:rPr>
          <w:color w:val="000000"/>
        </w:rPr>
        <w:t>% според ХИПЦ, а средногодишната инфлация бе 13</w:t>
      </w:r>
      <w:r>
        <w:rPr>
          <w:color w:val="000000"/>
        </w:rPr>
        <w:t> </w:t>
      </w:r>
      <w:r w:rsidRPr="00AA2A36">
        <w:rPr>
          <w:color w:val="000000"/>
        </w:rPr>
        <w:t>%. Като водещ фактор за това може да се посочи значителното поскъпване на енергоносителите на международните пазари и техните преки и косвени ефекти</w:t>
      </w:r>
      <w:r>
        <w:rPr>
          <w:color w:val="000000"/>
        </w:rPr>
        <w:t xml:space="preserve"> върху цените в страната</w:t>
      </w:r>
      <w:r w:rsidRPr="00AA2A36">
        <w:rPr>
          <w:color w:val="000000"/>
        </w:rPr>
        <w:t>. В допълнение към факторите от страна на предлагането, с проинфлационно влияние бе и вътрешното търсене. От основните компоненти, с най-голям принос бяха храни и безалкохолни напитки, като цените в тази група нараснаха с 26</w:t>
      </w:r>
      <w:r>
        <w:rPr>
          <w:color w:val="000000"/>
        </w:rPr>
        <w:t> % спрямо декември 2021 </w:t>
      </w:r>
      <w:r w:rsidRPr="00AA2A36">
        <w:rPr>
          <w:color w:val="000000"/>
        </w:rPr>
        <w:t>г. и формираха малко над 40</w:t>
      </w:r>
      <w:r>
        <w:rPr>
          <w:color w:val="000000"/>
        </w:rPr>
        <w:t> </w:t>
      </w:r>
      <w:r w:rsidRPr="00AA2A36">
        <w:rPr>
          <w:color w:val="000000"/>
        </w:rPr>
        <w:t>% от повишението на общия индекс в края на годината. Поскъпването на</w:t>
      </w:r>
      <w:r>
        <w:rPr>
          <w:color w:val="000000"/>
        </w:rPr>
        <w:t xml:space="preserve"> енергийните стоки се сви до 12,</w:t>
      </w:r>
      <w:r w:rsidRPr="00AA2A36">
        <w:rPr>
          <w:color w:val="000000"/>
        </w:rPr>
        <w:t>7</w:t>
      </w:r>
      <w:r>
        <w:rPr>
          <w:color w:val="000000"/>
        </w:rPr>
        <w:t> </w:t>
      </w:r>
      <w:r w:rsidRPr="00AA2A36">
        <w:rPr>
          <w:color w:val="000000"/>
        </w:rPr>
        <w:t>% на годишна база и бе водещо за наблюдаваното забавяне на темпа на инфлация през октомври и ноември. То бе основно в резултат от базов ефект, както и низходящата динамика на международните цени на съответните суровини. Базисната инфлация (без енергия и непреработени храни</w:t>
      </w:r>
      <w:r>
        <w:rPr>
          <w:color w:val="000000"/>
        </w:rPr>
        <w:t>) продължи да се ускорява до 13,</w:t>
      </w:r>
      <w:r w:rsidRPr="00AA2A36">
        <w:rPr>
          <w:color w:val="000000"/>
        </w:rPr>
        <w:t>9</w:t>
      </w:r>
      <w:r>
        <w:rPr>
          <w:color w:val="000000"/>
        </w:rPr>
        <w:t> </w:t>
      </w:r>
      <w:r w:rsidRPr="00AA2A36">
        <w:rPr>
          <w:color w:val="000000"/>
        </w:rPr>
        <w:t>% на годишна база в края на 2022 г. под влияние на наблюдаваните вторични ефекти от поскъпването на храните и енергийните стоки, както и повишението на разходите за труд.</w:t>
      </w:r>
    </w:p>
    <w:p w14:paraId="5910B239" w14:textId="60A90BD3" w:rsidR="000F52E8" w:rsidRDefault="000F52E8" w:rsidP="000F52E8">
      <w:pPr>
        <w:spacing w:after="210"/>
        <w:jc w:val="both"/>
        <w:rPr>
          <w:color w:val="000000"/>
        </w:rPr>
      </w:pPr>
      <w:r w:rsidRPr="00FE0E75">
        <w:rPr>
          <w:color w:val="000000"/>
        </w:rPr>
        <w:t>В периода януари-ноември излишъкът по текущата сметка се увеличи до 0,6 % от прогнозния БВП, спрямо 0,2</w:t>
      </w:r>
      <w:r>
        <w:rPr>
          <w:color w:val="000000"/>
        </w:rPr>
        <w:t> </w:t>
      </w:r>
      <w:r w:rsidRPr="00FE0E75">
        <w:rPr>
          <w:color w:val="000000"/>
        </w:rPr>
        <w:t xml:space="preserve">% от БВП за същия период на 2021 г. </w:t>
      </w:r>
      <w:r>
        <w:rPr>
          <w:color w:val="000000"/>
        </w:rPr>
        <w:t>Основен принос за подобрението имаше намалението на дефицита по първичния</w:t>
      </w:r>
      <w:r w:rsidR="00BA14F1">
        <w:rPr>
          <w:color w:val="000000"/>
        </w:rPr>
        <w:t xml:space="preserve"> доход</w:t>
      </w:r>
      <w:r>
        <w:rPr>
          <w:color w:val="000000"/>
        </w:rPr>
        <w:t xml:space="preserve"> и увеличението на излишъка при търговията с услуги. </w:t>
      </w:r>
      <w:r w:rsidRPr="00570CB5">
        <w:rPr>
          <w:color w:val="000000"/>
        </w:rPr>
        <w:t>Силното вътрешно търсене, съчетано с нарастването на цените на международните пазари, се отрази в номинален растеж на вноса от 40,3 %, докато нарастването на износа бе с по-бавен темп от 39,1 %. Търговският дефицит възлезе на 4,5 % от прогнозния БВП, при 3,3 % година по-</w:t>
      </w:r>
      <w:r w:rsidRPr="00C74CFD">
        <w:rPr>
          <w:color w:val="000000"/>
        </w:rPr>
        <w:t>рано. Възстановяването на туризма продължи и през 2022 г.</w:t>
      </w:r>
      <w:r w:rsidR="00BA14F1">
        <w:rPr>
          <w:color w:val="000000"/>
        </w:rPr>
        <w:t>,</w:t>
      </w:r>
      <w:r w:rsidRPr="00C74CFD">
        <w:rPr>
          <w:color w:val="000000"/>
        </w:rPr>
        <w:t xml:space="preserve"> като приходите от пътувания на чужденци в страната нараснаха с 54,4 %</w:t>
      </w:r>
      <w:r w:rsidR="002E0B57">
        <w:rPr>
          <w:color w:val="000000"/>
        </w:rPr>
        <w:t xml:space="preserve"> спрямо същия период на 2021 г.</w:t>
      </w:r>
      <w:r w:rsidRPr="00C74CFD">
        <w:rPr>
          <w:color w:val="000000"/>
        </w:rPr>
        <w:t>, което е 83,1 %</w:t>
      </w:r>
      <w:r>
        <w:rPr>
          <w:color w:val="000000"/>
        </w:rPr>
        <w:t xml:space="preserve"> от</w:t>
      </w:r>
      <w:r w:rsidRPr="00C74CFD">
        <w:rPr>
          <w:color w:val="000000"/>
        </w:rPr>
        <w:t xml:space="preserve"> приходите за </w:t>
      </w:r>
      <w:r>
        <w:rPr>
          <w:color w:val="000000"/>
        </w:rPr>
        <w:t>януари-ноември</w:t>
      </w:r>
      <w:r w:rsidRPr="00C74CFD">
        <w:rPr>
          <w:color w:val="000000"/>
        </w:rPr>
        <w:t xml:space="preserve"> 2019 г. </w:t>
      </w:r>
      <w:r w:rsidRPr="001A3051">
        <w:rPr>
          <w:color w:val="000000"/>
        </w:rPr>
        <w:t>Общото нарастване на износа на услуги достигна 13 %, а на вноса 7,1 %</w:t>
      </w:r>
      <w:r>
        <w:rPr>
          <w:color w:val="000000"/>
        </w:rPr>
        <w:t>. В резултат,</w:t>
      </w:r>
      <w:r w:rsidRPr="001A3051">
        <w:rPr>
          <w:color w:val="000000"/>
        </w:rPr>
        <w:t xml:space="preserve"> излишък</w:t>
      </w:r>
      <w:r w:rsidR="002175C4">
        <w:rPr>
          <w:color w:val="000000"/>
        </w:rPr>
        <w:t>ът</w:t>
      </w:r>
      <w:r w:rsidRPr="001A3051">
        <w:rPr>
          <w:color w:val="000000"/>
        </w:rPr>
        <w:t xml:space="preserve"> при търговията с услуги </w:t>
      </w:r>
      <w:r>
        <w:rPr>
          <w:color w:val="000000"/>
        </w:rPr>
        <w:t xml:space="preserve">се увеличи </w:t>
      </w:r>
      <w:r w:rsidRPr="001A3051">
        <w:rPr>
          <w:color w:val="000000"/>
        </w:rPr>
        <w:t>с 0,5 пр.</w:t>
      </w:r>
      <w:r w:rsidR="00B34CB2">
        <w:rPr>
          <w:color w:val="000000"/>
        </w:rPr>
        <w:t xml:space="preserve"> </w:t>
      </w:r>
      <w:r w:rsidRPr="001A3051">
        <w:rPr>
          <w:color w:val="000000"/>
        </w:rPr>
        <w:t>п. до 5,9 % от БВП. Общият дефицит на доходните статии се сви с 1 пр. п. до 0,9 % от прогнозния БВП. Привлечените преки чуждестранни инвестиции бяха в размер на 2,2 млрд. евро или 2,6 % от прогнозния БВП. Към края на октомври брутн</w:t>
      </w:r>
      <w:r>
        <w:rPr>
          <w:color w:val="000000"/>
        </w:rPr>
        <w:t>ият външен дълг на страната бе 5</w:t>
      </w:r>
      <w:r w:rsidRPr="001A3051">
        <w:rPr>
          <w:color w:val="000000"/>
        </w:rPr>
        <w:t>3,2 % от БВП.</w:t>
      </w:r>
    </w:p>
    <w:p w14:paraId="70920D32" w14:textId="77777777" w:rsidR="000F52E8" w:rsidRPr="00CE7AC4" w:rsidRDefault="000F52E8" w:rsidP="000F52E8">
      <w:pPr>
        <w:spacing w:after="210"/>
        <w:jc w:val="both"/>
        <w:rPr>
          <w:color w:val="000000"/>
        </w:rPr>
      </w:pPr>
      <w:r w:rsidRPr="00CE7AC4">
        <w:rPr>
          <w:color w:val="000000"/>
        </w:rPr>
        <w:t xml:space="preserve">Брутните международни валутни резерви на страната продължиха да осигуряват стабилното функциониране на Паричния съвет, като пазарната им стойност към </w:t>
      </w:r>
      <w:r>
        <w:rPr>
          <w:color w:val="000000"/>
        </w:rPr>
        <w:t>края на 2022 г. възлезе на 38,4 млрд. </w:t>
      </w:r>
      <w:r w:rsidRPr="00CE7AC4">
        <w:rPr>
          <w:color w:val="000000"/>
        </w:rPr>
        <w:t>евро. Годишният растеж на кредита за частния сектор се ускоряваше в периода януари-август, когато достигна най-високата си стойност за годината от 13,9</w:t>
      </w:r>
      <w:r>
        <w:rPr>
          <w:color w:val="000000"/>
        </w:rPr>
        <w:t> </w:t>
      </w:r>
      <w:r w:rsidRPr="00CE7AC4">
        <w:rPr>
          <w:color w:val="000000"/>
        </w:rPr>
        <w:t>%. През оставащите месеци от 2022 г. темпът му се забави и в края на декември достигна 12,7</w:t>
      </w:r>
      <w:r>
        <w:rPr>
          <w:color w:val="000000"/>
        </w:rPr>
        <w:t> </w:t>
      </w:r>
      <w:r w:rsidRPr="00CE7AC4">
        <w:rPr>
          <w:color w:val="000000"/>
        </w:rPr>
        <w:t>%. За високото търсене на кредити през годината допринесоха в по-голяма степен домакинствата, но силно търсене на заемни ресурси имаше и от страна на нефинансовите предприятия.</w:t>
      </w:r>
    </w:p>
    <w:p w14:paraId="2E1124DC" w14:textId="67E8F4D9" w:rsidR="000F52E8" w:rsidRDefault="000F52E8" w:rsidP="000F52E8">
      <w:pPr>
        <w:spacing w:after="210"/>
        <w:jc w:val="both"/>
        <w:rPr>
          <w:color w:val="4F81BD" w:themeColor="accent1"/>
        </w:rPr>
      </w:pPr>
      <w:r w:rsidRPr="00CE7AC4">
        <w:rPr>
          <w:color w:val="000000"/>
        </w:rPr>
        <w:t xml:space="preserve">Към края на декември кредитите за </w:t>
      </w:r>
      <w:r>
        <w:rPr>
          <w:color w:val="000000"/>
        </w:rPr>
        <w:t>домакинства се увеличиха с 14,6 </w:t>
      </w:r>
      <w:r w:rsidRPr="00CE7AC4">
        <w:rPr>
          <w:color w:val="000000"/>
        </w:rPr>
        <w:t>% спрямо година по-рано. Потребителските кредити се увеличиха с 12,4</w:t>
      </w:r>
      <w:r>
        <w:rPr>
          <w:color w:val="000000"/>
        </w:rPr>
        <w:t> </w:t>
      </w:r>
      <w:r w:rsidRPr="00CE7AC4">
        <w:rPr>
          <w:color w:val="000000"/>
        </w:rPr>
        <w:t>% спрямо края на 2021 г., а темпът на растеж на жилищните кредити остана почти постоянен през цялата година около 18</w:t>
      </w:r>
      <w:r>
        <w:rPr>
          <w:color w:val="000000"/>
        </w:rPr>
        <w:t> </w:t>
      </w:r>
      <w:r w:rsidRPr="00CE7AC4">
        <w:rPr>
          <w:color w:val="000000"/>
        </w:rPr>
        <w:t>%, a в края на 2022 г. беше 17,8</w:t>
      </w:r>
      <w:r>
        <w:rPr>
          <w:color w:val="000000"/>
        </w:rPr>
        <w:t> </w:t>
      </w:r>
      <w:r w:rsidRPr="00CE7AC4">
        <w:rPr>
          <w:color w:val="000000"/>
        </w:rPr>
        <w:t xml:space="preserve">%. По-високото търсене на кредити от страна на домакинствата, освен с все още ниските лихвени проценти и нарастващите цени на жилищата, се обуславяше и от бързо ускоряващата се инфлация. Годишният растеж на кредитите за нефинансови предприятия в </w:t>
      </w:r>
      <w:r w:rsidRPr="00CE7AC4">
        <w:rPr>
          <w:color w:val="000000"/>
        </w:rPr>
        <w:lastRenderedPageBreak/>
        <w:t>края на декември възлезе на 10,4</w:t>
      </w:r>
      <w:r>
        <w:rPr>
          <w:color w:val="000000"/>
        </w:rPr>
        <w:t> </w:t>
      </w:r>
      <w:r w:rsidRPr="00CE7AC4">
        <w:rPr>
          <w:color w:val="000000"/>
        </w:rPr>
        <w:t>% при 4,6</w:t>
      </w:r>
      <w:r>
        <w:rPr>
          <w:color w:val="000000"/>
        </w:rPr>
        <w:t> </w:t>
      </w:r>
      <w:r w:rsidRPr="00CE7AC4">
        <w:rPr>
          <w:color w:val="000000"/>
        </w:rPr>
        <w:t>% в края на 2021</w:t>
      </w:r>
      <w:r>
        <w:rPr>
          <w:color w:val="000000"/>
        </w:rPr>
        <w:t> </w:t>
      </w:r>
      <w:r w:rsidRPr="00CE7AC4">
        <w:rPr>
          <w:color w:val="000000"/>
        </w:rPr>
        <w:t xml:space="preserve">г. Водеща роля през годината за повишеното търсене на ресурс от фирмите имаха овърдрафтът, а от гледна точка на темпове на растеж, значително ускоряване имаше при краткосрочните кредити. Подобна динамика може да се свърже с високо търсене на оборотни средства предвид както високите цени на суровините, така </w:t>
      </w:r>
      <w:r w:rsidR="002E0B57">
        <w:rPr>
          <w:color w:val="000000"/>
        </w:rPr>
        <w:t xml:space="preserve">и </w:t>
      </w:r>
      <w:r w:rsidRPr="00CE7AC4">
        <w:rPr>
          <w:color w:val="000000"/>
        </w:rPr>
        <w:t>нарастващите енергийни разходи и разходи</w:t>
      </w:r>
      <w:r w:rsidR="002E0B57">
        <w:rPr>
          <w:color w:val="000000"/>
        </w:rPr>
        <w:t>те</w:t>
      </w:r>
      <w:r w:rsidRPr="00CE7AC4">
        <w:rPr>
          <w:color w:val="000000"/>
        </w:rPr>
        <w:t xml:space="preserve"> за труд.</w:t>
      </w:r>
    </w:p>
    <w:p w14:paraId="62BFE2C3" w14:textId="77777777" w:rsidR="000F52E8" w:rsidRPr="004E6A73" w:rsidRDefault="000F52E8" w:rsidP="000F52E8">
      <w:pPr>
        <w:spacing w:before="360"/>
        <w:jc w:val="both"/>
        <w:rPr>
          <w:b/>
          <w:color w:val="000000" w:themeColor="text1"/>
          <w:u w:val="single"/>
        </w:rPr>
      </w:pPr>
      <w:r w:rsidRPr="004E6A73">
        <w:rPr>
          <w:b/>
          <w:color w:val="000000" w:themeColor="text1"/>
          <w:u w:val="single"/>
        </w:rPr>
        <w:t>Бюджетна позиция</w:t>
      </w:r>
    </w:p>
    <w:p w14:paraId="766B40AF" w14:textId="5C894ACC" w:rsidR="000F52E8" w:rsidRDefault="000F52E8" w:rsidP="000F52E8">
      <w:pPr>
        <w:spacing w:before="120" w:after="210"/>
        <w:jc w:val="both"/>
        <w:rPr>
          <w:color w:val="000000" w:themeColor="text1"/>
        </w:rPr>
      </w:pPr>
      <w:r w:rsidRPr="008C102A">
        <w:rPr>
          <w:color w:val="000000" w:themeColor="text1"/>
        </w:rPr>
        <w:t>През 2022 г. продължи да действа активираната две години по-рано Обща предпазна клауза на Пакта за стабилност и растеж, която позволява на държавите</w:t>
      </w:r>
      <w:r w:rsidR="002E0B57">
        <w:rPr>
          <w:color w:val="000000" w:themeColor="text1"/>
        </w:rPr>
        <w:t xml:space="preserve"> </w:t>
      </w:r>
      <w:r w:rsidRPr="008C102A">
        <w:rPr>
          <w:color w:val="000000" w:themeColor="text1"/>
        </w:rPr>
        <w:t xml:space="preserve">членки да предприемат мерки в условията на извънредни обстоятелства по смисъла на чл. 9 от Регламент ЕО №1466/97 на Съвета от 7 юли 1997 за засилване на надзора върху състоянието на бюджета и на надзора и координацията на икономическата политики, като се допуска временно да се отклонят от фискалните правила, които обикновено се прилагат в рамките на европейската фискална рамка. По този начин бе дадена възможност за гъвкавост на националните правителства да предприемат мерки в условията на множество шокове, свързани както с разпространението на </w:t>
      </w:r>
      <w:r w:rsidRPr="008C102A">
        <w:rPr>
          <w:color w:val="000000" w:themeColor="text1"/>
          <w:lang w:val="en-US"/>
        </w:rPr>
        <w:t>COVID</w:t>
      </w:r>
      <w:r w:rsidRPr="004A2E93">
        <w:rPr>
          <w:color w:val="000000" w:themeColor="text1"/>
          <w:lang w:val="ru-RU"/>
        </w:rPr>
        <w:t>-19</w:t>
      </w:r>
      <w:r w:rsidRPr="008C102A">
        <w:rPr>
          <w:color w:val="000000" w:themeColor="text1"/>
        </w:rPr>
        <w:t xml:space="preserve">, така и с избухналия военен конфликт в Украйна, което предполага временно разхлабване на фискалната политика. </w:t>
      </w:r>
    </w:p>
    <w:p w14:paraId="0B9D5E5B" w14:textId="74D9F014" w:rsidR="000F52E8" w:rsidRPr="004A2E93" w:rsidRDefault="000F52E8" w:rsidP="000F52E8">
      <w:pPr>
        <w:shd w:val="clear" w:color="auto" w:fill="FFFFFF"/>
        <w:spacing w:after="150"/>
        <w:jc w:val="both"/>
        <w:rPr>
          <w:sz w:val="23"/>
          <w:szCs w:val="23"/>
          <w:lang w:val="ru-RU"/>
        </w:rPr>
      </w:pPr>
      <w:r>
        <w:rPr>
          <w:color w:val="000000" w:themeColor="text1"/>
        </w:rPr>
        <w:t>Предварителните прогнози на Министерството на финансите очертават д</w:t>
      </w:r>
      <w:r w:rsidRPr="007709CC">
        <w:rPr>
          <w:sz w:val="23"/>
          <w:szCs w:val="23"/>
        </w:rPr>
        <w:t>ефицит</w:t>
      </w:r>
      <w:r w:rsidR="002E0B57">
        <w:rPr>
          <w:sz w:val="23"/>
          <w:szCs w:val="23"/>
        </w:rPr>
        <w:t>а</w:t>
      </w:r>
      <w:r w:rsidRPr="007709CC">
        <w:rPr>
          <w:sz w:val="23"/>
          <w:szCs w:val="23"/>
        </w:rPr>
        <w:t xml:space="preserve"> </w:t>
      </w:r>
      <w:r>
        <w:rPr>
          <w:sz w:val="23"/>
          <w:szCs w:val="23"/>
        </w:rPr>
        <w:t xml:space="preserve">на сектор държавно управление </w:t>
      </w:r>
      <w:r w:rsidRPr="007709CC">
        <w:rPr>
          <w:sz w:val="23"/>
          <w:szCs w:val="23"/>
        </w:rPr>
        <w:t>за 2022 г.</w:t>
      </w:r>
      <w:r>
        <w:rPr>
          <w:sz w:val="23"/>
          <w:szCs w:val="23"/>
        </w:rPr>
        <w:t xml:space="preserve"> (ЕСС 2010)</w:t>
      </w:r>
      <w:r w:rsidRPr="007709CC">
        <w:rPr>
          <w:sz w:val="23"/>
          <w:szCs w:val="23"/>
        </w:rPr>
        <w:t xml:space="preserve"> да бъде в размер на около 2,9 % от БВП, </w:t>
      </w:r>
      <w:r>
        <w:rPr>
          <w:sz w:val="23"/>
          <w:szCs w:val="23"/>
        </w:rPr>
        <w:t xml:space="preserve"> което</w:t>
      </w:r>
      <w:r w:rsidRPr="007709CC">
        <w:rPr>
          <w:sz w:val="23"/>
          <w:szCs w:val="23"/>
        </w:rPr>
        <w:t xml:space="preserve"> </w:t>
      </w:r>
      <w:r>
        <w:rPr>
          <w:sz w:val="23"/>
          <w:szCs w:val="23"/>
        </w:rPr>
        <w:t xml:space="preserve">е в рамките на критериите на Пакта за стабилност и растеж и дава стабилна перспектива при оценката за конвергенция в доклада на ЕК и ЕЦБ в хода на процеса на присъединяване на </w:t>
      </w:r>
      <w:r w:rsidRPr="007709CC">
        <w:rPr>
          <w:sz w:val="23"/>
          <w:szCs w:val="23"/>
        </w:rPr>
        <w:t xml:space="preserve">България </w:t>
      </w:r>
      <w:r>
        <w:rPr>
          <w:sz w:val="23"/>
          <w:szCs w:val="23"/>
        </w:rPr>
        <w:t>към Еврозоната.</w:t>
      </w:r>
    </w:p>
    <w:p w14:paraId="2F398860" w14:textId="77777777" w:rsidR="000F52E8" w:rsidRPr="007340F5" w:rsidRDefault="000F52E8" w:rsidP="000F52E8">
      <w:pPr>
        <w:spacing w:before="120" w:after="210"/>
        <w:jc w:val="both"/>
        <w:rPr>
          <w:color w:val="000000" w:themeColor="text1"/>
        </w:rPr>
      </w:pPr>
      <w:r w:rsidRPr="007340F5">
        <w:rPr>
          <w:color w:val="000000" w:themeColor="text1"/>
        </w:rPr>
        <w:t>На база на данните от месечните отчети за касовото изпълнение на бюджетите на първостепенните разпоредители с бюджет салдото по консолидираната фискална програма за 202</w:t>
      </w:r>
      <w:r>
        <w:rPr>
          <w:color w:val="000000" w:themeColor="text1"/>
        </w:rPr>
        <w:t>2</w:t>
      </w:r>
      <w:r w:rsidRPr="007340F5">
        <w:rPr>
          <w:color w:val="000000" w:themeColor="text1"/>
        </w:rPr>
        <w:t xml:space="preserve"> г. е</w:t>
      </w:r>
      <w:r>
        <w:rPr>
          <w:color w:val="000000" w:themeColor="text1"/>
        </w:rPr>
        <w:t xml:space="preserve"> отрицателно в размер на 1 347,3</w:t>
      </w:r>
      <w:r w:rsidRPr="007340F5">
        <w:rPr>
          <w:color w:val="000000" w:themeColor="text1"/>
        </w:rPr>
        <w:t xml:space="preserve"> млн. лв. (</w:t>
      </w:r>
      <w:r>
        <w:rPr>
          <w:color w:val="000000" w:themeColor="text1"/>
        </w:rPr>
        <w:t>0,8</w:t>
      </w:r>
      <w:r w:rsidRPr="007340F5">
        <w:rPr>
          <w:color w:val="000000" w:themeColor="text1"/>
        </w:rPr>
        <w:t xml:space="preserve"> % от прогнозния БВП)</w:t>
      </w:r>
      <w:r>
        <w:rPr>
          <w:color w:val="000000" w:themeColor="text1"/>
        </w:rPr>
        <w:t xml:space="preserve"> и се формира от дефицит по националния бюджет в размер на 5 087,2 млн. лв. и излишък по европейските средства в размер на 3 739,9 млн. лв. </w:t>
      </w:r>
      <w:r w:rsidRPr="007340F5">
        <w:rPr>
          <w:color w:val="000000" w:themeColor="text1"/>
        </w:rPr>
        <w:t xml:space="preserve">Бюджетното салдо по КФП за годината на касова основа съответства на предвидения ограничител във фискалното правило по чл. 27, ал. 4 </w:t>
      </w:r>
      <w:r>
        <w:rPr>
          <w:color w:val="000000" w:themeColor="text1"/>
        </w:rPr>
        <w:t>от</w:t>
      </w:r>
      <w:r w:rsidRPr="007340F5">
        <w:rPr>
          <w:color w:val="000000" w:themeColor="text1"/>
        </w:rPr>
        <w:t xml:space="preserve"> ЗПФ.</w:t>
      </w:r>
    </w:p>
    <w:p w14:paraId="4D319102" w14:textId="77777777" w:rsidR="000F52E8" w:rsidRPr="007340F5" w:rsidRDefault="000F52E8" w:rsidP="000F52E8">
      <w:pPr>
        <w:spacing w:after="210"/>
        <w:jc w:val="both"/>
        <w:rPr>
          <w:color w:val="000000" w:themeColor="text1"/>
        </w:rPr>
      </w:pPr>
      <w:r w:rsidRPr="007340F5">
        <w:rPr>
          <w:color w:val="000000" w:themeColor="text1"/>
        </w:rPr>
        <w:t>Заложените в ЗДБРБ за 202</w:t>
      </w:r>
      <w:r>
        <w:rPr>
          <w:color w:val="000000" w:themeColor="text1"/>
        </w:rPr>
        <w:t>2</w:t>
      </w:r>
      <w:r w:rsidRPr="007340F5">
        <w:rPr>
          <w:color w:val="000000" w:themeColor="text1"/>
        </w:rPr>
        <w:t xml:space="preserve"> г. ограничители по отношение на държавния дълг са спазени. В номинално изражение държавният дълг за годината възлиза</w:t>
      </w:r>
      <w:r>
        <w:rPr>
          <w:color w:val="000000" w:themeColor="text1"/>
        </w:rPr>
        <w:t xml:space="preserve"> </w:t>
      </w:r>
      <w:r w:rsidRPr="00C11470">
        <w:rPr>
          <w:color w:val="000000" w:themeColor="text1"/>
        </w:rPr>
        <w:t>на 3</w:t>
      </w:r>
      <w:r>
        <w:rPr>
          <w:color w:val="000000" w:themeColor="text1"/>
        </w:rPr>
        <w:t>6</w:t>
      </w:r>
      <w:r w:rsidRPr="00C11470">
        <w:rPr>
          <w:color w:val="000000" w:themeColor="text1"/>
        </w:rPr>
        <w:t>,</w:t>
      </w:r>
      <w:r>
        <w:rPr>
          <w:color w:val="000000" w:themeColor="text1"/>
        </w:rPr>
        <w:t>1</w:t>
      </w:r>
      <w:r w:rsidRPr="00C11470">
        <w:rPr>
          <w:color w:val="000000" w:themeColor="text1"/>
        </w:rPr>
        <w:t xml:space="preserve"> млрд. лв. (2</w:t>
      </w:r>
      <w:r>
        <w:rPr>
          <w:color w:val="000000" w:themeColor="text1"/>
          <w:lang w:val="ru-RU"/>
        </w:rPr>
        <w:t>2,3</w:t>
      </w:r>
      <w:r w:rsidRPr="00C11470">
        <w:rPr>
          <w:color w:val="000000" w:themeColor="text1"/>
        </w:rPr>
        <w:t xml:space="preserve"> % от</w:t>
      </w:r>
      <w:r w:rsidRPr="007340F5">
        <w:rPr>
          <w:color w:val="000000" w:themeColor="text1"/>
        </w:rPr>
        <w:t xml:space="preserve"> прогнозния БВП), като индикаторът държавен дълг отнесен към БВП е значително под предвидения в националните фискални правила праг от 60 % от БВП.</w:t>
      </w:r>
    </w:p>
    <w:p w14:paraId="0194D42B" w14:textId="77777777" w:rsidR="000F52E8" w:rsidRPr="008C102A" w:rsidRDefault="000F52E8" w:rsidP="000F52E8">
      <w:pPr>
        <w:spacing w:before="360"/>
        <w:jc w:val="both"/>
        <w:rPr>
          <w:b/>
          <w:color w:val="000000" w:themeColor="text1"/>
          <w:u w:val="single"/>
        </w:rPr>
      </w:pPr>
      <w:r w:rsidRPr="008C102A">
        <w:rPr>
          <w:b/>
          <w:color w:val="000000" w:themeColor="text1"/>
          <w:u w:val="single"/>
        </w:rPr>
        <w:t>Основни акценти във връзка с текущото наблюдение на изпълнението на консолидираната фискална програма за 2022 г.</w:t>
      </w:r>
    </w:p>
    <w:p w14:paraId="459C3250" w14:textId="77777777" w:rsidR="000F52E8" w:rsidRPr="00885CB4" w:rsidRDefault="000F52E8" w:rsidP="000F52E8">
      <w:pPr>
        <w:spacing w:after="210"/>
        <w:jc w:val="both"/>
        <w:rPr>
          <w:color w:val="000000" w:themeColor="text1"/>
          <w:sz w:val="4"/>
          <w:szCs w:val="4"/>
        </w:rPr>
      </w:pPr>
    </w:p>
    <w:p w14:paraId="144305DA" w14:textId="77777777" w:rsidR="000F52E8" w:rsidRPr="00FA317F" w:rsidRDefault="000F52E8" w:rsidP="000F52E8">
      <w:pPr>
        <w:spacing w:after="120"/>
        <w:jc w:val="both"/>
        <w:rPr>
          <w:color w:val="000000" w:themeColor="text1"/>
        </w:rPr>
      </w:pPr>
      <w:r w:rsidRPr="00FA317F">
        <w:rPr>
          <w:color w:val="000000" w:themeColor="text1"/>
        </w:rPr>
        <w:t xml:space="preserve">Изпълнението на държавния бюджет до деня на приемането от Народното събрание на Закона за държавния бюджет на Република България за 2022 г. (ЗДБРБ за 2022 г.) се извършваше по реда на чл. 87, ал. 1 от ЗПФ, като събирането на приходите се извършваше в съответствие с действащите закони, а извършването на разходи и предоставянето на трансфери бе до размера им за същия период на предходната година, като се отчитаха влезли в сила актове на Народното събрание и Министерския съвет. Това заедно с намаляващия натиск на пандемията оказа задържащ ефект върху разходите, като общо разходите по КФП за първото тримесечие на 2022 г. останаха номинално близки до отчетените за същия период на предходната година (номинален ръст от едва 0,9 на сто). Това също така забави и изпълнението на планираните разходи по чл. 1, ал. 5 от ЗДБРБ за 2022 г. </w:t>
      </w:r>
    </w:p>
    <w:p w14:paraId="6A443284" w14:textId="423D5DC8" w:rsidR="000F52E8" w:rsidRDefault="000F52E8" w:rsidP="000F52E8">
      <w:pPr>
        <w:tabs>
          <w:tab w:val="num" w:pos="0"/>
        </w:tabs>
        <w:autoSpaceDE w:val="0"/>
        <w:autoSpaceDN w:val="0"/>
        <w:adjustRightInd w:val="0"/>
        <w:spacing w:before="120" w:after="120"/>
        <w:jc w:val="both"/>
        <w:rPr>
          <w:color w:val="000000" w:themeColor="text1"/>
        </w:rPr>
      </w:pPr>
      <w:r w:rsidRPr="000D7C8F">
        <w:rPr>
          <w:color w:val="000000" w:themeColor="text1"/>
        </w:rPr>
        <w:t xml:space="preserve">Поредицата от шокове върху пазарите на енергоносители, горива и суровини и нарушените вериги за доставка след избухването на военните действия в Украйна промениха икономическите перспективи и създадоха безпрецедентни рискове за редица сектори на икономиката. От друга страна, тези шокове доведоха и до допълнително ускоряване на инфлацията при голяма част от стоките, което застрашава хората с ниски доходи и увеличава </w:t>
      </w:r>
      <w:r w:rsidRPr="000D7C8F">
        <w:rPr>
          <w:color w:val="000000" w:themeColor="text1"/>
        </w:rPr>
        <w:lastRenderedPageBreak/>
        <w:t xml:space="preserve">значително групата на лицата с доходи под линията на бедност. </w:t>
      </w:r>
      <w:r>
        <w:rPr>
          <w:color w:val="000000" w:themeColor="text1"/>
        </w:rPr>
        <w:t>Ц</w:t>
      </w:r>
      <w:r w:rsidRPr="00FA317F">
        <w:rPr>
          <w:color w:val="000000" w:themeColor="text1"/>
        </w:rPr>
        <w:t xml:space="preserve">ените на енергоносителите, и в частност на електроенергията, продължиха устойчиво да нарастват, като тази тенденция се влоши значително след избухването на военните действия в Украйна. Поради това се наложи програмите за компенсиране на небитовите потребители на електрическа енергия и природен газ, прилагани през последното тримесечие на 2021 г., да бъдат доразвити и да продължат да се прилагат и през </w:t>
      </w:r>
      <w:r>
        <w:rPr>
          <w:color w:val="000000" w:themeColor="text1"/>
        </w:rPr>
        <w:t xml:space="preserve">първото полугодие на 2022 г. </w:t>
      </w:r>
      <w:r w:rsidRPr="00FA317F">
        <w:rPr>
          <w:color w:val="000000" w:themeColor="text1"/>
        </w:rPr>
        <w:t>Удължаването на програмите бе в рамките на разходните тавани по годишния закон за бюджета, като компенсаторните плащания се извършваха чрез разходи по бюджета на „Фонд сигурност на електроенергийната система“</w:t>
      </w:r>
      <w:r w:rsidR="008C1D6A" w:rsidRPr="008C1D6A">
        <w:rPr>
          <w:color w:val="000000"/>
        </w:rPr>
        <w:t xml:space="preserve"> </w:t>
      </w:r>
      <w:r w:rsidR="008C1D6A">
        <w:rPr>
          <w:color w:val="000000"/>
        </w:rPr>
        <w:t xml:space="preserve"> (ФСЕС)</w:t>
      </w:r>
      <w:r w:rsidRPr="00FA317F">
        <w:rPr>
          <w:color w:val="000000" w:themeColor="text1"/>
        </w:rPr>
        <w:t>, включително и за сметка на допълнителни приходи.</w:t>
      </w:r>
      <w:r>
        <w:rPr>
          <w:color w:val="000000" w:themeColor="text1"/>
        </w:rPr>
        <w:t xml:space="preserve"> </w:t>
      </w:r>
    </w:p>
    <w:p w14:paraId="5552E63E" w14:textId="1439B125" w:rsidR="000F52E8" w:rsidRDefault="000F52E8" w:rsidP="000F52E8">
      <w:pPr>
        <w:spacing w:after="120"/>
        <w:jc w:val="both"/>
        <w:rPr>
          <w:color w:val="000000"/>
        </w:rPr>
      </w:pPr>
      <w:r w:rsidRPr="00F930FD">
        <w:rPr>
          <w:color w:val="000000"/>
        </w:rPr>
        <w:t>В начал</w:t>
      </w:r>
      <w:r>
        <w:rPr>
          <w:color w:val="000000"/>
        </w:rPr>
        <w:t>ото на месец юни последното редо</w:t>
      </w:r>
      <w:r w:rsidRPr="00F930FD">
        <w:rPr>
          <w:color w:val="000000"/>
        </w:rPr>
        <w:t xml:space="preserve">вно правителство изготви и внесе в Народното събрание проект на Закон за изменение и допълнение на </w:t>
      </w:r>
      <w:r>
        <w:rPr>
          <w:color w:val="000000"/>
        </w:rPr>
        <w:t>З</w:t>
      </w:r>
      <w:r w:rsidRPr="00F930FD">
        <w:rPr>
          <w:color w:val="000000"/>
        </w:rPr>
        <w:t>акона за държавния бюджет на Република България за 2022 г. (ЗИД на ЗДБРБ за 2022 г.). Предложен бе спешен пакет от антикризисни мерки, насочени към преодоляване на негативните последствия от нарастващия инфлационен натиск върху най-засегнатите групи от обществото и бизнеса. Целта бе да се подкрепят българските граждани и бизнеса в условията на безпрецедентна криза, породена от войната в Украйна и да се смекчат шоковете, породени от високите цени на енергоносителите и суровините, за уязвимите групи от обществото и за икономиката на България. Законопроектът бе окончателно одобрен от Народното събрание в края на м</w:t>
      </w:r>
      <w:r>
        <w:rPr>
          <w:color w:val="000000"/>
        </w:rPr>
        <w:t>есец</w:t>
      </w:r>
      <w:r w:rsidRPr="00F930FD">
        <w:rPr>
          <w:color w:val="000000"/>
        </w:rPr>
        <w:t xml:space="preserve"> юни и обнародван в началото на месец юли (ДВ, бр. № 52 от 5.07.2022 г.)</w:t>
      </w:r>
      <w:r w:rsidRPr="004A2E93">
        <w:rPr>
          <w:color w:val="000000"/>
          <w:lang w:val="ru-RU"/>
        </w:rPr>
        <w:t xml:space="preserve">, </w:t>
      </w:r>
      <w:r>
        <w:rPr>
          <w:color w:val="000000"/>
        </w:rPr>
        <w:t xml:space="preserve">фискалната цел за годината на касова основа бе запазена на равнището от началото на годината – дефицит в размер на 4,1 на сто от прогнозния БВП. </w:t>
      </w:r>
    </w:p>
    <w:p w14:paraId="044D876D" w14:textId="4AF69F16" w:rsidR="00966A3F" w:rsidRPr="00F930FD" w:rsidRDefault="00966A3F" w:rsidP="000F52E8">
      <w:pPr>
        <w:spacing w:after="120"/>
        <w:jc w:val="both"/>
        <w:rPr>
          <w:color w:val="000000"/>
        </w:rPr>
      </w:pPr>
      <w:r>
        <w:rPr>
          <w:color w:val="000000"/>
        </w:rPr>
        <w:t>Приетите антикризисни мерки в областта на данъчната политика включва</w:t>
      </w:r>
      <w:r w:rsidR="002E0B57">
        <w:rPr>
          <w:color w:val="000000"/>
        </w:rPr>
        <w:t>ха</w:t>
      </w:r>
      <w:r>
        <w:rPr>
          <w:color w:val="000000"/>
        </w:rPr>
        <w:t xml:space="preserve"> въвеждането от месец юли 2022 г. на намалена ставка на ДДС от 9</w:t>
      </w:r>
      <w:r w:rsidR="00094625">
        <w:rPr>
          <w:color w:val="000000"/>
        </w:rPr>
        <w:t xml:space="preserve"> </w:t>
      </w:r>
      <w:r>
        <w:rPr>
          <w:color w:val="000000"/>
        </w:rPr>
        <w:t>% за централно отопление и за природен газ, нулева ставка за доставките на хляб и на брашно, както и освобождаване от облагане с акциз на природния газ и втечнения нефтен газ (</w:t>
      </w:r>
      <w:r>
        <w:rPr>
          <w:color w:val="000000"/>
          <w:lang w:val="en-US"/>
        </w:rPr>
        <w:t>LPG</w:t>
      </w:r>
      <w:r>
        <w:rPr>
          <w:color w:val="000000"/>
        </w:rPr>
        <w:t xml:space="preserve">), използвани като моторно гориво, и на електрическата енергия. </w:t>
      </w:r>
      <w:r w:rsidRPr="00B1120B">
        <w:rPr>
          <w:color w:val="000000"/>
        </w:rPr>
        <w:t>По прогнозни данни ефектът от действието на посочените мерки за 2022  г. се оценява</w:t>
      </w:r>
      <w:r w:rsidR="002E0B57">
        <w:rPr>
          <w:color w:val="000000"/>
        </w:rPr>
        <w:t>ше</w:t>
      </w:r>
      <w:r w:rsidRPr="00B1120B">
        <w:rPr>
          <w:color w:val="000000"/>
        </w:rPr>
        <w:t xml:space="preserve"> на около </w:t>
      </w:r>
      <w:r>
        <w:rPr>
          <w:color w:val="000000"/>
        </w:rPr>
        <w:t>222</w:t>
      </w:r>
      <w:r w:rsidRPr="00B1120B">
        <w:rPr>
          <w:color w:val="000000"/>
        </w:rPr>
        <w:t>,</w:t>
      </w:r>
      <w:r>
        <w:rPr>
          <w:color w:val="000000"/>
        </w:rPr>
        <w:t>5</w:t>
      </w:r>
      <w:r w:rsidRPr="00B1120B">
        <w:rPr>
          <w:color w:val="000000"/>
        </w:rPr>
        <w:t xml:space="preserve"> млн. лв. по-малко данъчни приходи.</w:t>
      </w:r>
    </w:p>
    <w:p w14:paraId="6857AEC4" w14:textId="400E9639" w:rsidR="000F52E8" w:rsidRPr="004006FD" w:rsidRDefault="000F52E8" w:rsidP="000F52E8">
      <w:pPr>
        <w:spacing w:after="120"/>
        <w:jc w:val="both"/>
        <w:rPr>
          <w:color w:val="000000"/>
        </w:rPr>
      </w:pPr>
      <w:r w:rsidRPr="00F930FD">
        <w:rPr>
          <w:color w:val="000000"/>
        </w:rPr>
        <w:t xml:space="preserve">Освен пакета антикризисни мерки в приходната и разходната част на бюджета в хода на обсъждането на актуализацията на бюджета бе адресиран и друг основен проблем пред бизнеса – високите цени на електрическата енергия за потребителите извън регулирания пазар. По време на процедурата по гласуването на законопроекта бяха направени редица предложения от народни представители за промени, с които да се регламентира конкретен механизъм за изплащане на компенсации към небитовите потребители на електрическа енергия за сметка на целеви вноски от публичните предприятия от сектор енергетика със 100 на сто държавно участие в капитала. В окончателният текст е записано, че размерът и срокът за внасяне на целевите вноски ще се определя от Министерския съвет, като средствата ще постъпват по бюджета на </w:t>
      </w:r>
      <w:r>
        <w:rPr>
          <w:color w:val="000000"/>
        </w:rPr>
        <w:t xml:space="preserve">ФСЕС </w:t>
      </w:r>
      <w:r w:rsidRPr="00F930FD">
        <w:rPr>
          <w:color w:val="000000"/>
        </w:rPr>
        <w:t xml:space="preserve">и ще служат за изплащане на компенсации на небитовите потребители на електрическа енергия. </w:t>
      </w:r>
      <w:r>
        <w:rPr>
          <w:color w:val="000000"/>
        </w:rPr>
        <w:t>Изплащаните от Фонда компенсации са</w:t>
      </w:r>
      <w:r w:rsidRPr="00F930FD">
        <w:rPr>
          <w:color w:val="000000"/>
        </w:rPr>
        <w:t xml:space="preserve"> в размер на 100 на сто от разликата между средната цена на сегмента „ден напред“ на „БНЕБ“ ЕАД за съответния месец и базова цена от 250 лв./</w:t>
      </w:r>
      <w:proofErr w:type="spellStart"/>
      <w:r w:rsidRPr="00F930FD">
        <w:rPr>
          <w:color w:val="000000"/>
        </w:rPr>
        <w:t>MWh</w:t>
      </w:r>
      <w:proofErr w:type="spellEnd"/>
      <w:r w:rsidRPr="00F930FD">
        <w:rPr>
          <w:color w:val="000000"/>
        </w:rPr>
        <w:t>. Предвидено е механизмът да се прилага за пер</w:t>
      </w:r>
      <w:r>
        <w:rPr>
          <w:color w:val="000000"/>
        </w:rPr>
        <w:t>иода 01.07.2022</w:t>
      </w:r>
      <w:r w:rsidR="001D0161">
        <w:rPr>
          <w:color w:val="000000"/>
        </w:rPr>
        <w:t> </w:t>
      </w:r>
      <w:r>
        <w:rPr>
          <w:color w:val="000000"/>
        </w:rPr>
        <w:t xml:space="preserve">г. </w:t>
      </w:r>
      <w:r w:rsidRPr="004006FD">
        <w:rPr>
          <w:color w:val="000000"/>
        </w:rPr>
        <w:t>– 31.12.2022 г. Следва обаче да се има предвид, че разчети за предложените промени в приходите и разходите на ФСЕС не са включени в годишния план към ЗДБРБ за 2022 г., тъй като промените бяха направени с предложения на народни представители без конкретни оценки, които да бъдат обвързани в консолидираната рамка по приходите и разходите по КФП. Поради тази причина приходите и разходите за изплащане на компенсации за небитовите потребители на електрическа енергия (в размер на 3,2 млрд. лв. за периода юли-декември 2022</w:t>
      </w:r>
      <w:r w:rsidR="00B27987">
        <w:rPr>
          <w:color w:val="000000"/>
        </w:rPr>
        <w:t> </w:t>
      </w:r>
      <w:r w:rsidRPr="004006FD">
        <w:rPr>
          <w:color w:val="000000"/>
        </w:rPr>
        <w:t xml:space="preserve">г.) са с еднократен извънреден характер и за постигане на съпоставимост с годишния разчет към ЗДБРБ за 2022 г. следва да бъдат елиминирани. </w:t>
      </w:r>
    </w:p>
    <w:p w14:paraId="06D871AB" w14:textId="3A660A82" w:rsidR="000F52E8" w:rsidRPr="00885CB4" w:rsidRDefault="000F52E8" w:rsidP="000F52E8">
      <w:pPr>
        <w:spacing w:after="210"/>
        <w:jc w:val="both"/>
        <w:rPr>
          <w:color w:val="000000" w:themeColor="text1"/>
        </w:rPr>
      </w:pPr>
      <w:r w:rsidRPr="00286B90">
        <w:rPr>
          <w:color w:val="000000" w:themeColor="text1"/>
        </w:rPr>
        <w:t xml:space="preserve">Приходите, помощите и даренията по консолидираната фискална програма (КФП) към декември 2022 г. са в размер на </w:t>
      </w:r>
      <w:r>
        <w:rPr>
          <w:color w:val="000000" w:themeColor="text1"/>
        </w:rPr>
        <w:t>64</w:t>
      </w:r>
      <w:r w:rsidR="00D211D5">
        <w:rPr>
          <w:color w:val="000000" w:themeColor="text1"/>
        </w:rPr>
        <w:t>,8</w:t>
      </w:r>
      <w:r w:rsidRPr="00286B90">
        <w:rPr>
          <w:color w:val="000000" w:themeColor="text1"/>
        </w:rPr>
        <w:t xml:space="preserve"> </w:t>
      </w:r>
      <w:r>
        <w:rPr>
          <w:color w:val="000000" w:themeColor="text1"/>
        </w:rPr>
        <w:t>мл</w:t>
      </w:r>
      <w:r w:rsidR="00D211D5">
        <w:rPr>
          <w:color w:val="000000" w:themeColor="text1"/>
        </w:rPr>
        <w:t>рд</w:t>
      </w:r>
      <w:r w:rsidRPr="00286B90">
        <w:rPr>
          <w:color w:val="000000" w:themeColor="text1"/>
        </w:rPr>
        <w:t>. лв., вкл.</w:t>
      </w:r>
      <w:r>
        <w:rPr>
          <w:color w:val="000000" w:themeColor="text1"/>
        </w:rPr>
        <w:t xml:space="preserve"> 3,</w:t>
      </w:r>
      <w:r w:rsidR="003E377D">
        <w:rPr>
          <w:color w:val="000000" w:themeColor="text1"/>
        </w:rPr>
        <w:t>2</w:t>
      </w:r>
      <w:r w:rsidRPr="00286B90">
        <w:rPr>
          <w:color w:val="000000" w:themeColor="text1"/>
        </w:rPr>
        <w:t xml:space="preserve"> млрд. лв. приходи с еднократен извънреден характер, които не са включен</w:t>
      </w:r>
      <w:r>
        <w:rPr>
          <w:color w:val="000000" w:themeColor="text1"/>
        </w:rPr>
        <w:t>и в разчетите към ЗДБРБ за 2022 </w:t>
      </w:r>
      <w:r w:rsidRPr="00286B90">
        <w:rPr>
          <w:color w:val="000000" w:themeColor="text1"/>
        </w:rPr>
        <w:t>г.</w:t>
      </w:r>
      <w:r>
        <w:rPr>
          <w:color w:val="000000" w:themeColor="text1"/>
        </w:rPr>
        <w:t xml:space="preserve"> </w:t>
      </w:r>
      <w:r w:rsidRPr="00FA317F">
        <w:rPr>
          <w:color w:val="000000" w:themeColor="text1"/>
        </w:rPr>
        <w:t xml:space="preserve">Параметрите по изпълнението на приходите </w:t>
      </w:r>
      <w:r>
        <w:rPr>
          <w:color w:val="000000" w:themeColor="text1"/>
        </w:rPr>
        <w:t xml:space="preserve">за 2022 г. </w:t>
      </w:r>
      <w:r w:rsidRPr="00FA317F">
        <w:rPr>
          <w:color w:val="000000" w:themeColor="text1"/>
        </w:rPr>
        <w:t xml:space="preserve">при елиминиране въздействието на постъпления с еднократен характер, които не са заложени в разчетите към ЗДБРБ за 2022 г., са близки до </w:t>
      </w:r>
      <w:r w:rsidRPr="00FA317F">
        <w:rPr>
          <w:color w:val="000000" w:themeColor="text1"/>
        </w:rPr>
        <w:lastRenderedPageBreak/>
        <w:t>планираните за годината, като данъчните и осигурителните приходи надвишават плана за годината с 1,5 на сто. От страна на разходите се отчита по-слабо от планираното усвояване на разходите по сметките за средства от ЕС и държавния бюджет, като през първото тримесечие на годината се наблюдаваше известно задържане на разходите, последвано от плавно нарастване през следващите три тримесечия. Въпреки това голяма част от проектите, заложени за реализиране чрез европейските програми и фондове и чрез капиталовата програма в държавния бюджет не бяха реализирани в рамките на годината, което съответно се отрази в по-слабо от планираното усвояване на капиталовите разходи.</w:t>
      </w:r>
      <w:r>
        <w:rPr>
          <w:color w:val="000000" w:themeColor="text1"/>
        </w:rPr>
        <w:t xml:space="preserve"> </w:t>
      </w:r>
      <w:r w:rsidRPr="006016FC">
        <w:t>Забавянето при изпълнението на проектите и програмите измества голяма част от планир</w:t>
      </w:r>
      <w:r>
        <w:t>аните за 2022 г. разходи в 2023 </w:t>
      </w:r>
      <w:r w:rsidRPr="006016FC">
        <w:t>г. и следващите години, което от една страна подобрява касовото салдо за 2022 г., но от друга води до натиск върху бюджета за 2023 г.</w:t>
      </w:r>
    </w:p>
    <w:p w14:paraId="388D6624" w14:textId="0CABFA27" w:rsidR="000F52E8" w:rsidRDefault="000F52E8" w:rsidP="000F52E8">
      <w:pPr>
        <w:spacing w:after="120"/>
        <w:jc w:val="both"/>
        <w:rPr>
          <w:color w:val="000000" w:themeColor="text1"/>
        </w:rPr>
      </w:pPr>
      <w:r w:rsidRPr="00114F9C">
        <w:rPr>
          <w:color w:val="000000" w:themeColor="text1"/>
        </w:rPr>
        <w:t>Приходната страна на бюджета бе повлияна от една страна от по-високия от планирания реал</w:t>
      </w:r>
      <w:r w:rsidR="002E0B57">
        <w:rPr>
          <w:color w:val="000000" w:themeColor="text1"/>
        </w:rPr>
        <w:t>е</w:t>
      </w:r>
      <w:r w:rsidRPr="00114F9C">
        <w:rPr>
          <w:color w:val="000000" w:themeColor="text1"/>
        </w:rPr>
        <w:t>н растеж на БВП,</w:t>
      </w:r>
      <w:r>
        <w:rPr>
          <w:color w:val="000000" w:themeColor="text1"/>
        </w:rPr>
        <w:t xml:space="preserve"> и от друга</w:t>
      </w:r>
      <w:r w:rsidRPr="004A2E93">
        <w:rPr>
          <w:color w:val="000000" w:themeColor="text1"/>
          <w:lang w:val="ru-RU"/>
        </w:rPr>
        <w:t xml:space="preserve"> </w:t>
      </w:r>
      <w:r>
        <w:rPr>
          <w:color w:val="000000" w:themeColor="text1"/>
        </w:rPr>
        <w:t>от</w:t>
      </w:r>
      <w:r w:rsidRPr="00114F9C">
        <w:rPr>
          <w:color w:val="000000" w:themeColor="text1"/>
        </w:rPr>
        <w:t xml:space="preserve"> безпрецедентната за последните години инфлация. Въпреки избухването на военните действия в Украйна бюджетните приходи не бяха засегнати, а продължиха да нарастват с добри темпове. Това, заедно с подобряващите се индикатори на пазара на труда и запазващото се вътрешно търсене, даде основание да се очаква, че бизнесът успява да се адаптира към променената среда. Нещо повече, през месец май, юли и август по данни на Евростат индустриалното производство в България отчита най-голям растеж на годишна база (съответно 20,</w:t>
      </w:r>
      <w:r w:rsidR="005F5978">
        <w:rPr>
          <w:color w:val="000000" w:themeColor="text1"/>
        </w:rPr>
        <w:t>5</w:t>
      </w:r>
      <w:r w:rsidRPr="00114F9C">
        <w:rPr>
          <w:color w:val="000000" w:themeColor="text1"/>
        </w:rPr>
        <w:t xml:space="preserve"> на сто за май, 1</w:t>
      </w:r>
      <w:r w:rsidR="005F5978">
        <w:rPr>
          <w:color w:val="000000" w:themeColor="text1"/>
        </w:rPr>
        <w:t>8</w:t>
      </w:r>
      <w:r w:rsidRPr="00114F9C">
        <w:rPr>
          <w:color w:val="000000" w:themeColor="text1"/>
        </w:rPr>
        <w:t>,</w:t>
      </w:r>
      <w:r w:rsidR="005F5978">
        <w:rPr>
          <w:color w:val="000000" w:themeColor="text1"/>
        </w:rPr>
        <w:t>0</w:t>
      </w:r>
      <w:r w:rsidRPr="00114F9C">
        <w:rPr>
          <w:color w:val="000000" w:themeColor="text1"/>
        </w:rPr>
        <w:t xml:space="preserve"> на сто за юли и 16,5 на сто за август) сред всички държави-членки на ЕС. </w:t>
      </w:r>
      <w:r>
        <w:rPr>
          <w:color w:val="000000" w:themeColor="text1"/>
        </w:rPr>
        <w:t xml:space="preserve">Това показва, че бизнесът запазва и подобрява конкурентното си предимство, включително и поради щедрата програма за изплащане на компенсации на потребителите на електрическа енергия извън регулирания пазар. Задълбочаващият се инфлационен натиск обаче </w:t>
      </w:r>
      <w:proofErr w:type="spellStart"/>
      <w:r>
        <w:rPr>
          <w:color w:val="000000" w:themeColor="text1"/>
        </w:rPr>
        <w:t>индикира</w:t>
      </w:r>
      <w:proofErr w:type="spellEnd"/>
      <w:r>
        <w:rPr>
          <w:color w:val="000000" w:themeColor="text1"/>
        </w:rPr>
        <w:t>, че на вътрешния пазар тежестта върху цената на продукцията от високите цени на енергоносителите бе прехвърлена към крайните потребители. Подобен извод може да се направи и от значително подобрените финансови резултати на фирмите през 2022 г., които внесоха рекорден по размер авансов корпоративен данък. Това може да се дължи до известна степен на липсата на фокус на мерките за подпомагане, което води до свръх компенсиране на компаниите и изкривява финансовите им показатели.</w:t>
      </w:r>
    </w:p>
    <w:p w14:paraId="239455B0" w14:textId="77777777" w:rsidR="000F52E8" w:rsidRPr="004217DD" w:rsidRDefault="000F52E8" w:rsidP="000F52E8">
      <w:pPr>
        <w:spacing w:after="120"/>
        <w:jc w:val="both"/>
        <w:rPr>
          <w:color w:val="000000" w:themeColor="text1"/>
        </w:rPr>
      </w:pPr>
      <w:r>
        <w:rPr>
          <w:color w:val="000000" w:themeColor="text1"/>
        </w:rPr>
        <w:t xml:space="preserve">В частта на данъчно-осигурителните приходи добри са параметрите по изпълнението на приходите от осигурителни вноски, където се отчита преизпълнение на плана за годината с 2,6 на сто. При преките данъци изпълнението също превишава разчетите към ЗДБРБ с 9,7 на сто, за което принос имат, както корпоративните данъци, така и данъците върху доходите на физическите лица. При косвените данъци се отчита неизпълнение на разчетите за годината, основно поради по-ниските постъпления от ДДС от ВОП и акцизи. Въпреки това преизпълнението в частта на преките данъци и приходите от осигурителни вноски напълно компенсира по-ниските постъпления от косвени данъци, с което данъчно-осигурителните </w:t>
      </w:r>
      <w:r w:rsidRPr="004217DD">
        <w:rPr>
          <w:color w:val="000000" w:themeColor="text1"/>
        </w:rPr>
        <w:t>приходи превишават плана за годината.</w:t>
      </w:r>
    </w:p>
    <w:p w14:paraId="0CA7F5EA" w14:textId="2056AE73" w:rsidR="000F52E8" w:rsidRPr="004217DD" w:rsidRDefault="000F52E8" w:rsidP="000F52E8">
      <w:pPr>
        <w:spacing w:after="120"/>
        <w:jc w:val="both"/>
        <w:rPr>
          <w:color w:val="000000" w:themeColor="text1"/>
        </w:rPr>
      </w:pPr>
      <w:r w:rsidRPr="004217DD">
        <w:rPr>
          <w:color w:val="000000" w:themeColor="text1"/>
        </w:rPr>
        <w:t xml:space="preserve">Неданъчните приходи са в размер на </w:t>
      </w:r>
      <w:r w:rsidR="00BC6343" w:rsidRPr="004217DD">
        <w:rPr>
          <w:color w:val="000000" w:themeColor="text1"/>
        </w:rPr>
        <w:t>12,0</w:t>
      </w:r>
      <w:r w:rsidRPr="004217DD">
        <w:rPr>
          <w:color w:val="000000" w:themeColor="text1"/>
        </w:rPr>
        <w:t xml:space="preserve"> </w:t>
      </w:r>
      <w:r w:rsidR="00765327" w:rsidRPr="004217DD">
        <w:rPr>
          <w:color w:val="000000" w:themeColor="text1"/>
        </w:rPr>
        <w:t>млрд</w:t>
      </w:r>
      <w:r w:rsidRPr="004217DD">
        <w:rPr>
          <w:color w:val="000000" w:themeColor="text1"/>
        </w:rPr>
        <w:t xml:space="preserve">. лв. (вкл. </w:t>
      </w:r>
      <w:r w:rsidR="00765327" w:rsidRPr="004217DD">
        <w:rPr>
          <w:color w:val="000000" w:themeColor="text1"/>
        </w:rPr>
        <w:t>3,</w:t>
      </w:r>
      <w:r w:rsidR="00BC6343" w:rsidRPr="004217DD">
        <w:rPr>
          <w:color w:val="000000" w:themeColor="text1"/>
        </w:rPr>
        <w:t>2</w:t>
      </w:r>
      <w:r w:rsidRPr="004217DD">
        <w:rPr>
          <w:color w:val="000000" w:themeColor="text1"/>
        </w:rPr>
        <w:t xml:space="preserve"> млрд. лв. еднократни извънредни приходи) и се формират основно от приходи от държавни, общински и съдебни такси, приходи и доходи от собственост, вкл. вноски от приходи от държавни и общински предприятия, приходи от концесии, приходи от продажба на квоти за емисии на парникови газове и други. На съпоставима база при елиминиране на въздействието на еднократни извънредни приходи, неданъчните приходи по КФП за 2022 г. са в размер на 8,</w:t>
      </w:r>
      <w:r w:rsidR="002E0B57">
        <w:rPr>
          <w:color w:val="000000" w:themeColor="text1"/>
        </w:rPr>
        <w:t>8</w:t>
      </w:r>
      <w:r w:rsidRPr="004217DD">
        <w:rPr>
          <w:color w:val="000000" w:themeColor="text1"/>
        </w:rPr>
        <w:t xml:space="preserve"> млрд. лв., което представлява преизпълнение на го</w:t>
      </w:r>
      <w:r w:rsidR="002E0B57">
        <w:rPr>
          <w:color w:val="000000" w:themeColor="text1"/>
        </w:rPr>
        <w:t>дишния разчет с 19,8 на сто (1,</w:t>
      </w:r>
      <w:r w:rsidRPr="004217DD">
        <w:rPr>
          <w:color w:val="000000" w:themeColor="text1"/>
        </w:rPr>
        <w:t>5 млрд. лв.).</w:t>
      </w:r>
    </w:p>
    <w:p w14:paraId="2291D598" w14:textId="758D7212" w:rsidR="000F52E8" w:rsidRPr="00AB44E4" w:rsidRDefault="002E0B57" w:rsidP="000F52E8">
      <w:pPr>
        <w:spacing w:after="120"/>
        <w:jc w:val="both"/>
        <w:rPr>
          <w:color w:val="000000" w:themeColor="text1"/>
        </w:rPr>
      </w:pPr>
      <w:r>
        <w:rPr>
          <w:color w:val="000000" w:themeColor="text1"/>
        </w:rPr>
        <w:t>Постъпленията в</w:t>
      </w:r>
      <w:r w:rsidR="00754320" w:rsidRPr="004217DD">
        <w:rPr>
          <w:color w:val="000000" w:themeColor="text1"/>
        </w:rPr>
        <w:t xml:space="preserve"> частта на помощите и даренията са по-ниски от разчетените със ЗДБРБ за</w:t>
      </w:r>
      <w:r w:rsidR="00754320" w:rsidRPr="00754320">
        <w:rPr>
          <w:color w:val="000000" w:themeColor="text1"/>
        </w:rPr>
        <w:t xml:space="preserve"> 2022 г. с 0,2 млрд. лв., което се дължи на по-ниското усвояване на разходите по сметките за средства от ЕС, респективно по-ниският размер на възстановените разходи от ЕК</w:t>
      </w:r>
      <w:r w:rsidR="00754320">
        <w:rPr>
          <w:color w:val="000000" w:themeColor="text1"/>
        </w:rPr>
        <w:t>.</w:t>
      </w:r>
    </w:p>
    <w:p w14:paraId="4FBBFBEA" w14:textId="129303EF" w:rsidR="000F52E8" w:rsidRPr="00AB44E4" w:rsidRDefault="000F52E8" w:rsidP="000F52E8">
      <w:pPr>
        <w:spacing w:after="120"/>
        <w:jc w:val="both"/>
        <w:rPr>
          <w:color w:val="000000" w:themeColor="text1"/>
        </w:rPr>
      </w:pPr>
      <w:r w:rsidRPr="00AB44E4">
        <w:rPr>
          <w:color w:val="000000" w:themeColor="text1"/>
        </w:rPr>
        <w:t xml:space="preserve">Разходите по КФП (вкл. вноската на Република България в бюджета на ЕС) за 2022 г. са в размер на </w:t>
      </w:r>
      <w:r>
        <w:rPr>
          <w:color w:val="000000" w:themeColor="text1"/>
        </w:rPr>
        <w:t>66</w:t>
      </w:r>
      <w:r w:rsidR="00DE01EA">
        <w:rPr>
          <w:color w:val="000000" w:themeColor="text1"/>
        </w:rPr>
        <w:t>,</w:t>
      </w:r>
      <w:r>
        <w:rPr>
          <w:color w:val="000000" w:themeColor="text1"/>
        </w:rPr>
        <w:t>1</w:t>
      </w:r>
      <w:r w:rsidRPr="00AB44E4">
        <w:rPr>
          <w:color w:val="000000" w:themeColor="text1"/>
        </w:rPr>
        <w:t xml:space="preserve"> м</w:t>
      </w:r>
      <w:r w:rsidR="00DE01EA">
        <w:rPr>
          <w:color w:val="000000" w:themeColor="text1"/>
        </w:rPr>
        <w:t>лрд</w:t>
      </w:r>
      <w:r w:rsidRPr="00AB44E4">
        <w:rPr>
          <w:color w:val="000000" w:themeColor="text1"/>
        </w:rPr>
        <w:t>. лв., вкл. 3,</w:t>
      </w:r>
      <w:r w:rsidR="00DE01EA">
        <w:rPr>
          <w:color w:val="000000" w:themeColor="text1"/>
        </w:rPr>
        <w:t>2</w:t>
      </w:r>
      <w:r w:rsidRPr="00AB44E4">
        <w:rPr>
          <w:color w:val="000000" w:themeColor="text1"/>
        </w:rPr>
        <w:t xml:space="preserve"> млрд. лв. разходи с еднократен извънреден характер, които не са включени в разчетите към ЗДБРБ за 2022 г. Ако се елиминира въздействието на еднократните извънредни разходи по бюджета на </w:t>
      </w:r>
      <w:r w:rsidR="002175C4">
        <w:rPr>
          <w:color w:val="000000" w:themeColor="text1"/>
        </w:rPr>
        <w:t>ФСЕС</w:t>
      </w:r>
      <w:r w:rsidRPr="00AB44E4">
        <w:rPr>
          <w:color w:val="000000" w:themeColor="text1"/>
        </w:rPr>
        <w:t xml:space="preserve"> в изпълнение на §23 от Преходните и заключителните разпоредби на ЗДБРБ за 2022</w:t>
      </w:r>
      <w:r w:rsidR="005A2DF1">
        <w:rPr>
          <w:color w:val="000000" w:themeColor="text1"/>
        </w:rPr>
        <w:t> </w:t>
      </w:r>
      <w:r w:rsidRPr="00AB44E4">
        <w:rPr>
          <w:color w:val="000000" w:themeColor="text1"/>
        </w:rPr>
        <w:t xml:space="preserve">г. </w:t>
      </w:r>
      <w:r w:rsidRPr="00A1312F">
        <w:rPr>
          <w:color w:val="000000" w:themeColor="text1"/>
        </w:rPr>
        <w:t xml:space="preserve">за изплащане на компенсации към </w:t>
      </w:r>
      <w:r w:rsidRPr="00A1312F">
        <w:rPr>
          <w:color w:val="000000" w:themeColor="text1"/>
        </w:rPr>
        <w:lastRenderedPageBreak/>
        <w:t>потребителите на електрическа енергия извън регулирания пазар</w:t>
      </w:r>
      <w:r w:rsidR="00003E35" w:rsidRPr="00A1312F">
        <w:rPr>
          <w:color w:val="000000" w:themeColor="text1"/>
        </w:rPr>
        <w:t xml:space="preserve">, </w:t>
      </w:r>
      <w:r w:rsidRPr="00A1312F">
        <w:rPr>
          <w:color w:val="000000" w:themeColor="text1"/>
        </w:rPr>
        <w:t>то на съпоставима база разходите по КФП за 2022</w:t>
      </w:r>
      <w:r w:rsidR="002E0B57">
        <w:rPr>
          <w:color w:val="000000" w:themeColor="text1"/>
        </w:rPr>
        <w:t xml:space="preserve"> г.</w:t>
      </w:r>
      <w:r w:rsidRPr="00A1312F">
        <w:rPr>
          <w:color w:val="000000" w:themeColor="text1"/>
        </w:rPr>
        <w:t xml:space="preserve"> са в размер на 62</w:t>
      </w:r>
      <w:r w:rsidR="00F52EF1" w:rsidRPr="00A1312F">
        <w:rPr>
          <w:color w:val="000000" w:themeColor="text1"/>
        </w:rPr>
        <w:t>,</w:t>
      </w:r>
      <w:r w:rsidRPr="00A1312F">
        <w:rPr>
          <w:color w:val="000000" w:themeColor="text1"/>
        </w:rPr>
        <w:t>9 мл</w:t>
      </w:r>
      <w:r w:rsidR="00F52EF1" w:rsidRPr="00A1312F">
        <w:rPr>
          <w:color w:val="000000" w:themeColor="text1"/>
        </w:rPr>
        <w:t>рд</w:t>
      </w:r>
      <w:r w:rsidRPr="00A1312F">
        <w:rPr>
          <w:color w:val="000000" w:themeColor="text1"/>
        </w:rPr>
        <w:t>. лв.,</w:t>
      </w:r>
      <w:r w:rsidRPr="00AB44E4">
        <w:rPr>
          <w:color w:val="000000" w:themeColor="text1"/>
        </w:rPr>
        <w:t xml:space="preserve"> което представлява 95,</w:t>
      </w:r>
      <w:r w:rsidR="00EC4189">
        <w:rPr>
          <w:color w:val="000000" w:themeColor="text1"/>
        </w:rPr>
        <w:t>5</w:t>
      </w:r>
      <w:r w:rsidRPr="00AB44E4">
        <w:rPr>
          <w:color w:val="000000" w:themeColor="text1"/>
        </w:rPr>
        <w:t xml:space="preserve"> % от разчета към ЗДБРБ за 2022 г.</w:t>
      </w:r>
    </w:p>
    <w:p w14:paraId="79BC15B9" w14:textId="77777777" w:rsidR="000F52E8" w:rsidRPr="00AB44E4" w:rsidRDefault="000F52E8" w:rsidP="000F52E8">
      <w:pPr>
        <w:spacing w:after="120"/>
        <w:jc w:val="both"/>
        <w:rPr>
          <w:color w:val="000000" w:themeColor="text1"/>
        </w:rPr>
      </w:pPr>
      <w:r w:rsidRPr="00AB44E4">
        <w:rPr>
          <w:color w:val="000000" w:themeColor="text1"/>
        </w:rPr>
        <w:t xml:space="preserve">Най-съществено забавяне при усвояването на планираните разходи има при разходите по сметките за средства от ЕС. Основен принос за това има ниското усвояване на разходите по Плана за възстановяване и устойчивост (ПВУ) и някои оперативни програми от програмния период 2021-2027 г., като по-ниски от планираните са и разходите и предоставените трансфери по държавния бюджет. Разходите и предоставените трансфери по сметките за средства от ЕС са с около 2,7 млрд. лв. по-ниски от планираните с разчетите за годината. През месец декември постъпи първият транш по ПВУ за България в размер на около 2,7 млрд. лв., но данните сочат, че ефективно усвоените разходи по ПВУ са едва 0,1 млрд. лв. </w:t>
      </w:r>
      <w:r w:rsidRPr="00AB44E4">
        <w:rPr>
          <w:rFonts w:eastAsia="Batang"/>
          <w:bCs/>
          <w:color w:val="000000" w:themeColor="text1"/>
        </w:rPr>
        <w:t>Причините за това са следните:</w:t>
      </w:r>
    </w:p>
    <w:p w14:paraId="3F9A529E" w14:textId="77777777" w:rsidR="000F52E8" w:rsidRPr="00AB44E4" w:rsidRDefault="000F52E8" w:rsidP="000F52E8">
      <w:pPr>
        <w:pStyle w:val="ListParagraph"/>
        <w:numPr>
          <w:ilvl w:val="0"/>
          <w:numId w:val="32"/>
        </w:numPr>
        <w:autoSpaceDE w:val="0"/>
        <w:autoSpaceDN w:val="0"/>
        <w:adjustRightInd w:val="0"/>
        <w:rPr>
          <w:rFonts w:ascii="Times New Roman" w:eastAsia="Batang" w:hAnsi="Times New Roman"/>
          <w:b/>
          <w:bCs/>
          <w:i/>
          <w:color w:val="000000" w:themeColor="text1"/>
        </w:rPr>
      </w:pPr>
      <w:r w:rsidRPr="00AB44E4">
        <w:rPr>
          <w:rFonts w:ascii="Times New Roman" w:eastAsia="Batang" w:hAnsi="Times New Roman"/>
          <w:b/>
          <w:bCs/>
          <w:i/>
          <w:color w:val="000000" w:themeColor="text1"/>
        </w:rPr>
        <w:t>по Механизма за възстановяване и устойчивост:</w:t>
      </w:r>
    </w:p>
    <w:p w14:paraId="1E604D58" w14:textId="77777777" w:rsidR="000F52E8" w:rsidRPr="00AB44E4" w:rsidRDefault="000F52E8" w:rsidP="006612B2">
      <w:pPr>
        <w:pStyle w:val="ListParagraph"/>
        <w:numPr>
          <w:ilvl w:val="0"/>
          <w:numId w:val="31"/>
        </w:numPr>
        <w:spacing w:after="0" w:line="240" w:lineRule="auto"/>
        <w:rPr>
          <w:rFonts w:ascii="Times New Roman" w:hAnsi="Times New Roman"/>
          <w:color w:val="000000" w:themeColor="text1"/>
          <w:szCs w:val="24"/>
        </w:rPr>
      </w:pPr>
      <w:r w:rsidRPr="00AB44E4">
        <w:rPr>
          <w:rFonts w:ascii="Times New Roman" w:hAnsi="Times New Roman"/>
          <w:color w:val="000000" w:themeColor="text1"/>
          <w:szCs w:val="24"/>
        </w:rPr>
        <w:t>закъснялото приемане и съответно стартиране на изпълнението на Националния план за възстановяване и устойчивост (НПВУ);</w:t>
      </w:r>
    </w:p>
    <w:p w14:paraId="6F83E98E" w14:textId="77777777" w:rsidR="000F52E8" w:rsidRPr="00AB44E4" w:rsidRDefault="000F52E8" w:rsidP="006612B2">
      <w:pPr>
        <w:pStyle w:val="ListParagraph"/>
        <w:numPr>
          <w:ilvl w:val="0"/>
          <w:numId w:val="31"/>
        </w:numPr>
        <w:spacing w:after="0" w:line="240" w:lineRule="auto"/>
        <w:rPr>
          <w:rFonts w:ascii="Times New Roman" w:hAnsi="Times New Roman"/>
          <w:color w:val="000000" w:themeColor="text1"/>
          <w:szCs w:val="24"/>
        </w:rPr>
      </w:pPr>
      <w:r w:rsidRPr="00AB44E4">
        <w:rPr>
          <w:rFonts w:ascii="Times New Roman" w:hAnsi="Times New Roman"/>
          <w:color w:val="000000" w:themeColor="text1"/>
          <w:szCs w:val="24"/>
        </w:rPr>
        <w:t>липсата на готовност за изпълнение на част от инвестициите от крайните получатели и недостатъчния административен капацитет, особено при отговорни ведомства, които не са изпълнявали функции на органи по усвояването на средства от ЕС;</w:t>
      </w:r>
    </w:p>
    <w:p w14:paraId="32A3DC74" w14:textId="77777777" w:rsidR="000F52E8" w:rsidRPr="00AB44E4" w:rsidRDefault="000F52E8" w:rsidP="006612B2">
      <w:pPr>
        <w:pStyle w:val="ListParagraph"/>
        <w:numPr>
          <w:ilvl w:val="0"/>
          <w:numId w:val="31"/>
        </w:numPr>
        <w:spacing w:after="0" w:line="240" w:lineRule="auto"/>
        <w:rPr>
          <w:rFonts w:ascii="Times New Roman" w:hAnsi="Times New Roman"/>
          <w:color w:val="000000" w:themeColor="text1"/>
          <w:szCs w:val="24"/>
        </w:rPr>
      </w:pPr>
      <w:r w:rsidRPr="00AB44E4">
        <w:rPr>
          <w:rFonts w:ascii="Times New Roman" w:hAnsi="Times New Roman"/>
          <w:color w:val="000000" w:themeColor="text1"/>
          <w:szCs w:val="24"/>
        </w:rPr>
        <w:t>закъсняло стартиране на процедурите за избор на изпълнител по ЗОП.</w:t>
      </w:r>
    </w:p>
    <w:p w14:paraId="534D2F52" w14:textId="77777777" w:rsidR="000F52E8" w:rsidRPr="00AB44E4" w:rsidRDefault="000F52E8" w:rsidP="000F52E8">
      <w:pPr>
        <w:pStyle w:val="ListParagraph"/>
        <w:numPr>
          <w:ilvl w:val="0"/>
          <w:numId w:val="32"/>
        </w:numPr>
        <w:rPr>
          <w:rFonts w:ascii="Times New Roman" w:hAnsi="Times New Roman"/>
          <w:b/>
          <w:i/>
          <w:color w:val="000000" w:themeColor="text1"/>
        </w:rPr>
      </w:pPr>
      <w:r w:rsidRPr="00AB44E4">
        <w:rPr>
          <w:rFonts w:ascii="Times New Roman" w:hAnsi="Times New Roman"/>
          <w:b/>
          <w:i/>
          <w:color w:val="000000" w:themeColor="text1"/>
        </w:rPr>
        <w:t>по проектите от програмен период 2021-2027 г.:</w:t>
      </w:r>
    </w:p>
    <w:p w14:paraId="531D4D2E" w14:textId="4C4EB62B" w:rsidR="000F52E8" w:rsidRPr="00AB44E4" w:rsidRDefault="000F52E8" w:rsidP="000F52E8">
      <w:pPr>
        <w:pStyle w:val="ListParagraph"/>
        <w:numPr>
          <w:ilvl w:val="0"/>
          <w:numId w:val="31"/>
        </w:numPr>
        <w:spacing w:after="0" w:line="240" w:lineRule="auto"/>
        <w:rPr>
          <w:rFonts w:ascii="Times New Roman" w:hAnsi="Times New Roman"/>
          <w:color w:val="000000" w:themeColor="text1"/>
          <w:szCs w:val="24"/>
        </w:rPr>
      </w:pPr>
      <w:r w:rsidRPr="00AB44E4">
        <w:rPr>
          <w:rFonts w:ascii="Times New Roman" w:hAnsi="Times New Roman"/>
          <w:color w:val="000000" w:themeColor="text1"/>
          <w:szCs w:val="24"/>
        </w:rPr>
        <w:t xml:space="preserve">закъснялото одобрение от ЕК на програми, които ще се изпълняват през програмен период 2021-2027 – първите три програми (ПРЧР 2021-2027, програма Образование и ПХОМП) бяха одобрени в края на месец август, голяма част от останалите програми бяха одобрени в края на месец септември и началото на месец октомври, </w:t>
      </w:r>
      <w:r w:rsidR="005827BE">
        <w:rPr>
          <w:rFonts w:ascii="Times New Roman" w:hAnsi="Times New Roman"/>
          <w:color w:val="000000" w:themeColor="text1"/>
          <w:szCs w:val="24"/>
        </w:rPr>
        <w:t>а програма „</w:t>
      </w:r>
      <w:r w:rsidR="005827BE" w:rsidRPr="00AB2463">
        <w:rPr>
          <w:rFonts w:ascii="Times New Roman" w:hAnsi="Times New Roman"/>
          <w:color w:val="000000" w:themeColor="text1"/>
          <w:szCs w:val="24"/>
        </w:rPr>
        <w:t>Научни изследвания, иновации и дигитализация за</w:t>
      </w:r>
      <w:r w:rsidR="005827BE">
        <w:rPr>
          <w:rFonts w:ascii="Times New Roman" w:hAnsi="Times New Roman"/>
          <w:color w:val="000000" w:themeColor="text1"/>
          <w:szCs w:val="24"/>
        </w:rPr>
        <w:t xml:space="preserve"> </w:t>
      </w:r>
      <w:r w:rsidR="005827BE" w:rsidRPr="00AB2463">
        <w:rPr>
          <w:rFonts w:ascii="Times New Roman" w:hAnsi="Times New Roman"/>
          <w:color w:val="000000" w:themeColor="text1"/>
          <w:szCs w:val="24"/>
        </w:rPr>
        <w:t>интелигентна трансформация</w:t>
      </w:r>
      <w:r w:rsidR="005827BE">
        <w:rPr>
          <w:rFonts w:ascii="Times New Roman" w:hAnsi="Times New Roman"/>
          <w:color w:val="000000" w:themeColor="text1"/>
          <w:szCs w:val="24"/>
        </w:rPr>
        <w:t>“ и програма „Развитие на регионите“ – в края на месец декември 2022 г.</w:t>
      </w:r>
    </w:p>
    <w:p w14:paraId="2626C93C" w14:textId="77777777" w:rsidR="000F52E8" w:rsidRPr="00AB44E4" w:rsidRDefault="000F52E8" w:rsidP="000F52E8">
      <w:pPr>
        <w:spacing w:after="120"/>
        <w:jc w:val="both"/>
        <w:rPr>
          <w:color w:val="000000" w:themeColor="text1"/>
          <w:sz w:val="4"/>
          <w:szCs w:val="4"/>
        </w:rPr>
      </w:pPr>
    </w:p>
    <w:p w14:paraId="3902CF60" w14:textId="4A751FD1" w:rsidR="000F52E8" w:rsidRPr="00CE3155" w:rsidRDefault="000F52E8" w:rsidP="000F52E8">
      <w:pPr>
        <w:spacing w:after="120"/>
        <w:jc w:val="both"/>
        <w:rPr>
          <w:color w:val="000000" w:themeColor="text1"/>
        </w:rPr>
      </w:pPr>
      <w:r w:rsidRPr="00AB44E4">
        <w:rPr>
          <w:color w:val="000000" w:themeColor="text1"/>
        </w:rPr>
        <w:t>По-ниско от планираното е и усвояването на капиталовите разходи по държавния бюджет. Забавянето при изпълнението на проектите и програмите измества голяма част от планираните за 2022 г. разходи в 2023 г. и следващите години, което от една страна подобрява касовото салдо за 2022 г., но от друга води до натиск върху бюджета за 2023 г. Освен това оценките сочат, че за 2022 г. България ще формира първичен структурен дефицит, което е свързано с относително високия растеж на национално финансирани първични текущи разходи, по-голямата част от ко</w:t>
      </w:r>
      <w:r w:rsidR="002175C4">
        <w:rPr>
          <w:color w:val="000000" w:themeColor="text1"/>
        </w:rPr>
        <w:t>и</w:t>
      </w:r>
      <w:r w:rsidRPr="00AB44E4">
        <w:rPr>
          <w:color w:val="000000" w:themeColor="text1"/>
        </w:rPr>
        <w:t>то се дълж</w:t>
      </w:r>
      <w:r w:rsidR="001D681D">
        <w:rPr>
          <w:color w:val="000000" w:themeColor="text1"/>
        </w:rPr>
        <w:t>ат</w:t>
      </w:r>
      <w:r w:rsidRPr="00AB44E4">
        <w:rPr>
          <w:color w:val="000000" w:themeColor="text1"/>
        </w:rPr>
        <w:t xml:space="preserve"> на мерки с постоянно действие.</w:t>
      </w:r>
    </w:p>
    <w:p w14:paraId="3BDA61C7" w14:textId="77777777" w:rsidR="000F52E8" w:rsidRPr="00CE3155" w:rsidRDefault="000F52E8" w:rsidP="000F52E8">
      <w:pPr>
        <w:spacing w:before="360"/>
        <w:jc w:val="both"/>
        <w:rPr>
          <w:b/>
          <w:color w:val="000000" w:themeColor="text1"/>
          <w:u w:val="single"/>
        </w:rPr>
      </w:pPr>
      <w:r w:rsidRPr="00CE3155">
        <w:rPr>
          <w:b/>
          <w:color w:val="000000" w:themeColor="text1"/>
          <w:u w:val="single"/>
        </w:rPr>
        <w:t>Програми за компенсации за високите цени на електрическата енергия и природния газ</w:t>
      </w:r>
    </w:p>
    <w:p w14:paraId="43E5E935" w14:textId="77777777" w:rsidR="000F52E8" w:rsidRPr="00CE3155" w:rsidRDefault="000F52E8" w:rsidP="000F52E8">
      <w:pPr>
        <w:spacing w:after="120"/>
        <w:jc w:val="both"/>
        <w:rPr>
          <w:color w:val="000000" w:themeColor="text1"/>
          <w:sz w:val="4"/>
          <w:szCs w:val="4"/>
        </w:rPr>
      </w:pPr>
    </w:p>
    <w:p w14:paraId="66306EE4" w14:textId="7E82B7A4" w:rsidR="000F52E8" w:rsidRDefault="000F52E8" w:rsidP="000F52E8">
      <w:pPr>
        <w:spacing w:after="120"/>
        <w:jc w:val="both"/>
        <w:rPr>
          <w:color w:val="000000" w:themeColor="text1"/>
        </w:rPr>
      </w:pPr>
      <w:r w:rsidRPr="009D34A0">
        <w:rPr>
          <w:color w:val="000000" w:themeColor="text1"/>
        </w:rPr>
        <w:t>Една от основните мерки за намаляване на шока от растящите цени на електричеството на регионалния и местен пазар н</w:t>
      </w:r>
      <w:r w:rsidR="007648D9" w:rsidRPr="004A2E93">
        <w:rPr>
          <w:color w:val="000000" w:themeColor="text1"/>
          <w:lang w:val="ru-RU"/>
        </w:rPr>
        <w:t>а</w:t>
      </w:r>
      <w:r w:rsidRPr="009D34A0">
        <w:rPr>
          <w:color w:val="000000" w:themeColor="text1"/>
        </w:rPr>
        <w:t xml:space="preserve"> електроенергия върху бизнеса и от там върху цените на продукцията, респективно инфлацията, бе сред приоритетите, както на редовното правителство, така и на последвалото го служебно правителство. Още в края на 2021 г. бяха одобрени Програма за компенсиране на небитови крайни клиенти на електрическа енергия</w:t>
      </w:r>
      <w:r w:rsidR="002E0B57" w:rsidRPr="002E0B57">
        <w:rPr>
          <w:color w:val="000000" w:themeColor="text1"/>
        </w:rPr>
        <w:t xml:space="preserve"> </w:t>
      </w:r>
      <w:r w:rsidR="002E0B57" w:rsidRPr="009D34A0">
        <w:rPr>
          <w:color w:val="000000" w:themeColor="text1"/>
        </w:rPr>
        <w:t xml:space="preserve">и Програма за компенсиране </w:t>
      </w:r>
      <w:r w:rsidR="002E0B57">
        <w:rPr>
          <w:color w:val="000000" w:themeColor="text1"/>
        </w:rPr>
        <w:t xml:space="preserve">на разходите </w:t>
      </w:r>
      <w:r w:rsidR="002E0B57" w:rsidRPr="009D34A0">
        <w:rPr>
          <w:color w:val="000000" w:themeColor="text1"/>
        </w:rPr>
        <w:t>на операторите на електропреносната и на електро-разпределителн</w:t>
      </w:r>
      <w:r w:rsidR="002E0B57">
        <w:rPr>
          <w:color w:val="000000" w:themeColor="text1"/>
        </w:rPr>
        <w:t>и</w:t>
      </w:r>
      <w:r w:rsidR="002E0B57" w:rsidRPr="009D34A0">
        <w:rPr>
          <w:color w:val="000000" w:themeColor="text1"/>
        </w:rPr>
        <w:t>т</w:t>
      </w:r>
      <w:r w:rsidR="002E0B57">
        <w:rPr>
          <w:color w:val="000000" w:themeColor="text1"/>
        </w:rPr>
        <w:t>е</w:t>
      </w:r>
      <w:r w:rsidR="002E0B57" w:rsidRPr="009D34A0">
        <w:rPr>
          <w:color w:val="000000" w:themeColor="text1"/>
        </w:rPr>
        <w:t xml:space="preserve"> мрежи за закупуване на количества електрическа енергия, потребена за технологични разходи </w:t>
      </w:r>
      <w:r w:rsidRPr="009D34A0">
        <w:rPr>
          <w:color w:val="000000" w:themeColor="text1"/>
        </w:rPr>
        <w:t>(РМС № 739</w:t>
      </w:r>
      <w:r>
        <w:rPr>
          <w:color w:val="000000" w:themeColor="text1"/>
        </w:rPr>
        <w:t>/2021</w:t>
      </w:r>
      <w:r w:rsidRPr="009D34A0">
        <w:rPr>
          <w:color w:val="000000" w:themeColor="text1"/>
        </w:rPr>
        <w:t>; РМС № 771</w:t>
      </w:r>
      <w:r>
        <w:rPr>
          <w:color w:val="000000" w:themeColor="text1"/>
        </w:rPr>
        <w:t>/2021</w:t>
      </w:r>
      <w:r w:rsidRPr="009D34A0">
        <w:rPr>
          <w:color w:val="000000" w:themeColor="text1"/>
        </w:rPr>
        <w:t>; РМС № 885</w:t>
      </w:r>
      <w:r>
        <w:rPr>
          <w:color w:val="000000" w:themeColor="text1"/>
        </w:rPr>
        <w:t>/2021</w:t>
      </w:r>
      <w:r w:rsidRPr="009D34A0">
        <w:rPr>
          <w:color w:val="000000" w:themeColor="text1"/>
        </w:rPr>
        <w:t>)</w:t>
      </w:r>
      <w:r>
        <w:rPr>
          <w:color w:val="000000" w:themeColor="text1"/>
        </w:rPr>
        <w:t>. През първите месеци на 2022 г. тези програми бяха продължени и доразвити (РМС </w:t>
      </w:r>
      <w:r w:rsidRPr="009D34A0">
        <w:rPr>
          <w:color w:val="000000" w:themeColor="text1"/>
        </w:rPr>
        <w:t>№</w:t>
      </w:r>
      <w:r>
        <w:rPr>
          <w:color w:val="000000" w:themeColor="text1"/>
        </w:rPr>
        <w:t>30/2022; РМС </w:t>
      </w:r>
      <w:r w:rsidRPr="009D34A0">
        <w:rPr>
          <w:color w:val="000000" w:themeColor="text1"/>
        </w:rPr>
        <w:t>№</w:t>
      </w:r>
      <w:r>
        <w:rPr>
          <w:color w:val="000000" w:themeColor="text1"/>
        </w:rPr>
        <w:t>105/2022; РМС </w:t>
      </w:r>
      <w:r w:rsidRPr="009D34A0">
        <w:rPr>
          <w:color w:val="000000" w:themeColor="text1"/>
        </w:rPr>
        <w:t>№</w:t>
      </w:r>
      <w:r>
        <w:rPr>
          <w:color w:val="000000" w:themeColor="text1"/>
        </w:rPr>
        <w:t>202/2022; РМС </w:t>
      </w:r>
      <w:r w:rsidRPr="009D34A0">
        <w:rPr>
          <w:color w:val="000000" w:themeColor="text1"/>
        </w:rPr>
        <w:t>№</w:t>
      </w:r>
      <w:r>
        <w:rPr>
          <w:color w:val="000000" w:themeColor="text1"/>
        </w:rPr>
        <w:t>301/2022 и РМС </w:t>
      </w:r>
      <w:r w:rsidRPr="009D34A0">
        <w:rPr>
          <w:color w:val="000000" w:themeColor="text1"/>
        </w:rPr>
        <w:t>№</w:t>
      </w:r>
      <w:r>
        <w:rPr>
          <w:color w:val="000000" w:themeColor="text1"/>
        </w:rPr>
        <w:t xml:space="preserve">356/2022), като освен компенсациите за небитовите потребители на електрическа енергия и за </w:t>
      </w:r>
      <w:r w:rsidRPr="009D34A0">
        <w:rPr>
          <w:color w:val="000000" w:themeColor="text1"/>
        </w:rPr>
        <w:t>операторите на електропреносната и на електроразпределителн</w:t>
      </w:r>
      <w:r w:rsidR="002E0B57">
        <w:rPr>
          <w:color w:val="000000" w:themeColor="text1"/>
        </w:rPr>
        <w:t>и</w:t>
      </w:r>
      <w:r w:rsidRPr="009D34A0">
        <w:rPr>
          <w:color w:val="000000" w:themeColor="text1"/>
        </w:rPr>
        <w:t>т</w:t>
      </w:r>
      <w:r w:rsidR="002E0B57">
        <w:rPr>
          <w:color w:val="000000" w:themeColor="text1"/>
        </w:rPr>
        <w:t>е</w:t>
      </w:r>
      <w:r w:rsidRPr="009D34A0">
        <w:rPr>
          <w:color w:val="000000" w:themeColor="text1"/>
        </w:rPr>
        <w:t xml:space="preserve"> мрежи за закупуване на количества електрическа енергия, потребена за технологични разходи</w:t>
      </w:r>
      <w:r>
        <w:rPr>
          <w:color w:val="000000" w:themeColor="text1"/>
        </w:rPr>
        <w:t xml:space="preserve"> бяха одобрени и Програма за компенсиране на битовите клиенти на природен газ и топлофикационни дружества, използващи като основно гориво природен газ, с подпомагане с фиксирана сума за един </w:t>
      </w:r>
      <w:proofErr w:type="spellStart"/>
      <w:r w:rsidRPr="00CE3155">
        <w:rPr>
          <w:color w:val="000000" w:themeColor="text1"/>
        </w:rPr>
        <w:t>MWh</w:t>
      </w:r>
      <w:proofErr w:type="spellEnd"/>
      <w:r>
        <w:rPr>
          <w:color w:val="000000" w:themeColor="text1"/>
        </w:rPr>
        <w:t xml:space="preserve">, Програма за компенсиране на разходите на дружествата от отрасъл ВиК за потребена електрическа енергия и Програма за подпомагане на студенти и докторанти, настанени в </w:t>
      </w:r>
      <w:r>
        <w:rPr>
          <w:color w:val="000000" w:themeColor="text1"/>
        </w:rPr>
        <w:lastRenderedPageBreak/>
        <w:t>студентски общежития, стопанисвани от държавните висши училища и „Студентски столове и общежития“ ЕАД и т.н. Посочените програми се прилагаха за периода януари-юни</w:t>
      </w:r>
      <w:r w:rsidR="002E0B57">
        <w:rPr>
          <w:color w:val="000000" w:themeColor="text1"/>
        </w:rPr>
        <w:t xml:space="preserve"> 2022 г.</w:t>
      </w:r>
      <w:r>
        <w:rPr>
          <w:color w:val="000000" w:themeColor="text1"/>
        </w:rPr>
        <w:t xml:space="preserve"> включително или за определени месеци през този период, като тяхното финансиране бе в рамките на определените разходни тавани за годината, вкл. и за сметка на допълнителни приходи и разходи от сметки за чужди средства на Министерството на енергетиката. За периода януари-юни</w:t>
      </w:r>
      <w:r w:rsidR="002E0B57">
        <w:rPr>
          <w:color w:val="000000" w:themeColor="text1"/>
        </w:rPr>
        <w:t xml:space="preserve"> 2022 г.</w:t>
      </w:r>
      <w:r>
        <w:rPr>
          <w:color w:val="000000" w:themeColor="text1"/>
        </w:rPr>
        <w:t xml:space="preserve"> по посочените програми са изплатени компенсации (вкл. и за сметка на разходи от сметки за чужди средства) в общ размер на над 1,7 млрд. л</w:t>
      </w:r>
      <w:r w:rsidR="002E0B57">
        <w:rPr>
          <w:color w:val="000000" w:themeColor="text1"/>
        </w:rPr>
        <w:t>е</w:t>
      </w:r>
      <w:r>
        <w:rPr>
          <w:color w:val="000000" w:themeColor="text1"/>
        </w:rPr>
        <w:t>в</w:t>
      </w:r>
      <w:r w:rsidR="002E0B57">
        <w:rPr>
          <w:color w:val="000000" w:themeColor="text1"/>
        </w:rPr>
        <w:t>а</w:t>
      </w:r>
      <w:r>
        <w:rPr>
          <w:color w:val="000000" w:themeColor="text1"/>
        </w:rPr>
        <w:t>.</w:t>
      </w:r>
    </w:p>
    <w:p w14:paraId="6B1B1C75" w14:textId="721C519F" w:rsidR="000F52E8" w:rsidRPr="007E156B" w:rsidRDefault="000F52E8" w:rsidP="000F52E8">
      <w:pPr>
        <w:spacing w:after="120"/>
        <w:jc w:val="both"/>
        <w:rPr>
          <w:color w:val="000000" w:themeColor="text1"/>
        </w:rPr>
      </w:pPr>
      <w:r>
        <w:rPr>
          <w:color w:val="000000" w:themeColor="text1"/>
        </w:rPr>
        <w:t>С влизането в сила на З</w:t>
      </w:r>
      <w:r w:rsidR="001D681D">
        <w:rPr>
          <w:color w:val="000000" w:themeColor="text1"/>
        </w:rPr>
        <w:t>ИД</w:t>
      </w:r>
      <w:r>
        <w:rPr>
          <w:color w:val="000000" w:themeColor="text1"/>
        </w:rPr>
        <w:t xml:space="preserve"> на ЗДБРБ за 2022 г. (ДВ, бр. 52 от 05.07.2022 г.) бяха одобрени разпоредби в §23 и §2</w:t>
      </w:r>
      <w:r w:rsidR="002E0B57">
        <w:rPr>
          <w:color w:val="000000" w:themeColor="text1"/>
        </w:rPr>
        <w:t>4</w:t>
      </w:r>
      <w:r>
        <w:rPr>
          <w:color w:val="000000" w:themeColor="text1"/>
        </w:rPr>
        <w:t xml:space="preserve"> от ПЗР на закона, с които бе регламентиран нов механизъм за финансиране на компенсации за </w:t>
      </w:r>
      <w:r w:rsidRPr="002503DB">
        <w:rPr>
          <w:color w:val="000000" w:themeColor="text1"/>
        </w:rPr>
        <w:t xml:space="preserve">небитовите крайни клиенти на електрическа енергия чрез бюджета на ФСЕС. </w:t>
      </w:r>
      <w:r>
        <w:rPr>
          <w:color w:val="000000" w:themeColor="text1"/>
        </w:rPr>
        <w:t>Одобрените разпоредби не бяха част от законопроекта, внесен от Министерския съвет, но в хода на процедурата по одобряването на законопроекта между първо и второ гласуване бяха направени предложения от народни представители, които намериха място в окончателната редакция на закона. Поради тази причина ефектите в приходите и разходите не са отразени в разчетите към ЗДБРБ за 2022 г. и с оглед съпоставимост с плана към ЗДБРБ за 2022 г. те следва да се елиминират. Окончателният текст на разпоредбите предвижда п</w:t>
      </w:r>
      <w:r w:rsidRPr="007E156B">
        <w:rPr>
          <w:color w:val="000000" w:themeColor="text1"/>
        </w:rPr>
        <w:t>убличните предприятия от сектор енергетика със 100 на сто държавно участие в капитала да внасят целеви вноски във ФСЕС, които</w:t>
      </w:r>
      <w:r>
        <w:rPr>
          <w:color w:val="000000" w:themeColor="text1"/>
        </w:rPr>
        <w:t xml:space="preserve"> да</w:t>
      </w:r>
      <w:r w:rsidRPr="007E156B">
        <w:rPr>
          <w:color w:val="000000" w:themeColor="text1"/>
        </w:rPr>
        <w:t xml:space="preserve"> се използват за покриване на разходите за компенсира</w:t>
      </w:r>
      <w:r w:rsidR="002E0B57">
        <w:rPr>
          <w:color w:val="000000" w:themeColor="text1"/>
        </w:rPr>
        <w:t xml:space="preserve">не на </w:t>
      </w:r>
      <w:r w:rsidRPr="007E156B">
        <w:rPr>
          <w:color w:val="000000" w:themeColor="text1"/>
        </w:rPr>
        <w:t>небитовите крайни клиенти на електрическа енергия. Определено е компенсирането да бъде в размер на 100 на сто от разликата между реалната средномесечна борсова цена на сегмента "ден напред" на "БНЕБ" – ЕАД за съответния месец и базовата цена в размер 250 лв./</w:t>
      </w:r>
      <w:proofErr w:type="spellStart"/>
      <w:r w:rsidRPr="007E156B">
        <w:rPr>
          <w:color w:val="000000" w:themeColor="text1"/>
        </w:rPr>
        <w:t>MWh</w:t>
      </w:r>
      <w:proofErr w:type="spellEnd"/>
      <w:r w:rsidRPr="007E156B">
        <w:rPr>
          <w:color w:val="000000" w:themeColor="text1"/>
        </w:rPr>
        <w:t xml:space="preserve">. Законодателят е предвидил този механизъм да се прилага за периода от 1 юли 2022 г. до 31 декември 2022 г., като по предложение на министъра на енергетиката Министерския съвет определя размера и сроковете за внасяне на целевите вноски. </w:t>
      </w:r>
      <w:r>
        <w:rPr>
          <w:color w:val="000000" w:themeColor="text1"/>
        </w:rPr>
        <w:t>В изпълнение на тази разпоредба Министерския съвет одобри Програма за компенсиране на небитовите крайни клиенти за електрическа енергия и на операторите на електропреносната мрежа за закупуване на количества електрическа енергия, потребена за технологични разходи за периода от 1 юли 2022 г. до 30 септември 2022 г. (РМС №534/29.07.2022 г.) и Програма за компенсиране на небитовите крайни клиенти за електрическа енергия и на операторите на електропреносната мрежа за закупуване на количества електрическа енергия, потребена за технологични разходи за периода от 1 октомври 2022 г. до 31 декември 2022 г. (РМС №710/29.07.2022 г.), като сроковете и размерът на целевите вноски са определени с РМС №490/15.07.2022; РМС №587/11.08.2022; РМС №648/07.09.2022 г.; РМС №735/05.10.2022; РМС №920/17.11.2022 г. и РМС №1035/19.12.2022 г. Общият размер на приходите от целеви вноски, постъпили по бюджета на ФСЕС</w:t>
      </w:r>
      <w:r w:rsidR="002E0B57">
        <w:rPr>
          <w:color w:val="000000" w:themeColor="text1"/>
        </w:rPr>
        <w:t>,</w:t>
      </w:r>
      <w:r>
        <w:rPr>
          <w:color w:val="000000" w:themeColor="text1"/>
        </w:rPr>
        <w:t xml:space="preserve"> в изпълнение на посочените нормативни актове за периода юли-декември 2022 г. е 3,2 млрд. лв., като извършените разходи чрез бюджета на ФСЕС за изплащане на компенсации по двете програми за компенсиране също са в размер на 3,2 млрд. лв.</w:t>
      </w:r>
    </w:p>
    <w:p w14:paraId="0A1FA978" w14:textId="0ACD4B15" w:rsidR="000F52E8" w:rsidRDefault="000F52E8" w:rsidP="000F52E8">
      <w:pPr>
        <w:jc w:val="both"/>
      </w:pPr>
      <w:r>
        <w:t xml:space="preserve">На база на изложеното през 2022 г. изплатените компенсации по различните прилагани програми за компенсации са в общ размер на </w:t>
      </w:r>
      <w:r w:rsidRPr="000D140B">
        <w:rPr>
          <w:b/>
        </w:rPr>
        <w:t>4,9 млрд. лв., което представлява около 3,0</w:t>
      </w:r>
      <w:r w:rsidR="00831424">
        <w:rPr>
          <w:b/>
        </w:rPr>
        <w:t xml:space="preserve"> </w:t>
      </w:r>
      <w:r w:rsidRPr="000D140B">
        <w:rPr>
          <w:b/>
        </w:rPr>
        <w:t>% от прогнозния БВП</w:t>
      </w:r>
      <w:r>
        <w:t xml:space="preserve">, а постъпилите извънредни еднократни приходи от целеви вноски по реда на §24 от ПЗР на ЗДБРБ за 2022 г. са в размер на </w:t>
      </w:r>
      <w:r w:rsidRPr="000D140B">
        <w:rPr>
          <w:b/>
        </w:rPr>
        <w:t>3,2 млрд. лв. (2</w:t>
      </w:r>
      <w:r w:rsidR="00371B0D">
        <w:rPr>
          <w:b/>
        </w:rPr>
        <w:t>,</w:t>
      </w:r>
      <w:r w:rsidRPr="000D140B">
        <w:rPr>
          <w:b/>
        </w:rPr>
        <w:t>0</w:t>
      </w:r>
      <w:r w:rsidR="007E1D1E">
        <w:rPr>
          <w:b/>
        </w:rPr>
        <w:t xml:space="preserve"> </w:t>
      </w:r>
      <w:r w:rsidRPr="000D140B">
        <w:rPr>
          <w:b/>
        </w:rPr>
        <w:t>% от прогнозния БВП)</w:t>
      </w:r>
      <w:r>
        <w:t>.</w:t>
      </w:r>
    </w:p>
    <w:p w14:paraId="51D85DB3" w14:textId="736CF366" w:rsidR="005024E0" w:rsidRPr="005B31AD" w:rsidRDefault="005024E0" w:rsidP="005024E0">
      <w:pPr>
        <w:pStyle w:val="Heading1"/>
        <w:spacing w:before="240"/>
        <w:ind w:left="142" w:right="-108"/>
        <w:jc w:val="both"/>
        <w:rPr>
          <w:sz w:val="24"/>
        </w:rPr>
      </w:pPr>
      <w:r w:rsidRPr="005B31AD">
        <w:rPr>
          <w:sz w:val="24"/>
        </w:rPr>
        <w:t>Информация за разходи, свързани с хуманитарната криза породена от военните действия в Украйна</w:t>
      </w:r>
      <w:bookmarkEnd w:id="0"/>
    </w:p>
    <w:p w14:paraId="3731B02F" w14:textId="7C56118D" w:rsidR="005B31AD" w:rsidRPr="005B31AD" w:rsidRDefault="005B31AD" w:rsidP="005B31AD">
      <w:pPr>
        <w:spacing w:before="120"/>
        <w:jc w:val="both"/>
        <w:rPr>
          <w:bCs/>
          <w:color w:val="0070C0"/>
          <w:lang w:eastAsia="bg-BG"/>
        </w:rPr>
      </w:pPr>
      <w:bookmarkStart w:id="1" w:name="_Toc109903429"/>
      <w:r w:rsidRPr="005B31AD">
        <w:rPr>
          <w:lang w:eastAsia="bg-BG"/>
        </w:rPr>
        <w:t>Отчетените от ПРБ разходи към 3</w:t>
      </w:r>
      <w:r w:rsidRPr="004A2E93">
        <w:rPr>
          <w:lang w:val="ru-RU" w:eastAsia="bg-BG"/>
        </w:rPr>
        <w:t>1</w:t>
      </w:r>
      <w:r w:rsidRPr="005B31AD">
        <w:rPr>
          <w:lang w:eastAsia="bg-BG"/>
        </w:rPr>
        <w:t>.</w:t>
      </w:r>
      <w:r w:rsidRPr="004A2E93">
        <w:rPr>
          <w:lang w:val="ru-RU" w:eastAsia="bg-BG"/>
        </w:rPr>
        <w:t>12</w:t>
      </w:r>
      <w:r w:rsidRPr="005B31AD">
        <w:rPr>
          <w:lang w:eastAsia="bg-BG"/>
        </w:rPr>
        <w:t xml:space="preserve">.2022 г. за финансиране на дейности по оказване на незабавна хуманитарна помощ на живеещите в Украйна български граждани и българи с украинско гражданство, включително при необходимост от евакуация, за предоставяне на хуманитарна помощ за Украйна, за хуманитарна помощ на украинските  бежанци в България, както и за извършване на разходи за справяне с последствията от военните действия срещу Украйна са в размер на </w:t>
      </w:r>
      <w:r w:rsidR="009275A5" w:rsidRPr="009275A5">
        <w:rPr>
          <w:lang w:eastAsia="bg-BG"/>
        </w:rPr>
        <w:t xml:space="preserve">578,1 </w:t>
      </w:r>
      <w:r w:rsidRPr="005B31AD">
        <w:rPr>
          <w:lang w:eastAsia="bg-BG"/>
        </w:rPr>
        <w:t>млн.</w:t>
      </w:r>
      <w:r w:rsidRPr="005B31AD">
        <w:rPr>
          <w:bCs/>
          <w:lang w:eastAsia="bg-BG"/>
        </w:rPr>
        <w:t xml:space="preserve"> лв. от националния бюджет и 142,0 млн. лв. средства от ЕС.  По бюджетите на общините отчетените разходи са в размер на 2,0 млн. лева.</w:t>
      </w:r>
      <w:r w:rsidR="00ED3398" w:rsidRPr="00ED3398">
        <w:t xml:space="preserve"> </w:t>
      </w:r>
      <w:r w:rsidR="00ED3398">
        <w:t>О</w:t>
      </w:r>
      <w:r w:rsidR="00ED3398" w:rsidRPr="00ED3398">
        <w:rPr>
          <w:bCs/>
          <w:lang w:eastAsia="bg-BG"/>
        </w:rPr>
        <w:t xml:space="preserve">т одобрените с ПМС допълнителни разходи по реда на чл. 110 от ЗДБРБ за 2022 г. по бюджета на </w:t>
      </w:r>
      <w:r w:rsidR="00ED3398" w:rsidRPr="00ED3398">
        <w:rPr>
          <w:bCs/>
          <w:lang w:eastAsia="bg-BG"/>
        </w:rPr>
        <w:lastRenderedPageBreak/>
        <w:t>Министерството на туризма са отчетени разходи в размер на 56,0 млн. лв. - хуманитарна помощ за лица, търсещи временна закрила в Република България вследствие на военните действия в Украйна</w:t>
      </w:r>
      <w:r w:rsidR="00ED3398">
        <w:rPr>
          <w:bCs/>
          <w:lang w:eastAsia="bg-BG"/>
        </w:rPr>
        <w:t>.</w:t>
      </w:r>
    </w:p>
    <w:p w14:paraId="0840C269" w14:textId="77777777" w:rsidR="005B31AD" w:rsidRPr="005B31AD" w:rsidRDefault="005B31AD" w:rsidP="005B31AD">
      <w:pPr>
        <w:spacing w:before="120"/>
        <w:jc w:val="both"/>
        <w:rPr>
          <w:b/>
          <w:i/>
          <w:lang w:eastAsia="bg-BG"/>
        </w:rPr>
      </w:pPr>
      <w:r w:rsidRPr="005B31AD">
        <w:rPr>
          <w:b/>
          <w:i/>
          <w:lang w:eastAsia="bg-BG"/>
        </w:rPr>
        <w:t xml:space="preserve">Програми за хуманитарна помощ за лица с бежански статут </w:t>
      </w:r>
    </w:p>
    <w:p w14:paraId="7CB277D6" w14:textId="77777777" w:rsidR="00A84E5C" w:rsidRDefault="00A84E5C" w:rsidP="00B93DED">
      <w:pPr>
        <w:spacing w:before="120"/>
        <w:jc w:val="both"/>
        <w:rPr>
          <w:bCs/>
          <w:lang w:eastAsia="bg-BG"/>
        </w:rPr>
      </w:pPr>
      <w:r>
        <w:rPr>
          <w:lang w:eastAsia="bg-BG"/>
        </w:rPr>
        <w:t>В началото на март с РМС № 145/2022 г. бе одобрена „</w:t>
      </w:r>
      <w:r>
        <w:rPr>
          <w:u w:val="single"/>
          <w:lang w:eastAsia="bg-BG"/>
        </w:rPr>
        <w:t>Програма за ползване на хуманитарна помощ за лица, търсещи временна закрила в Република България вследствие на военните действия в Украйна“</w:t>
      </w:r>
      <w:r>
        <w:rPr>
          <w:lang w:eastAsia="bg-BG"/>
        </w:rPr>
        <w:t xml:space="preserve"> с първоначален срок за периода от 24.02.2022 до 31.05.2022 г. По-късно тази програма бе изменена и допълнена с РМС № 181, № 239, № 241, № 298 и № 423 от 2022 г. Програмата се администрира от Министерството на туризма – (МТ), като разходите е предвидено да се финансират от инструменти на ЕС и/или от държавния бюджет. Средствата по програмата са отпускани с ПМС №  61, 71, 93 146, 193 и 251 от 2022 г. Отчетените от МТ средства по тази програма за 2022 г. са в размер на 161,8 млн. лв.</w:t>
      </w:r>
    </w:p>
    <w:p w14:paraId="65AC3830" w14:textId="4433E5BB" w:rsidR="00A84E5C" w:rsidRDefault="00A84E5C" w:rsidP="001A2581">
      <w:pPr>
        <w:spacing w:before="120"/>
        <w:jc w:val="both"/>
        <w:rPr>
          <w:lang w:eastAsia="bg-BG"/>
        </w:rPr>
      </w:pPr>
      <w:r>
        <w:rPr>
          <w:lang w:eastAsia="bg-BG"/>
        </w:rPr>
        <w:t xml:space="preserve">С РМС № 317 от 20 май 2022 г. е одобрена нова </w:t>
      </w:r>
      <w:r>
        <w:rPr>
          <w:u w:val="single"/>
          <w:lang w:eastAsia="bg-BG"/>
        </w:rPr>
        <w:t>„Програма за хуманитарно подпомагане на разселени лица от Украйна с предоставена временна закрила в Република България“</w:t>
      </w:r>
      <w:r>
        <w:rPr>
          <w:lang w:eastAsia="bg-BG"/>
        </w:rPr>
        <w:t>, която по-късно бе изменена и допълнена с РМС № 535, 665, 856, 909, 963 и 1010 от 2022 г. и бе удължен периодът на действие на програмата до 24.02.2023 г. Програмата се администрира от М</w:t>
      </w:r>
      <w:r w:rsidR="002E0B57">
        <w:rPr>
          <w:lang w:eastAsia="bg-BG"/>
        </w:rPr>
        <w:t>Т</w:t>
      </w:r>
      <w:r>
        <w:rPr>
          <w:lang w:eastAsia="bg-BG"/>
        </w:rPr>
        <w:t>, като помощта се одобрява с акт на Министерския съвет. Средствата по програмата са одобрени с ПМС № 200, 271, 282, 336, 361, 426 и 484 от 2022 г. Изразходваните средства по тази програма от МТ към 31.12.2022 г. са в размер на  77,3 млн. лв.</w:t>
      </w:r>
    </w:p>
    <w:p w14:paraId="1AF47590" w14:textId="15C92D7A" w:rsidR="00A84E5C" w:rsidRDefault="00A84E5C" w:rsidP="001A2581">
      <w:pPr>
        <w:jc w:val="both"/>
      </w:pPr>
      <w:r>
        <w:rPr>
          <w:lang w:eastAsia="bg-BG"/>
        </w:rPr>
        <w:t>Към 31.12.2022 г. по бюджета на Министерството на туризма са отчетени разходи в общ размер на 239,1 млн. лв. по двете програми за хуманитарна помощ във връзка с военните действия в Украйна</w:t>
      </w:r>
      <w:r>
        <w:t>, като част от разходите в размер на 1</w:t>
      </w:r>
      <w:r w:rsidR="008C64D8">
        <w:t>37</w:t>
      </w:r>
      <w:r>
        <w:t>,</w:t>
      </w:r>
      <w:r w:rsidR="008C64D8">
        <w:t>5</w:t>
      </w:r>
      <w:r>
        <w:t xml:space="preserve"> млн. лв. бяха възстановени от оперативните програми на Европейския съюз.</w:t>
      </w:r>
    </w:p>
    <w:p w14:paraId="0FFC7B99" w14:textId="5180E64B" w:rsidR="005B31AD" w:rsidRPr="005B31AD" w:rsidRDefault="005B31AD" w:rsidP="005B31AD">
      <w:pPr>
        <w:spacing w:before="120"/>
        <w:jc w:val="both"/>
      </w:pPr>
      <w:r w:rsidRPr="005B31AD">
        <w:rPr>
          <w:b/>
          <w:i/>
        </w:rPr>
        <w:t>В областта на социалната закрила</w:t>
      </w:r>
      <w:r w:rsidRPr="005B31AD">
        <w:t xml:space="preserve"> - в рамките на действащата нормативна уредба в областта на системата на социалното подпомагане, пристигащите в страната лица със статут на временна закрила, за които след оценка на всеки конкретен случай се констатира, че се нуждаят от подкрепа за задоволяване на основните жизнени потребности, имат право на социални помощи и защита, в т. ч. и хора с увреждания. Наред с това, пристигащите от Украйна имат право да работят у нас без разрешение за достъп до пазара на труда, както и да ползват облекчени процедури за достъп до българския пазар на труда. Към 31.12.2022 г. Министерството на труда и социалната политика отчита разходи в размер на 16,3 млн. лв. </w:t>
      </w:r>
      <w:r w:rsidR="006F429D">
        <w:t>з</w:t>
      </w:r>
      <w:r w:rsidRPr="005B31AD">
        <w:t>а сметка на бюджета и 4,5</w:t>
      </w:r>
      <w:r w:rsidR="00230974">
        <w:t> </w:t>
      </w:r>
      <w:r w:rsidRPr="005B31AD">
        <w:t>млн. лв. средства от ЕС  За социални разходи за отпуснати еднократни помощи по реда на чл. 16 от Правилника за прилагане на Закона за социално подпомагане (ППЗСП) на разселени от Украйна лица с предоставена временна закрила, до петкратния размер на гарантирания минимален доход (375 лв.). Помощта се отпуска въз основа на подадено заявление-декларация в Агенцията за социално подпомагане по адрес на местопребиваването им с приложения за справка: регистрационна карта  на чужденец, на когото е предоставена временна закрила; документа за самоличност от Украйна; адресна карта на чужденец, издадена от Дирекция „Миграция“ към Районното управление на Министерството на вътрешните работи или хотела, в който е отседнало лицето. За периода от 24.02.2022 г. до 31.12.2022 г. са изплатени еднократни помощи на 43 483 лица с предоставена временна закрила.</w:t>
      </w:r>
    </w:p>
    <w:p w14:paraId="641E5BBF" w14:textId="14D9E0E5" w:rsidR="005B31AD" w:rsidRPr="005B31AD" w:rsidRDefault="005B31AD" w:rsidP="005B31AD">
      <w:pPr>
        <w:tabs>
          <w:tab w:val="left" w:pos="720"/>
        </w:tabs>
        <w:jc w:val="both"/>
        <w:rPr>
          <w:bCs/>
        </w:rPr>
      </w:pPr>
      <w:r w:rsidRPr="005B31AD">
        <w:t>По проект „Солидарност“ -  изплатените средства за предоставени субсидии в размер на 4,3</w:t>
      </w:r>
      <w:r w:rsidR="00FB55E3">
        <w:t> </w:t>
      </w:r>
      <w:r w:rsidRPr="005B31AD">
        <w:t xml:space="preserve">млн. лв. включват минимална помощ по смисъла на Регламент(ЕС) № 1407/2013 г. и интеграционна добавка за настаняване на лица, украински граждани. Възнагражденията на 2 785 украински граждани възлизат на стойност 2 714 765 лв. От интеграционната добавка в размер на 1 247 358 лв. са се възползвали 1 960 украински граждани. Възнагражденията на 633 ментори са в размер на 338 219 лв. </w:t>
      </w:r>
      <w:r w:rsidRPr="005B31AD">
        <w:rPr>
          <w:bCs/>
        </w:rPr>
        <w:t>Проектът се реализира по ОП РЧР 2014-2020, приоритетна ос 6 „Подкрепа за преодоляването на последиците от кризата, предизвикана от пандемията от COVID-19 и подготовка за екологично, цифрово и устойчиво възстановяване на икономиката”. Средствата по проекта се предоставят съгласно Регламент (ЕС) 2022/613 на Европейския Парламент и на  Съвета от 12 април 2022 г</w:t>
      </w:r>
      <w:r w:rsidR="006F429D">
        <w:rPr>
          <w:bCs/>
        </w:rPr>
        <w:t>.</w:t>
      </w:r>
      <w:r w:rsidRPr="005B31AD">
        <w:rPr>
          <w:bCs/>
        </w:rPr>
        <w:t xml:space="preserve"> за изменение на Регламенти (ЕС) № 1303/2013 и (ЕС) № 223/2014 по отношение на увеличено предварително финансиране със средства по </w:t>
      </w:r>
      <w:r w:rsidRPr="005B31AD">
        <w:rPr>
          <w:bCs/>
        </w:rPr>
        <w:lastRenderedPageBreak/>
        <w:t xml:space="preserve">линия на REACT-EU и за определяне на разход за единица продукт. По проекта са изплатени средства на разселени лица от Украйна и техните семейства. </w:t>
      </w:r>
    </w:p>
    <w:p w14:paraId="7BB28CF1" w14:textId="77777777" w:rsidR="005B31AD" w:rsidRPr="005B31AD" w:rsidRDefault="005B31AD" w:rsidP="005B31AD">
      <w:pPr>
        <w:jc w:val="both"/>
        <w:rPr>
          <w:rFonts w:eastAsia="Calibri"/>
        </w:rPr>
      </w:pPr>
    </w:p>
    <w:p w14:paraId="0BD60299" w14:textId="77777777" w:rsidR="005B31AD" w:rsidRPr="005B31AD" w:rsidRDefault="005B31AD" w:rsidP="005B31AD">
      <w:pPr>
        <w:jc w:val="both"/>
        <w:rPr>
          <w:rFonts w:eastAsia="Calibri"/>
          <w:b/>
          <w:i/>
        </w:rPr>
      </w:pPr>
      <w:r w:rsidRPr="005B31AD">
        <w:rPr>
          <w:rFonts w:eastAsia="Calibri"/>
          <w:b/>
          <w:i/>
        </w:rPr>
        <w:t>Компенсации за българските земеделски производители за неблагоприятните последици от войната в Украйна</w:t>
      </w:r>
    </w:p>
    <w:p w14:paraId="2C2E639A" w14:textId="77777777" w:rsidR="005B31AD" w:rsidRPr="005B31AD" w:rsidRDefault="005B31AD" w:rsidP="005B31AD">
      <w:pPr>
        <w:spacing w:before="120"/>
        <w:jc w:val="both"/>
        <w:rPr>
          <w:rFonts w:eastAsia="Calibri"/>
          <w:color w:val="0070C0"/>
        </w:rPr>
      </w:pPr>
      <w:r w:rsidRPr="005B31AD">
        <w:rPr>
          <w:rFonts w:eastAsia="Calibri"/>
        </w:rPr>
        <w:t xml:space="preserve">С ПМС № 247 от 17.08.2022 г. на Държавен фонд „Земеделие“ са предоставени средства в размер на 444,1 млн. лв. за осигуряване на ликвидност на земеделските стопани и за подкрепа на свиневъдите и птицевъдите за хуманно отношение към животните, както и за осигуряване на подкрепа на земеделските стопани по национални мерки за компенсации на повишените цени на енергоносители, фуражи, препарати за растителна защита, горива и торове. </w:t>
      </w:r>
      <w:r w:rsidRPr="005B31AD">
        <w:t xml:space="preserve">Към 31.12.2022 г. Държавен фонд „Земеделие“ отчита  разходи в общ размер на 444,0 млн. лв. за осигуряване на ликвидност на земеделските стопани </w:t>
      </w:r>
      <w:r w:rsidRPr="005B31AD">
        <w:rPr>
          <w:rFonts w:eastAsia="Calibri"/>
        </w:rPr>
        <w:t>по Временната рамка във връзка с военните действия в Украйна</w:t>
      </w:r>
      <w:r w:rsidRPr="005B31AD">
        <w:t xml:space="preserve"> и за подкрепа на свиневъдите и птицевъдите за хуманно отношение към животните, както и за осигуряване на подкрепа на земеделските стопани по национални мерки за компенсации на повишените цени на енергоносители, фуражи, препарати за растителна защита, горива и торове. </w:t>
      </w:r>
    </w:p>
    <w:p w14:paraId="0AAFD162" w14:textId="77777777" w:rsidR="005B31AD" w:rsidRPr="005B31AD" w:rsidRDefault="005B31AD" w:rsidP="005B31AD">
      <w:pPr>
        <w:spacing w:before="120"/>
        <w:jc w:val="both"/>
        <w:rPr>
          <w:b/>
          <w:bCs/>
          <w:i/>
          <w:lang w:eastAsia="bg-BG"/>
        </w:rPr>
      </w:pPr>
      <w:r w:rsidRPr="005B31AD">
        <w:rPr>
          <w:b/>
          <w:bCs/>
          <w:i/>
          <w:lang w:eastAsia="bg-BG"/>
        </w:rPr>
        <w:t>Други разходи</w:t>
      </w:r>
    </w:p>
    <w:p w14:paraId="16004631" w14:textId="0ACEDFA0" w:rsidR="005B31AD" w:rsidRPr="005B31AD" w:rsidRDefault="005B31AD" w:rsidP="005B31AD">
      <w:pPr>
        <w:jc w:val="both"/>
        <w:rPr>
          <w:bCs/>
        </w:rPr>
      </w:pPr>
      <w:r w:rsidRPr="005B31AD">
        <w:rPr>
          <w:bCs/>
        </w:rPr>
        <w:t xml:space="preserve">Министерство на вътрешните работи отчита извършени разходи в размер на </w:t>
      </w:r>
      <w:r w:rsidR="006F429D">
        <w:rPr>
          <w:bCs/>
        </w:rPr>
        <w:t>3</w:t>
      </w:r>
      <w:r w:rsidRPr="005B31AD">
        <w:rPr>
          <w:bCs/>
        </w:rPr>
        <w:t>,</w:t>
      </w:r>
      <w:r w:rsidR="006F429D">
        <w:rPr>
          <w:bCs/>
        </w:rPr>
        <w:t>0</w:t>
      </w:r>
      <w:r w:rsidRPr="005B31AD">
        <w:rPr>
          <w:bCs/>
        </w:rPr>
        <w:t xml:space="preserve"> млн. лв. за </w:t>
      </w:r>
      <w:r w:rsidRPr="005B31AD">
        <w:rPr>
          <w:color w:val="000000"/>
        </w:rPr>
        <w:t xml:space="preserve"> хуманитарна помощ, както и за справяне с последствията във връзка с военните действия в Украйна</w:t>
      </w:r>
      <w:r w:rsidRPr="005B31AD">
        <w:t xml:space="preserve"> за периода 01.01 - 31.12.2022 г. Посочените данни включват разходи за положен извънреден труд и дължимите осигурителни вноски върху него, както и заплати и съответните осигурителни вноски за персонала в почивните бази на МВР, обслужващ настанените членове на семейства на служители на МВР на Украйна. З</w:t>
      </w:r>
      <w:r w:rsidRPr="005B31AD">
        <w:rPr>
          <w:color w:val="000000"/>
        </w:rPr>
        <w:t xml:space="preserve">а закупуване на канцеларски материали и консумативи (фолио за ламиниране, хартия, копирен картон, папки, джобове и др.), </w:t>
      </w:r>
      <w:proofErr w:type="spellStart"/>
      <w:r w:rsidRPr="005B31AD">
        <w:rPr>
          <w:color w:val="000000"/>
        </w:rPr>
        <w:t>ламинатори</w:t>
      </w:r>
      <w:proofErr w:type="spellEnd"/>
      <w:r w:rsidRPr="005B31AD">
        <w:rPr>
          <w:color w:val="000000"/>
        </w:rPr>
        <w:t xml:space="preserve">, УЕБ камери, скенери за лични документи, мрежови рутери, </w:t>
      </w:r>
      <w:r w:rsidRPr="005B31AD">
        <w:t>USB и UTP кабели, букси,</w:t>
      </w:r>
      <w:r w:rsidRPr="005B31AD">
        <w:rPr>
          <w:color w:val="000000"/>
        </w:rPr>
        <w:t xml:space="preserve"> разходи за командировки, ГСМ, туристически данък, материали за ремонт на кабини, автомобилни гуми, анкери и шайби, укрепващи колани за палатки, разклонители</w:t>
      </w:r>
      <w:r w:rsidRPr="005B31AD">
        <w:t xml:space="preserve"> и други и преносими компютри и принтери.</w:t>
      </w:r>
    </w:p>
    <w:p w14:paraId="23917203" w14:textId="77777777" w:rsidR="005B31AD" w:rsidRPr="005B31AD" w:rsidRDefault="005B31AD" w:rsidP="005B31AD">
      <w:pPr>
        <w:tabs>
          <w:tab w:val="right" w:pos="8364"/>
        </w:tabs>
        <w:jc w:val="both"/>
      </w:pPr>
    </w:p>
    <w:p w14:paraId="1DCF9703" w14:textId="6194838B" w:rsidR="005B31AD" w:rsidRPr="005B31AD" w:rsidRDefault="005B31AD" w:rsidP="005B31AD">
      <w:pPr>
        <w:tabs>
          <w:tab w:val="right" w:pos="8364"/>
        </w:tabs>
        <w:jc w:val="both"/>
      </w:pPr>
      <w:r w:rsidRPr="005B31AD">
        <w:t xml:space="preserve">Разходите на Министерския съвет в това направление са в размер на 5,4 млн. лв., от които за издръжка са отчетени </w:t>
      </w:r>
      <w:r w:rsidR="006F429D">
        <w:t>5</w:t>
      </w:r>
      <w:r w:rsidRPr="005B31AD">
        <w:t>,</w:t>
      </w:r>
      <w:r w:rsidR="006F429D">
        <w:t>2</w:t>
      </w:r>
      <w:r w:rsidRPr="005B31AD">
        <w:t xml:space="preserve"> млн. л</w:t>
      </w:r>
      <w:r w:rsidR="006F429D">
        <w:t>е</w:t>
      </w:r>
      <w:r w:rsidRPr="005B31AD">
        <w:t>в</w:t>
      </w:r>
      <w:r w:rsidR="006F429D">
        <w:t>а</w:t>
      </w:r>
      <w:r w:rsidRPr="005B31AD">
        <w:t xml:space="preserve">. </w:t>
      </w:r>
    </w:p>
    <w:p w14:paraId="3FE1113A" w14:textId="77777777" w:rsidR="005B31AD" w:rsidRPr="005B31AD" w:rsidRDefault="005B31AD" w:rsidP="005B31AD">
      <w:pPr>
        <w:spacing w:before="120"/>
        <w:jc w:val="both"/>
        <w:rPr>
          <w:bCs/>
          <w:color w:val="0070C0"/>
          <w:lang w:eastAsia="bg-BG"/>
        </w:rPr>
      </w:pPr>
      <w:r w:rsidRPr="005B31AD">
        <w:rPr>
          <w:bCs/>
        </w:rPr>
        <w:t xml:space="preserve">Извършените разходи от Министерството на отбраната за хуманитарна помощ, както и за справяне с последствията във връзка с военните действия в Украйна са в размер на </w:t>
      </w:r>
      <w:r w:rsidRPr="005B31AD">
        <w:rPr>
          <w:b/>
          <w:bCs/>
        </w:rPr>
        <w:t>2,6 млн. лв</w:t>
      </w:r>
      <w:r w:rsidRPr="005B31AD">
        <w:rPr>
          <w:bCs/>
        </w:rPr>
        <w:t>. за сметка на бюджета на Министерството на отбраната.</w:t>
      </w:r>
    </w:p>
    <w:p w14:paraId="385EAE52" w14:textId="77777777" w:rsidR="005B31AD" w:rsidRPr="005B31AD" w:rsidRDefault="005B31AD" w:rsidP="005B31AD">
      <w:pPr>
        <w:spacing w:before="120"/>
        <w:jc w:val="both"/>
      </w:pPr>
      <w:r w:rsidRPr="005B31AD">
        <w:rPr>
          <w:b/>
          <w:i/>
        </w:rPr>
        <w:t>В областта на здравеопазването</w:t>
      </w:r>
      <w:r w:rsidRPr="005B31AD">
        <w:t xml:space="preserve"> - с приети от Народното събрание промени в Закона за здравното осигуряване на чуждите граждани с временна закрила бе осигурен достъп до пълния обхват медицинска помощ, заплащана от НЗОК, като конкретните въпроси, свързани с определяне на размера и реда за внасянето на здравноосигурителните вноски, лицата които ги внасят, момента на възникване на задълженията за заплащане и момента на възникване на правата на осигурените лица са определени с Постановление № 69 от 5 май 2022 г. на Министерския съвет за здравно осигуряване на лицата с временна закрила по чл. 1а, ал. 3 от Закона за убежището и бежанците и на лицата по чл. 39, ал. 6, т. 2 и чл. 40а, ал. 3а от Закона за здравното осигуряване.</w:t>
      </w:r>
    </w:p>
    <w:p w14:paraId="235247DF" w14:textId="77777777" w:rsidR="005B31AD" w:rsidRPr="005B31AD" w:rsidRDefault="005B31AD" w:rsidP="005B31AD">
      <w:pPr>
        <w:spacing w:before="120"/>
        <w:jc w:val="both"/>
        <w:rPr>
          <w:szCs w:val="20"/>
        </w:rPr>
      </w:pPr>
      <w:r w:rsidRPr="005B31AD">
        <w:rPr>
          <w:b/>
          <w:i/>
        </w:rPr>
        <w:t>В областта на образованието</w:t>
      </w:r>
      <w:r w:rsidRPr="005B31AD">
        <w:t xml:space="preserve"> - по отношение на образованието следва да се има предвид че системата е отворена за  приемане и обучение</w:t>
      </w:r>
      <w:r w:rsidRPr="005B31AD">
        <w:rPr>
          <w:szCs w:val="20"/>
        </w:rPr>
        <w:t xml:space="preserve"> на деца и ученици в предучилищна и училищна възраст от Украйна в български държавни и общински детски градини и училища, което разширява обхвата на децата и съответно на разходите, свързани с тях.</w:t>
      </w:r>
    </w:p>
    <w:p w14:paraId="02E06E8B" w14:textId="77777777" w:rsidR="00321098" w:rsidRDefault="00321098" w:rsidP="00321098">
      <w:pPr>
        <w:spacing w:before="120"/>
        <w:jc w:val="both"/>
      </w:pPr>
      <w:r w:rsidRPr="00321098">
        <w:rPr>
          <w:szCs w:val="20"/>
        </w:rPr>
        <w:t xml:space="preserve">Във връзка с обезпечаването на дейности, насочени към лицата търсещи временна закрила в Република България в следствие на военните действия в Република Украйна, през  2022 г. са приети РМС № 144/2022 г. за предоставяне на временна закрила на разселени лица от Украйна и за изменение на Националния план за действие при временна закрила в Република България и ПМС № 105/2022 г.  за одобряване на допълнителни разходи по бюджетите на Министерския </w:t>
      </w:r>
      <w:r w:rsidRPr="00321098">
        <w:rPr>
          <w:szCs w:val="20"/>
        </w:rPr>
        <w:lastRenderedPageBreak/>
        <w:t>съвет и на Министерството на здравеопазването за 2022 г. за авансово финансиране на разходи за лица, търсещи временна закрила в Република България вследствие на военните действия в Украйна (изменено и допълнено с ПМС № 106/2022 г. и ПМС № 194/2022 г.) и ПМС № 414/2022 г. за одобряване на допълнителни средства по бюджета на Министерството на здравеопазването и одобряване на допълнителен трансфер по бюджета на Националната здравноосигурителна каса за 2022 г. за заплащане на медицинската помощ и здравноосигурителните вноски на лицата с предоставена временна закрила.</w:t>
      </w:r>
    </w:p>
    <w:p w14:paraId="7A76CCEB" w14:textId="77777777" w:rsidR="005024E0" w:rsidRPr="007365FF" w:rsidRDefault="005024E0" w:rsidP="005024E0">
      <w:pPr>
        <w:pStyle w:val="Heading1"/>
        <w:spacing w:before="240"/>
        <w:ind w:left="142" w:right="-108"/>
        <w:jc w:val="both"/>
        <w:rPr>
          <w:sz w:val="24"/>
        </w:rPr>
      </w:pPr>
      <w:r w:rsidRPr="007365FF">
        <w:rPr>
          <w:sz w:val="24"/>
        </w:rPr>
        <w:t>Информация за ефектите в приходите и разходите от мерките за борба с COVID-19 и преодоляване на социално-икономическите последствия от пандемията</w:t>
      </w:r>
      <w:bookmarkEnd w:id="1"/>
    </w:p>
    <w:p w14:paraId="3AA04E54" w14:textId="77777777" w:rsidR="005024E0" w:rsidRPr="00DB12BD" w:rsidRDefault="005024E0" w:rsidP="005024E0">
      <w:pPr>
        <w:rPr>
          <w:color w:val="0070C0"/>
          <w:sz w:val="12"/>
          <w:szCs w:val="12"/>
          <w:lang w:eastAsia="bg-BG"/>
        </w:rPr>
      </w:pPr>
    </w:p>
    <w:p w14:paraId="2F4C26C0" w14:textId="77777777" w:rsidR="007961AA" w:rsidRPr="00C42834" w:rsidRDefault="007961AA" w:rsidP="007961AA">
      <w:pPr>
        <w:spacing w:after="120"/>
        <w:ind w:right="-43"/>
        <w:jc w:val="both"/>
        <w:rPr>
          <w:b/>
          <w:i/>
          <w:lang w:eastAsia="bg-BG"/>
        </w:rPr>
      </w:pPr>
      <w:r w:rsidRPr="00C42834">
        <w:rPr>
          <w:b/>
          <w:i/>
          <w:lang w:eastAsia="bg-BG"/>
        </w:rPr>
        <w:t xml:space="preserve">Мерки в частта на приходите           </w:t>
      </w:r>
    </w:p>
    <w:p w14:paraId="3DC8B391" w14:textId="6758A891" w:rsidR="008A5DFE" w:rsidRDefault="008A5DFE" w:rsidP="007961AA">
      <w:pPr>
        <w:spacing w:after="120"/>
        <w:ind w:right="-43"/>
        <w:jc w:val="both"/>
        <w:rPr>
          <w:lang w:eastAsia="bg-BG"/>
        </w:rPr>
      </w:pPr>
      <w:r w:rsidRPr="008A5DFE">
        <w:rPr>
          <w:lang w:eastAsia="bg-BG"/>
        </w:rPr>
        <w:t>Приетите през предходните години мерки, свързани с прилагане на намалена ставка за ДДС на определени стоки и услуги от 20 % на 9 %, и увеличения размера на данъчните облекчения за деца (чл. 22в и чл. 22г от ЗДДФЛ) продължиха да се прилагат през цялата 2022 година. До края на годината продължиха да се прилагат и мерките, свързани с промените в ЗДДС (</w:t>
      </w:r>
      <w:proofErr w:type="spellStart"/>
      <w:r w:rsidRPr="008A5DFE">
        <w:rPr>
          <w:lang w:eastAsia="bg-BG"/>
        </w:rPr>
        <w:t>обн</w:t>
      </w:r>
      <w:proofErr w:type="spellEnd"/>
      <w:r w:rsidRPr="008A5DFE">
        <w:rPr>
          <w:lang w:eastAsia="bg-BG"/>
        </w:rPr>
        <w:t>. ДВ, бр. 107 от 18.12.2020 г.) за облагане с нулева ставка на доставките на ваксини срещу COVID-19 и услугите, пряко свързани с тези ваксини, както и на медицински изделия за инвитро диагностика на COVID-19 и услугите, пряко свързани с тези изделия, с място на изпълнение на територията на страната. Това данъчно третиране се приложи и по отношение на вътреобщностните придобивания с място на изпълнение на територията на страната на тези стоки. Освобождаването от облагане с мита и ДДС върху вноса на стоки от медицински характер и облагането с намалената ставка на ДДС на доставките на бира и вино, като част от ресторантьорски и кетъринг услуги, се прилагаше до 30.06.2022 година.</w:t>
      </w:r>
    </w:p>
    <w:p w14:paraId="5E58A2FA" w14:textId="2846C38D" w:rsidR="00F91FB6" w:rsidRPr="000A2294" w:rsidRDefault="007961AA" w:rsidP="007961AA">
      <w:pPr>
        <w:spacing w:after="120"/>
        <w:ind w:right="-43"/>
        <w:jc w:val="both"/>
        <w:rPr>
          <w:lang w:eastAsia="bg-BG"/>
        </w:rPr>
      </w:pPr>
      <w:r w:rsidRPr="00C42834">
        <w:rPr>
          <w:lang w:eastAsia="bg-BG"/>
        </w:rPr>
        <w:t xml:space="preserve">По прогнозни данни на приходните агенции ефектът от действието на посочените мерки за цялата 2022  г. се оценява на </w:t>
      </w:r>
      <w:r w:rsidRPr="00C42834">
        <w:rPr>
          <w:b/>
          <w:lang w:eastAsia="bg-BG"/>
        </w:rPr>
        <w:t>около 607,9</w:t>
      </w:r>
      <w:r w:rsidRPr="00C42834">
        <w:rPr>
          <w:lang w:eastAsia="bg-BG"/>
        </w:rPr>
        <w:t xml:space="preserve"> </w:t>
      </w:r>
      <w:r w:rsidRPr="00C42834">
        <w:rPr>
          <w:b/>
          <w:lang w:eastAsia="bg-BG"/>
        </w:rPr>
        <w:t>млн. лв</w:t>
      </w:r>
      <w:r w:rsidRPr="00C42834">
        <w:rPr>
          <w:lang w:eastAsia="bg-BG"/>
        </w:rPr>
        <w:t>. по-малко данъчни приходи</w:t>
      </w:r>
      <w:r w:rsidR="00F91FB6" w:rsidRPr="00C42834">
        <w:rPr>
          <w:lang w:eastAsia="bg-BG"/>
        </w:rPr>
        <w:t>.</w:t>
      </w:r>
    </w:p>
    <w:p w14:paraId="5CD946F2" w14:textId="77777777" w:rsidR="007365FF" w:rsidRPr="007365FF" w:rsidRDefault="007365FF" w:rsidP="007365FF">
      <w:pPr>
        <w:spacing w:before="240" w:after="120"/>
        <w:ind w:right="-45"/>
        <w:jc w:val="both"/>
        <w:rPr>
          <w:b/>
          <w:i/>
          <w:lang w:val="ru-RU" w:eastAsia="bg-BG"/>
        </w:rPr>
      </w:pPr>
      <w:r w:rsidRPr="007365FF">
        <w:rPr>
          <w:b/>
          <w:i/>
          <w:lang w:eastAsia="bg-BG"/>
        </w:rPr>
        <w:t>Мерки в частта на разходите</w:t>
      </w:r>
    </w:p>
    <w:p w14:paraId="1683A77B" w14:textId="0A56ABF8" w:rsidR="007365FF" w:rsidRPr="007365FF" w:rsidRDefault="007365FF" w:rsidP="007365FF">
      <w:pPr>
        <w:spacing w:before="120" w:after="120"/>
        <w:jc w:val="both"/>
        <w:rPr>
          <w:color w:val="0070C0"/>
          <w:lang w:eastAsia="bg-BG"/>
        </w:rPr>
      </w:pPr>
      <w:r w:rsidRPr="007365FF">
        <w:rPr>
          <w:lang w:eastAsia="bg-BG"/>
        </w:rPr>
        <w:t>Във връзка с прилагането на мерките за борба с COVID-19 и преодоляване на социално-икономическите последствия от пандемията общо изразходените средства по линия на националния бюджет към 3</w:t>
      </w:r>
      <w:r w:rsidRPr="004A2E93">
        <w:rPr>
          <w:lang w:val="ru-RU" w:eastAsia="bg-BG"/>
        </w:rPr>
        <w:t>1</w:t>
      </w:r>
      <w:r w:rsidRPr="007365FF">
        <w:rPr>
          <w:lang w:eastAsia="bg-BG"/>
        </w:rPr>
        <w:t>.</w:t>
      </w:r>
      <w:r w:rsidRPr="004A2E93">
        <w:rPr>
          <w:lang w:val="ru-RU" w:eastAsia="bg-BG"/>
        </w:rPr>
        <w:t>12</w:t>
      </w:r>
      <w:r w:rsidRPr="007365FF">
        <w:rPr>
          <w:lang w:eastAsia="bg-BG"/>
        </w:rPr>
        <w:t xml:space="preserve">.2022 г. са в размер на </w:t>
      </w:r>
      <w:r w:rsidRPr="007365FF">
        <w:rPr>
          <w:b/>
          <w:lang w:eastAsia="bg-BG"/>
        </w:rPr>
        <w:t>2 </w:t>
      </w:r>
      <w:r w:rsidRPr="004A2E93">
        <w:rPr>
          <w:b/>
          <w:lang w:val="ru-RU" w:eastAsia="bg-BG"/>
        </w:rPr>
        <w:t>614</w:t>
      </w:r>
      <w:r w:rsidRPr="007365FF">
        <w:rPr>
          <w:b/>
          <w:lang w:eastAsia="bg-BG"/>
        </w:rPr>
        <w:t>,4 млн. лв., като в тази сума са включени 1 1</w:t>
      </w:r>
      <w:r w:rsidRPr="004A2E93">
        <w:rPr>
          <w:b/>
          <w:lang w:val="ru-RU" w:eastAsia="bg-BG"/>
        </w:rPr>
        <w:t>40</w:t>
      </w:r>
      <w:r w:rsidRPr="007365FF">
        <w:rPr>
          <w:b/>
          <w:lang w:eastAsia="bg-BG"/>
        </w:rPr>
        <w:t>,</w:t>
      </w:r>
      <w:r w:rsidRPr="004A2E93">
        <w:rPr>
          <w:b/>
          <w:lang w:val="ru-RU" w:eastAsia="bg-BG"/>
        </w:rPr>
        <w:t>6</w:t>
      </w:r>
      <w:r w:rsidRPr="007365FF">
        <w:rPr>
          <w:b/>
          <w:lang w:eastAsia="bg-BG"/>
        </w:rPr>
        <w:t xml:space="preserve"> млн.</w:t>
      </w:r>
      <w:r w:rsidRPr="007365FF">
        <w:rPr>
          <w:b/>
          <w:lang w:val="en-US" w:eastAsia="bg-BG"/>
        </w:rPr>
        <w:t> </w:t>
      </w:r>
      <w:r w:rsidRPr="007365FF">
        <w:rPr>
          <w:b/>
          <w:lang w:eastAsia="bg-BG"/>
        </w:rPr>
        <w:t>лв.</w:t>
      </w:r>
      <w:r w:rsidRPr="007365FF">
        <w:rPr>
          <w:lang w:eastAsia="bg-BG"/>
        </w:rPr>
        <w:t xml:space="preserve"> плащания от сметки за чужди средства от заделените в края на 2021 г. в изпълнение на постановления на МС средства: за изплащането до месец юни на 2022</w:t>
      </w:r>
      <w:r w:rsidR="00C61D71">
        <w:rPr>
          <w:lang w:eastAsia="bg-BG"/>
        </w:rPr>
        <w:t> </w:t>
      </w:r>
      <w:r w:rsidRPr="007365FF">
        <w:rPr>
          <w:lang w:eastAsia="bg-BG"/>
        </w:rPr>
        <w:t>г.</w:t>
      </w:r>
      <w:r w:rsidRPr="004A2E93">
        <w:rPr>
          <w:lang w:val="ru-RU" w:eastAsia="bg-BG"/>
        </w:rPr>
        <w:t xml:space="preserve"> </w:t>
      </w:r>
      <w:r w:rsidRPr="007365FF">
        <w:rPr>
          <w:lang w:eastAsia="bg-BG"/>
        </w:rPr>
        <w:t>на допълнителни суми в размер на 60 лв. към пенсиите на всички пенсионери, на добавка в размер на и на 75 лв. за всеки пенсионер, който е със завършен ваксинационен курс за COVID 19 до 31.12.2021 г. (който завърши ваксинационен курс за COVID 19 в периода 1.01-30.06.2022</w:t>
      </w:r>
      <w:r w:rsidR="00BC3976">
        <w:rPr>
          <w:lang w:eastAsia="bg-BG"/>
        </w:rPr>
        <w:t> </w:t>
      </w:r>
      <w:r w:rsidRPr="007365FF">
        <w:rPr>
          <w:lang w:eastAsia="bg-BG"/>
        </w:rPr>
        <w:t>г.), разходи за лекарствени продукти и ваксини,</w:t>
      </w:r>
      <w:r w:rsidRPr="007365FF">
        <w:t xml:space="preserve"> плащания от НОИ към работодатели за запазване на заетостта на наетите от тях работници и служители (мярка 60/40), подпомагане на туристическия и транспортния сектор</w:t>
      </w:r>
      <w:r w:rsidRPr="007365FF">
        <w:rPr>
          <w:lang w:eastAsia="bg-BG"/>
        </w:rPr>
        <w:t xml:space="preserve"> и други. В касовите отчети на ПРБ и общините към 31.12.2022 г. са отчетени </w:t>
      </w:r>
      <w:r w:rsidRPr="007365FF">
        <w:rPr>
          <w:b/>
          <w:lang w:val="ru-RU" w:eastAsia="bg-BG"/>
        </w:rPr>
        <w:t>1 473</w:t>
      </w:r>
      <w:r w:rsidR="003256C9">
        <w:rPr>
          <w:b/>
          <w:lang w:eastAsia="bg-BG"/>
        </w:rPr>
        <w:t>,9</w:t>
      </w:r>
      <w:r w:rsidRPr="007365FF">
        <w:rPr>
          <w:b/>
          <w:lang w:eastAsia="bg-BG"/>
        </w:rPr>
        <w:t xml:space="preserve"> млн. лв.</w:t>
      </w:r>
      <w:r w:rsidRPr="007365FF">
        <w:rPr>
          <w:lang w:eastAsia="bg-BG"/>
        </w:rPr>
        <w:t xml:space="preserve"> разходи за мерките за борба с COVID-19 и преодоляване на социално-икономическите последствия от пандемията. </w:t>
      </w:r>
    </w:p>
    <w:p w14:paraId="53BCCCEF" w14:textId="16E0E2F2" w:rsidR="007365FF" w:rsidRPr="007365FF" w:rsidRDefault="007365FF" w:rsidP="007365FF">
      <w:pPr>
        <w:spacing w:after="120"/>
        <w:jc w:val="both"/>
        <w:rPr>
          <w:b/>
          <w:color w:val="0070C0"/>
          <w:lang w:val="ru-RU" w:eastAsia="bg-BG"/>
        </w:rPr>
      </w:pPr>
      <w:r w:rsidRPr="007365FF">
        <w:rPr>
          <w:lang w:eastAsia="bg-BG"/>
        </w:rPr>
        <w:t xml:space="preserve">В частта на </w:t>
      </w:r>
      <w:r w:rsidRPr="007365FF">
        <w:rPr>
          <w:b/>
          <w:lang w:eastAsia="bg-BG"/>
        </w:rPr>
        <w:t>мерките за подкрепа на домакинствата</w:t>
      </w:r>
      <w:r w:rsidRPr="007365FF">
        <w:rPr>
          <w:lang w:eastAsia="bg-BG"/>
        </w:rPr>
        <w:t xml:space="preserve"> са изразход</w:t>
      </w:r>
      <w:r w:rsidR="006F429D">
        <w:rPr>
          <w:lang w:eastAsia="bg-BG"/>
        </w:rPr>
        <w:t>е</w:t>
      </w:r>
      <w:r w:rsidRPr="007365FF">
        <w:rPr>
          <w:lang w:eastAsia="bg-BG"/>
        </w:rPr>
        <w:t xml:space="preserve">ни </w:t>
      </w:r>
      <w:r w:rsidRPr="007365FF">
        <w:rPr>
          <w:b/>
          <w:lang w:eastAsia="bg-BG"/>
        </w:rPr>
        <w:t xml:space="preserve">375,7 млн. лв. </w:t>
      </w:r>
      <w:r w:rsidRPr="007365FF">
        <w:rPr>
          <w:lang w:eastAsia="bg-BG"/>
        </w:rPr>
        <w:t>по линия на националния бюджет</w:t>
      </w:r>
      <w:r w:rsidRPr="007365FF">
        <w:rPr>
          <w:b/>
          <w:lang w:val="ru-RU" w:eastAsia="bg-BG"/>
        </w:rPr>
        <w:t xml:space="preserve">. </w:t>
      </w:r>
      <w:r w:rsidRPr="007365FF">
        <w:t xml:space="preserve">С </w:t>
      </w:r>
      <w:r w:rsidRPr="007365FF">
        <w:rPr>
          <w:color w:val="000000"/>
        </w:rPr>
        <w:t xml:space="preserve">най-голям относителен дял са отчетените разходи в системата на Министерство на здравеопазването, в размер на </w:t>
      </w:r>
      <w:r w:rsidRPr="004A2E93">
        <w:rPr>
          <w:color w:val="000000"/>
          <w:lang w:val="ru-RU"/>
        </w:rPr>
        <w:t>237</w:t>
      </w:r>
      <w:r w:rsidRPr="007365FF">
        <w:rPr>
          <w:color w:val="000000"/>
        </w:rPr>
        <w:t>,</w:t>
      </w:r>
      <w:r w:rsidRPr="004A2E93">
        <w:rPr>
          <w:color w:val="000000"/>
          <w:lang w:val="ru-RU"/>
        </w:rPr>
        <w:t>5</w:t>
      </w:r>
      <w:r w:rsidRPr="007365FF">
        <w:rPr>
          <w:color w:val="000000"/>
        </w:rPr>
        <w:t xml:space="preserve"> млн. лв. за осигуряване на ваксини, лекарствени продукти (</w:t>
      </w:r>
      <w:proofErr w:type="spellStart"/>
      <w:r w:rsidRPr="007365FF">
        <w:rPr>
          <w:rFonts w:eastAsia="Calibri"/>
        </w:rPr>
        <w:t>Veklury</w:t>
      </w:r>
      <w:proofErr w:type="spellEnd"/>
      <w:r w:rsidRPr="007365FF">
        <w:rPr>
          <w:rFonts w:eastAsia="Calibri"/>
        </w:rPr>
        <w:t xml:space="preserve"> (</w:t>
      </w:r>
      <w:proofErr w:type="spellStart"/>
      <w:r w:rsidRPr="007365FF">
        <w:rPr>
          <w:rFonts w:eastAsia="Calibri"/>
        </w:rPr>
        <w:t>Ремдесивир</w:t>
      </w:r>
      <w:proofErr w:type="spellEnd"/>
      <w:r w:rsidRPr="007365FF">
        <w:rPr>
          <w:rFonts w:eastAsia="Calibri"/>
        </w:rPr>
        <w:t xml:space="preserve">), </w:t>
      </w:r>
      <w:proofErr w:type="spellStart"/>
      <w:r w:rsidRPr="007365FF">
        <w:rPr>
          <w:rFonts w:eastAsia="Calibri"/>
        </w:rPr>
        <w:t>Regkirona</w:t>
      </w:r>
      <w:proofErr w:type="spellEnd"/>
      <w:r w:rsidRPr="007365FF">
        <w:rPr>
          <w:rFonts w:eastAsia="Calibri"/>
        </w:rPr>
        <w:t xml:space="preserve"> 60mg/ml, </w:t>
      </w:r>
      <w:proofErr w:type="spellStart"/>
      <w:r w:rsidRPr="007365FF">
        <w:rPr>
          <w:rFonts w:eastAsia="Calibri"/>
        </w:rPr>
        <w:t>Kineret</w:t>
      </w:r>
      <w:proofErr w:type="spellEnd"/>
      <w:r w:rsidRPr="007365FF">
        <w:rPr>
          <w:rFonts w:eastAsia="Calibri"/>
        </w:rPr>
        <w:t xml:space="preserve"> (</w:t>
      </w:r>
      <w:proofErr w:type="spellStart"/>
      <w:r w:rsidRPr="007365FF">
        <w:rPr>
          <w:rFonts w:eastAsia="Calibri"/>
        </w:rPr>
        <w:t>Кинерет</w:t>
      </w:r>
      <w:proofErr w:type="spellEnd"/>
      <w:r w:rsidRPr="007365FF">
        <w:rPr>
          <w:rFonts w:eastAsia="Calibri"/>
        </w:rPr>
        <w:t xml:space="preserve">), </w:t>
      </w:r>
      <w:r w:rsidRPr="007365FF">
        <w:rPr>
          <w:rFonts w:eastAsia="Calibri"/>
          <w:lang w:val="en-US"/>
        </w:rPr>
        <w:t>M</w:t>
      </w:r>
      <w:proofErr w:type="spellStart"/>
      <w:r w:rsidRPr="007365FF">
        <w:rPr>
          <w:rFonts w:eastAsia="Calibri"/>
        </w:rPr>
        <w:t>olnupiravir</w:t>
      </w:r>
      <w:proofErr w:type="spellEnd"/>
      <w:r w:rsidRPr="007365FF">
        <w:rPr>
          <w:rFonts w:eastAsia="Calibri"/>
        </w:rPr>
        <w:t xml:space="preserve"> и </w:t>
      </w:r>
      <w:proofErr w:type="spellStart"/>
      <w:r w:rsidRPr="007365FF">
        <w:rPr>
          <w:rFonts w:eastAsia="Calibri"/>
        </w:rPr>
        <w:t>др</w:t>
      </w:r>
      <w:proofErr w:type="spellEnd"/>
      <w:r w:rsidRPr="007365FF">
        <w:rPr>
          <w:color w:val="000000"/>
        </w:rPr>
        <w:t>) и бързи антигенни тестове в борбата с пандемията от COVID-19.</w:t>
      </w:r>
      <w:r w:rsidRPr="007365FF">
        <w:rPr>
          <w:color w:val="0070C0"/>
        </w:rPr>
        <w:t xml:space="preserve"> </w:t>
      </w:r>
      <w:r w:rsidRPr="007365FF">
        <w:rPr>
          <w:color w:val="0070C0"/>
          <w:lang w:eastAsia="bg-BG"/>
        </w:rPr>
        <w:t xml:space="preserve"> </w:t>
      </w:r>
    </w:p>
    <w:p w14:paraId="0D0ECFF5" w14:textId="1E6DFEB9" w:rsidR="007365FF" w:rsidRPr="007365FF" w:rsidRDefault="007365FF" w:rsidP="007365FF">
      <w:pPr>
        <w:spacing w:after="120"/>
        <w:jc w:val="both"/>
        <w:rPr>
          <w:color w:val="0070C0"/>
          <w:lang w:eastAsia="bg-BG"/>
        </w:rPr>
      </w:pPr>
      <w:r w:rsidRPr="007365FF">
        <w:t>В изпълнение на параграф 1 от Преходните и заключителни разпоредби на Закона за прилагане на разпоредби на Закона за държавния бюджет на Република България за 2021 г., Закона за бюджета на държавното обществено осигуряване за 2021 г. и Закона за бюджета на Националната здравноосигурителна каса за 2021 г., НОИ изплаща сума, представляваща разликата между дохода от пенсии с включена т.нар. „</w:t>
      </w:r>
      <w:proofErr w:type="spellStart"/>
      <w:r w:rsidRPr="007365FF">
        <w:t>ковид</w:t>
      </w:r>
      <w:proofErr w:type="spellEnd"/>
      <w:r w:rsidRPr="007365FF">
        <w:t xml:space="preserve"> добавка“ от 120 лв. за декември 2021 г. и дохода от пенсии с включена т.нар. „</w:t>
      </w:r>
      <w:proofErr w:type="spellStart"/>
      <w:r w:rsidRPr="007365FF">
        <w:t>ковид</w:t>
      </w:r>
      <w:proofErr w:type="spellEnd"/>
      <w:r w:rsidRPr="007365FF">
        <w:t xml:space="preserve"> добавка“ от 60 лв. за януари 2022 г. </w:t>
      </w:r>
      <w:r w:rsidRPr="007365FF">
        <w:lastRenderedPageBreak/>
        <w:t>Компенсаторните суми се дължат за периода от януари до юни 2022 г. Към 31 декември 2022</w:t>
      </w:r>
      <w:r w:rsidR="00B87E06">
        <w:t> </w:t>
      </w:r>
      <w:r w:rsidRPr="007365FF">
        <w:t xml:space="preserve">г. са извършени разходи в размер на </w:t>
      </w:r>
      <w:r w:rsidRPr="007365FF">
        <w:rPr>
          <w:bCs/>
        </w:rPr>
        <w:t xml:space="preserve">101,9 млн. лв. </w:t>
      </w:r>
    </w:p>
    <w:p w14:paraId="0C4CA966" w14:textId="77777777" w:rsidR="007365FF" w:rsidRPr="007365FF" w:rsidRDefault="007365FF" w:rsidP="007365FF">
      <w:pPr>
        <w:jc w:val="both"/>
      </w:pPr>
      <w:r w:rsidRPr="007365FF">
        <w:t xml:space="preserve">Изплатените месечни целеви помощи в подкрепа на семейства с деца до 14 г. възраст са в размер на 14,7 млн. лева. Помощта е регламентирана с ПМС №218 от 2020 г. и ПМС №322 от 2020 г. за допълнение на Правилника за прилагане на Закона за социално подпомагане. Този вид целева помощ се предоставя на семейства с деца до 14-годишна възраст, когато двамата или единият от работещите родители, или родител, отглеждащ сам дете. За 2022 г. са изплатени месечни целеви помощи на 5 484 средномесечен брой  семейства с деца до 14-годишна възраст. </w:t>
      </w:r>
    </w:p>
    <w:p w14:paraId="740B54CA" w14:textId="025AB739" w:rsidR="007365FF" w:rsidRPr="007365FF" w:rsidRDefault="007365FF" w:rsidP="007365FF">
      <w:pPr>
        <w:jc w:val="both"/>
        <w:rPr>
          <w:rFonts w:eastAsia="Calibri"/>
          <w:color w:val="000000"/>
          <w:lang w:eastAsia="zh-CN"/>
        </w:rPr>
      </w:pPr>
      <w:r w:rsidRPr="007365FF">
        <w:rPr>
          <w:rFonts w:eastAsia="Calibri"/>
          <w:color w:val="000000"/>
          <w:lang w:eastAsia="zh-CN"/>
        </w:rPr>
        <w:t xml:space="preserve">Еднократно изплащане на допълнителни суми към пенсиите в размер на 50 лв. за периода август-декември 2020 г., месец януари-септември 2021 г. и по 120 лв. на месец за периода октомври-декември 2021 г. За периода от 1 януари до 31 декември 2022 г. са изплатени </w:t>
      </w:r>
      <w:r w:rsidRPr="007365FF">
        <w:rPr>
          <w:rFonts w:eastAsia="Calibri"/>
          <w:bCs/>
          <w:color w:val="000000"/>
          <w:lang w:eastAsia="zh-CN"/>
        </w:rPr>
        <w:t>15,5</w:t>
      </w:r>
      <w:r w:rsidR="00926DBF">
        <w:rPr>
          <w:rFonts w:eastAsia="Calibri"/>
          <w:bCs/>
          <w:color w:val="000000"/>
          <w:lang w:eastAsia="zh-CN"/>
        </w:rPr>
        <w:t> </w:t>
      </w:r>
      <w:r w:rsidRPr="007365FF">
        <w:rPr>
          <w:rFonts w:eastAsia="Calibri"/>
          <w:bCs/>
          <w:color w:val="000000"/>
          <w:lang w:eastAsia="zh-CN"/>
        </w:rPr>
        <w:t>млн. лв.</w:t>
      </w:r>
      <w:r w:rsidRPr="007365FF">
        <w:rPr>
          <w:rFonts w:eastAsia="Calibri"/>
          <w:color w:val="000000"/>
          <w:lang w:eastAsia="zh-CN"/>
        </w:rPr>
        <w:t xml:space="preserve"> на пенсионери, чиито пенсии са с начална дата преди 2022 г., но за които резултатите от производства по отпускане, възстановяване или възобновяване на пенсиите са приключили през 2022 г.</w:t>
      </w:r>
    </w:p>
    <w:p w14:paraId="71C0C610" w14:textId="77777777" w:rsidR="007365FF" w:rsidRPr="007365FF" w:rsidRDefault="007365FF" w:rsidP="007365FF">
      <w:pPr>
        <w:jc w:val="both"/>
        <w:rPr>
          <w:color w:val="0070C0"/>
          <w:sz w:val="8"/>
          <w:szCs w:val="8"/>
          <w:lang w:val="ru-RU"/>
        </w:rPr>
      </w:pPr>
    </w:p>
    <w:p w14:paraId="0B7B373F" w14:textId="6867FF69" w:rsidR="007365FF" w:rsidRPr="007365FF" w:rsidRDefault="007365FF" w:rsidP="007365FF">
      <w:pPr>
        <w:jc w:val="both"/>
        <w:rPr>
          <w:lang w:eastAsia="bg-BG"/>
        </w:rPr>
      </w:pPr>
      <w:r w:rsidRPr="007365FF">
        <w:t xml:space="preserve">Към 31.12.2022 г. за </w:t>
      </w:r>
      <w:r w:rsidRPr="007365FF">
        <w:rPr>
          <w:b/>
        </w:rPr>
        <w:t>мерки в подкрепа на бизнеса</w:t>
      </w:r>
      <w:r w:rsidRPr="007365FF">
        <w:t xml:space="preserve"> са предоставени </w:t>
      </w:r>
      <w:r w:rsidRPr="007365FF">
        <w:rPr>
          <w:b/>
        </w:rPr>
        <w:t>35</w:t>
      </w:r>
      <w:r w:rsidRPr="004A2E93">
        <w:rPr>
          <w:b/>
          <w:lang w:val="ru-RU"/>
        </w:rPr>
        <w:t>1</w:t>
      </w:r>
      <w:r w:rsidRPr="007365FF">
        <w:rPr>
          <w:b/>
        </w:rPr>
        <w:t>,</w:t>
      </w:r>
      <w:r w:rsidRPr="004A2E93">
        <w:rPr>
          <w:b/>
          <w:lang w:val="ru-RU"/>
        </w:rPr>
        <w:t>0</w:t>
      </w:r>
      <w:r w:rsidRPr="007365FF">
        <w:rPr>
          <w:b/>
        </w:rPr>
        <w:t xml:space="preserve"> млн. лв.</w:t>
      </w:r>
      <w:r w:rsidRPr="007365FF">
        <w:t xml:space="preserve"> от националния бюджет, от които 162,2 млн. лв. </w:t>
      </w:r>
      <w:r w:rsidRPr="007365FF">
        <w:rPr>
          <w:lang w:eastAsia="bg-BG"/>
        </w:rPr>
        <w:t xml:space="preserve">за запазване на заетостта на наети от работодатели работници и служители </w:t>
      </w:r>
      <w:r w:rsidRPr="007365FF">
        <w:rPr>
          <w:lang w:val="ru-RU" w:eastAsia="bg-BG"/>
        </w:rPr>
        <w:t>(</w:t>
      </w:r>
      <w:r w:rsidRPr="007365FF">
        <w:rPr>
          <w:lang w:eastAsia="bg-BG"/>
        </w:rPr>
        <w:t>мярка 60/40</w:t>
      </w:r>
      <w:r w:rsidRPr="007365FF">
        <w:rPr>
          <w:lang w:val="ru-RU" w:eastAsia="bg-BG"/>
        </w:rPr>
        <w:t>)</w:t>
      </w:r>
      <w:r w:rsidRPr="007365FF">
        <w:rPr>
          <w:lang w:eastAsia="bg-BG"/>
        </w:rPr>
        <w:t xml:space="preserve">. Извършените допълнителни разходи по бюджета на ДФ „Земеделие“ за подпомагане на засегнатите от негативните ефекти от пандемията земеделски стопани са в размер на 143,5 млн. лв. Помощта представлява подкрепа за осигуряване на достатъчна ликвидност за земеделските стопани от първичното селскостопанско производство – животновъди, отглеждащи едри и дребни преживни животни и пчелни семейства, и производители на плодове и зеленчуци, маслодайна роза и ориз, за да се противодейства на негативното влияние на последиците от пандемията от COVID-19 и за осигуряване на непрекъснатостта на икономическата дейност. </w:t>
      </w:r>
      <w:r w:rsidR="00B25277">
        <w:rPr>
          <w:lang w:eastAsia="bg-BG"/>
        </w:rPr>
        <w:t>Одобрените</w:t>
      </w:r>
      <w:r w:rsidRPr="007365FF">
        <w:rPr>
          <w:lang w:eastAsia="bg-BG"/>
        </w:rPr>
        <w:t xml:space="preserve"> средства са предоставени на общо 26 673 земеделски стопани.</w:t>
      </w:r>
    </w:p>
    <w:p w14:paraId="110320DD" w14:textId="77777777" w:rsidR="007365FF" w:rsidRPr="007365FF" w:rsidRDefault="007365FF" w:rsidP="007365FF">
      <w:pPr>
        <w:jc w:val="both"/>
      </w:pPr>
      <w:r w:rsidRPr="007365FF">
        <w:t>За осигуряване на  финансова подкрепа в областта на културата и изкуствата в условията на обявена извънредна епидемична обстановка са изплатени 35,8 млн. лв.</w:t>
      </w:r>
    </w:p>
    <w:p w14:paraId="401081DF" w14:textId="62F8C94F" w:rsidR="007365FF" w:rsidRPr="007365FF" w:rsidRDefault="007365FF" w:rsidP="007365FF">
      <w:pPr>
        <w:jc w:val="both"/>
      </w:pPr>
      <w:r w:rsidRPr="007365FF">
        <w:t>Към 31.12.2022 г. са изплатени 9,</w:t>
      </w:r>
      <w:r w:rsidR="006F429D">
        <w:t>6</w:t>
      </w:r>
      <w:r w:rsidRPr="007365FF">
        <w:t xml:space="preserve"> млн. лв. субсидии за туроператори, които използват въздушни превозвачи с валиден оперативен лиценз за изпълнение на чартърни полети до България с цел туризъм. Сумите са изплатени на основание Постановление № 253/18.08.2022 г. за одобряване на допълнителни разходи по бюджета на Министерство на туризма за 2022 г.</w:t>
      </w:r>
    </w:p>
    <w:p w14:paraId="54531BB5" w14:textId="77777777" w:rsidR="007365FF" w:rsidRPr="007365FF" w:rsidRDefault="007365FF" w:rsidP="007365FF">
      <w:pPr>
        <w:jc w:val="both"/>
        <w:rPr>
          <w:sz w:val="8"/>
          <w:szCs w:val="8"/>
          <w:lang w:val="ru-RU"/>
        </w:rPr>
      </w:pPr>
    </w:p>
    <w:p w14:paraId="135AC47A" w14:textId="4E2802CA" w:rsidR="007365FF" w:rsidRPr="007365FF" w:rsidRDefault="007365FF" w:rsidP="007365FF">
      <w:pPr>
        <w:spacing w:after="120"/>
        <w:jc w:val="both"/>
        <w:rPr>
          <w:color w:val="0070C0"/>
          <w:lang w:eastAsia="bg-BG"/>
        </w:rPr>
      </w:pPr>
      <w:r w:rsidRPr="007365FF">
        <w:rPr>
          <w:b/>
          <w:lang w:eastAsia="bg-BG"/>
        </w:rPr>
        <w:t>За</w:t>
      </w:r>
      <w:r w:rsidRPr="007365FF">
        <w:rPr>
          <w:lang w:eastAsia="bg-BG"/>
        </w:rPr>
        <w:t xml:space="preserve"> </w:t>
      </w:r>
      <w:r w:rsidRPr="007365FF">
        <w:rPr>
          <w:b/>
          <w:lang w:eastAsia="bg-BG"/>
        </w:rPr>
        <w:t>мерки за органите на държавното управление, натоварени с дейности по овладяване на пандемията и последствията от COVID-19</w:t>
      </w:r>
      <w:r w:rsidRPr="007365FF">
        <w:rPr>
          <w:lang w:eastAsia="bg-BG"/>
        </w:rPr>
        <w:t xml:space="preserve"> по държавния бюджет и бюджетите на общините са предоставени общо</w:t>
      </w:r>
      <w:r w:rsidRPr="007365FF">
        <w:rPr>
          <w:b/>
          <w:lang w:eastAsia="bg-BG"/>
        </w:rPr>
        <w:t xml:space="preserve"> 747,2</w:t>
      </w:r>
      <w:r w:rsidRPr="007365FF">
        <w:rPr>
          <w:lang w:eastAsia="bg-BG"/>
        </w:rPr>
        <w:t xml:space="preserve"> </w:t>
      </w:r>
      <w:r w:rsidRPr="007365FF">
        <w:rPr>
          <w:b/>
          <w:lang w:eastAsia="bg-BG"/>
        </w:rPr>
        <w:t>млн. лева</w:t>
      </w:r>
      <w:r w:rsidRPr="007365FF">
        <w:rPr>
          <w:b/>
          <w:lang w:val="ru-RU" w:eastAsia="bg-BG"/>
        </w:rPr>
        <w:t>.</w:t>
      </w:r>
      <w:r w:rsidRPr="007365FF">
        <w:rPr>
          <w:lang w:val="ru-RU" w:eastAsia="bg-BG"/>
        </w:rPr>
        <w:t xml:space="preserve"> </w:t>
      </w:r>
      <w:r w:rsidRPr="007365FF">
        <w:rPr>
          <w:lang w:eastAsia="bg-BG"/>
        </w:rPr>
        <w:t>С най-голям дял са разходите за подкрепа на персонала на първа линия, пряко ангажиран с дейности по предотвратяване разпространението на COVID-19, вкл. за поставяне на ваксини срещу COVID-19</w:t>
      </w:r>
      <w:r w:rsidRPr="007365FF">
        <w:rPr>
          <w:lang w:val="ru-RU" w:eastAsia="bg-BG"/>
        </w:rPr>
        <w:t xml:space="preserve"> - </w:t>
      </w:r>
      <w:r w:rsidRPr="007365FF">
        <w:rPr>
          <w:lang w:eastAsia="bg-BG"/>
        </w:rPr>
        <w:t>581,5 млн. лв. За изплащане на допълнителни трудови възнаграждения на изпълнителите на болнична медицинска помощ</w:t>
      </w:r>
      <w:r w:rsidRPr="007365FF">
        <w:rPr>
          <w:lang w:val="ru-RU" w:eastAsia="bg-BG"/>
        </w:rPr>
        <w:t xml:space="preserve"> </w:t>
      </w:r>
      <w:r w:rsidRPr="007365FF">
        <w:rPr>
          <w:lang w:eastAsia="bg-BG"/>
        </w:rPr>
        <w:t>- 74,8 млн. лв. За осигуряване на лични предпазни средства, дезинфектанти и др. за училищата, лечебните заведения и работните помещения на администрацията са изразходвани 8,7 млн. лв. От общините са изразходвани средства за противоепидемични мерки в размер на 74,3 млн. л</w:t>
      </w:r>
      <w:r w:rsidR="006F429D">
        <w:rPr>
          <w:lang w:eastAsia="bg-BG"/>
        </w:rPr>
        <w:t>е</w:t>
      </w:r>
      <w:r w:rsidRPr="007365FF">
        <w:rPr>
          <w:lang w:eastAsia="bg-BG"/>
        </w:rPr>
        <w:t>в</w:t>
      </w:r>
      <w:r w:rsidR="006F429D">
        <w:rPr>
          <w:lang w:eastAsia="bg-BG"/>
        </w:rPr>
        <w:t>а</w:t>
      </w:r>
      <w:r w:rsidRPr="007365FF">
        <w:rPr>
          <w:lang w:eastAsia="bg-BG"/>
        </w:rPr>
        <w:t>.</w:t>
      </w:r>
    </w:p>
    <w:p w14:paraId="1C302802" w14:textId="77777777" w:rsidR="007365FF" w:rsidRPr="007365FF" w:rsidRDefault="007365FF" w:rsidP="007365FF">
      <w:pPr>
        <w:spacing w:after="120"/>
        <w:jc w:val="both"/>
        <w:rPr>
          <w:color w:val="0070C0"/>
          <w:lang w:eastAsia="bg-BG"/>
        </w:rPr>
      </w:pPr>
    </w:p>
    <w:p w14:paraId="7E7B843A" w14:textId="77777777" w:rsidR="007365FF" w:rsidRPr="007365FF" w:rsidRDefault="007365FF" w:rsidP="007365FF">
      <w:pPr>
        <w:spacing w:after="120"/>
        <w:jc w:val="both"/>
        <w:rPr>
          <w:color w:val="0070C0"/>
          <w:lang w:eastAsia="bg-BG"/>
        </w:rPr>
      </w:pPr>
    </w:p>
    <w:p w14:paraId="638CAB6A" w14:textId="77777777" w:rsidR="007365FF" w:rsidRPr="007365FF" w:rsidRDefault="007365FF" w:rsidP="007365FF">
      <w:pPr>
        <w:spacing w:after="120"/>
        <w:jc w:val="both"/>
        <w:rPr>
          <w:color w:val="0070C0"/>
          <w:lang w:eastAsia="bg-BG"/>
        </w:rPr>
      </w:pPr>
    </w:p>
    <w:p w14:paraId="2698F593" w14:textId="77777777" w:rsidR="007365FF" w:rsidRPr="007365FF" w:rsidRDefault="007365FF" w:rsidP="007365FF">
      <w:pPr>
        <w:spacing w:after="120"/>
        <w:jc w:val="both"/>
        <w:rPr>
          <w:color w:val="0070C0"/>
          <w:lang w:eastAsia="bg-BG"/>
        </w:rPr>
      </w:pPr>
    </w:p>
    <w:p w14:paraId="5511C9BD" w14:textId="77777777" w:rsidR="007365FF" w:rsidRPr="007365FF" w:rsidRDefault="007365FF" w:rsidP="007365FF">
      <w:pPr>
        <w:spacing w:after="120"/>
        <w:jc w:val="both"/>
        <w:rPr>
          <w:color w:val="0070C0"/>
          <w:lang w:eastAsia="bg-BG"/>
        </w:rPr>
      </w:pPr>
    </w:p>
    <w:p w14:paraId="2675407D" w14:textId="77777777" w:rsidR="007365FF" w:rsidRPr="007365FF" w:rsidRDefault="007365FF" w:rsidP="007365FF">
      <w:pPr>
        <w:spacing w:after="120"/>
        <w:jc w:val="both"/>
        <w:rPr>
          <w:color w:val="0070C0"/>
          <w:lang w:eastAsia="bg-BG"/>
        </w:rPr>
      </w:pPr>
    </w:p>
    <w:p w14:paraId="7B37B34E" w14:textId="77777777" w:rsidR="007365FF" w:rsidRPr="007365FF" w:rsidRDefault="007365FF" w:rsidP="007365FF">
      <w:pPr>
        <w:spacing w:after="120"/>
        <w:jc w:val="both"/>
        <w:rPr>
          <w:color w:val="0070C0"/>
          <w:lang w:eastAsia="bg-BG"/>
        </w:rPr>
      </w:pPr>
    </w:p>
    <w:p w14:paraId="22E6A482" w14:textId="77777777" w:rsidR="007365FF" w:rsidRPr="007365FF" w:rsidRDefault="007365FF" w:rsidP="007365FF">
      <w:pPr>
        <w:spacing w:after="120"/>
        <w:jc w:val="both"/>
        <w:rPr>
          <w:color w:val="0070C0"/>
          <w:lang w:eastAsia="bg-BG"/>
        </w:rPr>
      </w:pPr>
    </w:p>
    <w:p w14:paraId="0541DBBB" w14:textId="77777777" w:rsidR="007365FF" w:rsidRPr="007365FF" w:rsidRDefault="007365FF" w:rsidP="007365FF">
      <w:pPr>
        <w:spacing w:after="120"/>
        <w:jc w:val="both"/>
        <w:rPr>
          <w:color w:val="0070C0"/>
          <w:lang w:eastAsia="bg-BG"/>
        </w:rPr>
      </w:pPr>
    </w:p>
    <w:p w14:paraId="4A9759DE" w14:textId="77777777" w:rsidR="007365FF" w:rsidRPr="007365FF" w:rsidRDefault="007365FF" w:rsidP="007365FF">
      <w:pPr>
        <w:spacing w:after="120"/>
        <w:jc w:val="both"/>
        <w:rPr>
          <w:color w:val="0070C0"/>
          <w:lang w:eastAsia="bg-BG"/>
        </w:rPr>
      </w:pPr>
    </w:p>
    <w:p w14:paraId="2B5F77AF" w14:textId="77777777" w:rsidR="007365FF" w:rsidRPr="007365FF" w:rsidRDefault="007365FF" w:rsidP="007365FF">
      <w:pPr>
        <w:spacing w:after="120"/>
        <w:jc w:val="both"/>
        <w:rPr>
          <w:color w:val="0070C0"/>
          <w:lang w:eastAsia="bg-BG"/>
        </w:rPr>
      </w:pPr>
    </w:p>
    <w:p w14:paraId="3EC4F722" w14:textId="77777777" w:rsidR="006F429D" w:rsidRDefault="007365FF" w:rsidP="007365FF">
      <w:pPr>
        <w:tabs>
          <w:tab w:val="left" w:pos="426"/>
          <w:tab w:val="left" w:pos="851"/>
        </w:tabs>
        <w:contextualSpacing/>
        <w:jc w:val="center"/>
        <w:rPr>
          <w:b/>
          <w:i/>
          <w:u w:val="single"/>
          <w:lang w:val="ru-RU"/>
        </w:rPr>
      </w:pPr>
      <w:r w:rsidRPr="007365FF">
        <w:rPr>
          <w:b/>
          <w:i/>
          <w:u w:val="single"/>
        </w:rPr>
        <w:t>Информация за средствата,</w:t>
      </w:r>
      <w:r w:rsidR="006F429D">
        <w:rPr>
          <w:b/>
          <w:i/>
          <w:u w:val="single"/>
        </w:rPr>
        <w:t xml:space="preserve"> в частта на разходите,</w:t>
      </w:r>
      <w:r w:rsidRPr="007365FF">
        <w:rPr>
          <w:b/>
          <w:i/>
          <w:u w:val="single"/>
        </w:rPr>
        <w:t xml:space="preserve"> изразходвани за мерките за борба с COVID-19 и преодоляване на социално-икономическите последствия от пандемията</w:t>
      </w:r>
      <w:r w:rsidRPr="007365FF">
        <w:rPr>
          <w:b/>
          <w:i/>
          <w:u w:val="single"/>
          <w:lang w:val="ru-RU"/>
        </w:rPr>
        <w:t xml:space="preserve"> </w:t>
      </w:r>
    </w:p>
    <w:p w14:paraId="087F4CD8" w14:textId="3D809768" w:rsidR="007365FF" w:rsidRPr="007365FF" w:rsidRDefault="007365FF" w:rsidP="007365FF">
      <w:pPr>
        <w:tabs>
          <w:tab w:val="left" w:pos="426"/>
          <w:tab w:val="left" w:pos="851"/>
        </w:tabs>
        <w:contextualSpacing/>
        <w:jc w:val="center"/>
        <w:rPr>
          <w:b/>
          <w:i/>
          <w:u w:val="single"/>
        </w:rPr>
      </w:pPr>
      <w:r w:rsidRPr="007365FF">
        <w:rPr>
          <w:b/>
          <w:i/>
          <w:u w:val="single"/>
        </w:rPr>
        <w:t>към 31.</w:t>
      </w:r>
      <w:r>
        <w:rPr>
          <w:b/>
          <w:i/>
          <w:u w:val="single"/>
        </w:rPr>
        <w:t>12</w:t>
      </w:r>
      <w:r w:rsidRPr="007365FF">
        <w:rPr>
          <w:b/>
          <w:i/>
          <w:u w:val="single"/>
        </w:rPr>
        <w:t>. 202</w:t>
      </w:r>
      <w:r w:rsidRPr="007365FF">
        <w:rPr>
          <w:b/>
          <w:i/>
          <w:u w:val="single"/>
          <w:lang w:val="ru-RU"/>
        </w:rPr>
        <w:t>2</w:t>
      </w:r>
      <w:r w:rsidRPr="007365FF">
        <w:rPr>
          <w:b/>
          <w:i/>
          <w:u w:val="single"/>
        </w:rPr>
        <w:t> г.</w:t>
      </w:r>
    </w:p>
    <w:p w14:paraId="16B3ACE6" w14:textId="77777777" w:rsidR="007365FF" w:rsidRPr="007365FF" w:rsidRDefault="007365FF" w:rsidP="007365FF">
      <w:pPr>
        <w:tabs>
          <w:tab w:val="left" w:pos="426"/>
          <w:tab w:val="left" w:pos="851"/>
        </w:tabs>
        <w:contextualSpacing/>
        <w:jc w:val="center"/>
        <w:rPr>
          <w:b/>
          <w:i/>
          <w:color w:val="0070C0"/>
          <w:sz w:val="12"/>
          <w:u w:val="single"/>
        </w:rPr>
      </w:pPr>
    </w:p>
    <w:tbl>
      <w:tblPr>
        <w:tblW w:w="9889" w:type="dxa"/>
        <w:tblLook w:val="04A0" w:firstRow="1" w:lastRow="0" w:firstColumn="1" w:lastColumn="0" w:noHBand="0" w:noVBand="1"/>
      </w:tblPr>
      <w:tblGrid>
        <w:gridCol w:w="7915"/>
        <w:gridCol w:w="982"/>
        <w:gridCol w:w="992"/>
      </w:tblGrid>
      <w:tr w:rsidR="007365FF" w:rsidRPr="007365FF" w14:paraId="2FDE4E7D" w14:textId="77777777" w:rsidTr="000C150D">
        <w:trPr>
          <w:trHeight w:val="206"/>
        </w:trPr>
        <w:tc>
          <w:tcPr>
            <w:tcW w:w="7915" w:type="dxa"/>
            <w:vMerge w:val="restart"/>
            <w:tcBorders>
              <w:top w:val="single" w:sz="4" w:space="0" w:color="auto"/>
              <w:left w:val="single" w:sz="4" w:space="0" w:color="auto"/>
              <w:bottom w:val="single" w:sz="4" w:space="0" w:color="auto"/>
              <w:right w:val="single" w:sz="4" w:space="0" w:color="auto"/>
            </w:tcBorders>
            <w:shd w:val="clear" w:color="000000" w:fill="943634"/>
            <w:vAlign w:val="center"/>
            <w:hideMark/>
          </w:tcPr>
          <w:p w14:paraId="05FCB066" w14:textId="77777777" w:rsidR="007365FF" w:rsidRPr="007365FF" w:rsidRDefault="007365FF" w:rsidP="007365FF">
            <w:pPr>
              <w:jc w:val="center"/>
              <w:rPr>
                <w:b/>
                <w:bCs/>
                <w:color w:val="FFFFFF" w:themeColor="background1"/>
                <w:lang w:val="en-US"/>
              </w:rPr>
            </w:pPr>
            <w:r w:rsidRPr="007365FF">
              <w:rPr>
                <w:b/>
                <w:bCs/>
                <w:color w:val="FFFFFF" w:themeColor="background1"/>
                <w:lang w:val="en-US"/>
              </w:rPr>
              <w:t>МЕРКИ</w:t>
            </w:r>
          </w:p>
        </w:tc>
        <w:tc>
          <w:tcPr>
            <w:tcW w:w="1974" w:type="dxa"/>
            <w:gridSpan w:val="2"/>
            <w:tcBorders>
              <w:top w:val="single" w:sz="4" w:space="0" w:color="auto"/>
              <w:left w:val="nil"/>
              <w:bottom w:val="single" w:sz="4" w:space="0" w:color="auto"/>
              <w:right w:val="single" w:sz="4" w:space="0" w:color="auto"/>
            </w:tcBorders>
            <w:shd w:val="clear" w:color="000000" w:fill="943634"/>
            <w:noWrap/>
            <w:vAlign w:val="center"/>
            <w:hideMark/>
          </w:tcPr>
          <w:p w14:paraId="4A07FF69" w14:textId="77777777" w:rsidR="007365FF" w:rsidRPr="007365FF" w:rsidRDefault="007365FF" w:rsidP="007365FF">
            <w:pPr>
              <w:jc w:val="center"/>
              <w:rPr>
                <w:b/>
                <w:bCs/>
                <w:color w:val="FFFFFF" w:themeColor="background1"/>
                <w:sz w:val="22"/>
                <w:szCs w:val="22"/>
                <w:lang w:val="en-US"/>
              </w:rPr>
            </w:pPr>
            <w:proofErr w:type="spellStart"/>
            <w:r w:rsidRPr="007365FF">
              <w:rPr>
                <w:b/>
                <w:bCs/>
                <w:color w:val="FFFFFF" w:themeColor="background1"/>
                <w:sz w:val="22"/>
                <w:szCs w:val="22"/>
                <w:lang w:val="en-US"/>
              </w:rPr>
              <w:t>Към</w:t>
            </w:r>
            <w:proofErr w:type="spellEnd"/>
            <w:r w:rsidRPr="007365FF">
              <w:rPr>
                <w:b/>
                <w:bCs/>
                <w:color w:val="FFFFFF" w:themeColor="background1"/>
                <w:sz w:val="22"/>
                <w:szCs w:val="22"/>
                <w:lang w:val="en-US"/>
              </w:rPr>
              <w:t xml:space="preserve"> 3</w:t>
            </w:r>
            <w:r w:rsidRPr="007365FF">
              <w:rPr>
                <w:b/>
                <w:bCs/>
                <w:color w:val="FFFFFF" w:themeColor="background1"/>
                <w:sz w:val="22"/>
                <w:szCs w:val="22"/>
              </w:rPr>
              <w:t>1</w:t>
            </w:r>
            <w:r w:rsidRPr="007365FF">
              <w:rPr>
                <w:b/>
                <w:bCs/>
                <w:color w:val="FFFFFF" w:themeColor="background1"/>
                <w:sz w:val="22"/>
                <w:szCs w:val="22"/>
                <w:lang w:val="en-US"/>
              </w:rPr>
              <w:t>.</w:t>
            </w:r>
            <w:r w:rsidRPr="007365FF">
              <w:rPr>
                <w:b/>
                <w:bCs/>
                <w:color w:val="FFFFFF" w:themeColor="background1"/>
                <w:sz w:val="22"/>
                <w:szCs w:val="22"/>
              </w:rPr>
              <w:t>12</w:t>
            </w:r>
            <w:r w:rsidRPr="007365FF">
              <w:rPr>
                <w:b/>
                <w:bCs/>
                <w:color w:val="FFFFFF" w:themeColor="background1"/>
                <w:sz w:val="22"/>
                <w:szCs w:val="22"/>
                <w:lang w:val="en-US"/>
              </w:rPr>
              <w:t>.2022 г.</w:t>
            </w:r>
          </w:p>
        </w:tc>
      </w:tr>
      <w:tr w:rsidR="007365FF" w:rsidRPr="007365FF" w14:paraId="497FAB55" w14:textId="77777777" w:rsidTr="000C150D">
        <w:trPr>
          <w:trHeight w:val="58"/>
        </w:trPr>
        <w:tc>
          <w:tcPr>
            <w:tcW w:w="7915" w:type="dxa"/>
            <w:vMerge/>
            <w:tcBorders>
              <w:top w:val="single" w:sz="4" w:space="0" w:color="auto"/>
              <w:left w:val="single" w:sz="4" w:space="0" w:color="auto"/>
              <w:bottom w:val="single" w:sz="4" w:space="0" w:color="auto"/>
              <w:right w:val="single" w:sz="4" w:space="0" w:color="auto"/>
            </w:tcBorders>
            <w:vAlign w:val="center"/>
            <w:hideMark/>
          </w:tcPr>
          <w:p w14:paraId="7E75E819" w14:textId="77777777" w:rsidR="007365FF" w:rsidRPr="007365FF" w:rsidRDefault="007365FF" w:rsidP="007365FF">
            <w:pPr>
              <w:rPr>
                <w:b/>
                <w:bCs/>
                <w:color w:val="FFFFFF" w:themeColor="background1"/>
                <w:lang w:val="en-US"/>
              </w:rPr>
            </w:pPr>
          </w:p>
        </w:tc>
        <w:tc>
          <w:tcPr>
            <w:tcW w:w="982" w:type="dxa"/>
            <w:tcBorders>
              <w:top w:val="nil"/>
              <w:left w:val="nil"/>
              <w:bottom w:val="single" w:sz="4" w:space="0" w:color="auto"/>
              <w:right w:val="single" w:sz="4" w:space="0" w:color="auto"/>
            </w:tcBorders>
            <w:shd w:val="clear" w:color="000000" w:fill="943634"/>
            <w:noWrap/>
            <w:vAlign w:val="center"/>
            <w:hideMark/>
          </w:tcPr>
          <w:p w14:paraId="0C560D5B" w14:textId="77777777" w:rsidR="007365FF" w:rsidRPr="007365FF" w:rsidRDefault="007365FF" w:rsidP="007365FF">
            <w:pPr>
              <w:jc w:val="center"/>
              <w:rPr>
                <w:b/>
                <w:bCs/>
                <w:color w:val="FFFFFF" w:themeColor="background1"/>
                <w:sz w:val="22"/>
                <w:szCs w:val="22"/>
                <w:lang w:val="en-US"/>
              </w:rPr>
            </w:pPr>
            <w:proofErr w:type="spellStart"/>
            <w:r w:rsidRPr="007365FF">
              <w:rPr>
                <w:b/>
                <w:bCs/>
                <w:color w:val="FFFFFF" w:themeColor="background1"/>
                <w:sz w:val="22"/>
                <w:szCs w:val="22"/>
                <w:lang w:val="en-US"/>
              </w:rPr>
              <w:t>млн</w:t>
            </w:r>
            <w:proofErr w:type="spellEnd"/>
            <w:r w:rsidRPr="007365FF">
              <w:rPr>
                <w:b/>
                <w:bCs/>
                <w:color w:val="FFFFFF" w:themeColor="background1"/>
                <w:sz w:val="22"/>
                <w:szCs w:val="22"/>
                <w:lang w:val="en-US"/>
              </w:rPr>
              <w:t xml:space="preserve">. </w:t>
            </w:r>
            <w:proofErr w:type="spellStart"/>
            <w:r w:rsidRPr="007365FF">
              <w:rPr>
                <w:b/>
                <w:bCs/>
                <w:color w:val="FFFFFF" w:themeColor="background1"/>
                <w:sz w:val="22"/>
                <w:szCs w:val="22"/>
                <w:lang w:val="en-US"/>
              </w:rPr>
              <w:t>лв</w:t>
            </w:r>
            <w:proofErr w:type="spellEnd"/>
            <w:r w:rsidRPr="007365FF">
              <w:rPr>
                <w:b/>
                <w:bCs/>
                <w:color w:val="FFFFFF" w:themeColor="background1"/>
                <w:sz w:val="22"/>
                <w:szCs w:val="22"/>
                <w:lang w:val="en-US"/>
              </w:rPr>
              <w:t>.</w:t>
            </w:r>
          </w:p>
        </w:tc>
        <w:tc>
          <w:tcPr>
            <w:tcW w:w="992" w:type="dxa"/>
            <w:tcBorders>
              <w:top w:val="nil"/>
              <w:left w:val="nil"/>
              <w:bottom w:val="single" w:sz="4" w:space="0" w:color="auto"/>
              <w:right w:val="single" w:sz="4" w:space="0" w:color="auto"/>
            </w:tcBorders>
            <w:shd w:val="clear" w:color="000000" w:fill="943634"/>
            <w:noWrap/>
            <w:vAlign w:val="center"/>
            <w:hideMark/>
          </w:tcPr>
          <w:p w14:paraId="5C4B22B7" w14:textId="77777777" w:rsidR="007365FF" w:rsidRPr="007365FF" w:rsidRDefault="007365FF" w:rsidP="007365FF">
            <w:pPr>
              <w:jc w:val="center"/>
              <w:rPr>
                <w:b/>
                <w:bCs/>
                <w:color w:val="FFFFFF" w:themeColor="background1"/>
                <w:sz w:val="20"/>
                <w:szCs w:val="20"/>
                <w:lang w:val="en-US"/>
              </w:rPr>
            </w:pPr>
            <w:r w:rsidRPr="007365FF">
              <w:rPr>
                <w:b/>
                <w:bCs/>
                <w:color w:val="FFFFFF" w:themeColor="background1"/>
                <w:sz w:val="20"/>
                <w:szCs w:val="20"/>
                <w:lang w:val="en-US"/>
              </w:rPr>
              <w:t xml:space="preserve">% </w:t>
            </w:r>
            <w:proofErr w:type="spellStart"/>
            <w:r w:rsidRPr="007365FF">
              <w:rPr>
                <w:b/>
                <w:bCs/>
                <w:color w:val="FFFFFF" w:themeColor="background1"/>
                <w:sz w:val="20"/>
                <w:szCs w:val="20"/>
                <w:lang w:val="en-US"/>
              </w:rPr>
              <w:t>от</w:t>
            </w:r>
            <w:proofErr w:type="spellEnd"/>
            <w:r w:rsidRPr="007365FF">
              <w:rPr>
                <w:b/>
                <w:bCs/>
                <w:color w:val="FFFFFF" w:themeColor="background1"/>
                <w:sz w:val="20"/>
                <w:szCs w:val="20"/>
                <w:lang w:val="en-US"/>
              </w:rPr>
              <w:t xml:space="preserve"> БВП </w:t>
            </w:r>
          </w:p>
        </w:tc>
      </w:tr>
      <w:tr w:rsidR="007365FF" w:rsidRPr="007365FF" w14:paraId="2CA2DAE3" w14:textId="77777777" w:rsidTr="000C150D">
        <w:trPr>
          <w:trHeight w:val="415"/>
        </w:trPr>
        <w:tc>
          <w:tcPr>
            <w:tcW w:w="7915" w:type="dxa"/>
            <w:tcBorders>
              <w:top w:val="nil"/>
              <w:left w:val="single" w:sz="4" w:space="0" w:color="auto"/>
              <w:bottom w:val="single" w:sz="4" w:space="0" w:color="auto"/>
              <w:right w:val="single" w:sz="4" w:space="0" w:color="auto"/>
            </w:tcBorders>
            <w:shd w:val="clear" w:color="000000" w:fill="E2EFDA"/>
            <w:vAlign w:val="bottom"/>
            <w:hideMark/>
          </w:tcPr>
          <w:p w14:paraId="41DCC873" w14:textId="77777777" w:rsidR="007365FF" w:rsidRPr="004A2E93" w:rsidRDefault="007365FF" w:rsidP="007365FF">
            <w:pPr>
              <w:rPr>
                <w:b/>
                <w:bCs/>
                <w:i/>
                <w:iCs/>
                <w:sz w:val="22"/>
                <w:szCs w:val="22"/>
                <w:lang w:val="ru-RU"/>
              </w:rPr>
            </w:pPr>
            <w:r w:rsidRPr="007365FF">
              <w:rPr>
                <w:b/>
                <w:bCs/>
                <w:i/>
                <w:iCs/>
                <w:sz w:val="22"/>
                <w:szCs w:val="22"/>
                <w:lang w:val="ru-RU"/>
              </w:rPr>
              <w:t xml:space="preserve">Всичко средства изразходвани за мерки за борба с </w:t>
            </w:r>
            <w:r w:rsidRPr="007365FF">
              <w:rPr>
                <w:b/>
                <w:bCs/>
                <w:i/>
                <w:iCs/>
                <w:sz w:val="22"/>
                <w:szCs w:val="22"/>
                <w:lang w:val="en-US"/>
              </w:rPr>
              <w:t>COVID</w:t>
            </w:r>
            <w:r w:rsidRPr="007365FF">
              <w:rPr>
                <w:b/>
                <w:bCs/>
                <w:i/>
                <w:iCs/>
                <w:sz w:val="22"/>
                <w:szCs w:val="22"/>
                <w:lang w:val="ru-RU"/>
              </w:rPr>
              <w:t>-19 и преодоляване на социално-икономическите последствия от пандемията към 31.12.</w:t>
            </w:r>
            <w:r w:rsidRPr="004A2E93">
              <w:rPr>
                <w:b/>
                <w:bCs/>
                <w:i/>
                <w:iCs/>
                <w:sz w:val="22"/>
                <w:szCs w:val="22"/>
                <w:lang w:val="ru-RU"/>
              </w:rPr>
              <w:t>2022</w:t>
            </w:r>
            <w:r w:rsidRPr="007365FF">
              <w:rPr>
                <w:b/>
                <w:bCs/>
                <w:i/>
                <w:iCs/>
                <w:sz w:val="22"/>
                <w:szCs w:val="22"/>
                <w:lang w:val="en-US"/>
              </w:rPr>
              <w:t> </w:t>
            </w:r>
            <w:r w:rsidRPr="004A2E93">
              <w:rPr>
                <w:b/>
                <w:bCs/>
                <w:i/>
                <w:iCs/>
                <w:sz w:val="22"/>
                <w:szCs w:val="22"/>
                <w:lang w:val="ru-RU"/>
              </w:rPr>
              <w:t>г. (А.+Б.+В.)</w:t>
            </w:r>
          </w:p>
        </w:tc>
        <w:tc>
          <w:tcPr>
            <w:tcW w:w="982" w:type="dxa"/>
            <w:tcBorders>
              <w:top w:val="nil"/>
              <w:left w:val="nil"/>
              <w:bottom w:val="single" w:sz="4" w:space="0" w:color="auto"/>
              <w:right w:val="single" w:sz="4" w:space="0" w:color="auto"/>
            </w:tcBorders>
            <w:shd w:val="clear" w:color="000000" w:fill="E2EFDA"/>
            <w:noWrap/>
            <w:vAlign w:val="bottom"/>
            <w:hideMark/>
          </w:tcPr>
          <w:p w14:paraId="4E02C52F" w14:textId="77777777" w:rsidR="007365FF" w:rsidRPr="007365FF" w:rsidRDefault="007365FF" w:rsidP="007365FF">
            <w:pPr>
              <w:jc w:val="right"/>
              <w:rPr>
                <w:b/>
                <w:sz w:val="22"/>
                <w:szCs w:val="22"/>
              </w:rPr>
            </w:pPr>
            <w:r w:rsidRPr="007365FF">
              <w:rPr>
                <w:b/>
                <w:sz w:val="22"/>
                <w:szCs w:val="22"/>
              </w:rPr>
              <w:t>1 473,9</w:t>
            </w:r>
          </w:p>
        </w:tc>
        <w:tc>
          <w:tcPr>
            <w:tcW w:w="992" w:type="dxa"/>
            <w:tcBorders>
              <w:top w:val="nil"/>
              <w:left w:val="nil"/>
              <w:bottom w:val="single" w:sz="4" w:space="0" w:color="auto"/>
              <w:right w:val="single" w:sz="4" w:space="0" w:color="auto"/>
            </w:tcBorders>
            <w:shd w:val="clear" w:color="000000" w:fill="E2EFDA"/>
            <w:noWrap/>
            <w:vAlign w:val="bottom"/>
            <w:hideMark/>
          </w:tcPr>
          <w:p w14:paraId="5B537B02" w14:textId="77777777" w:rsidR="007365FF" w:rsidRPr="007365FF" w:rsidRDefault="007365FF" w:rsidP="007365FF">
            <w:pPr>
              <w:jc w:val="right"/>
              <w:rPr>
                <w:b/>
                <w:sz w:val="22"/>
                <w:szCs w:val="22"/>
              </w:rPr>
            </w:pPr>
            <w:r w:rsidRPr="007365FF">
              <w:rPr>
                <w:b/>
                <w:sz w:val="22"/>
                <w:szCs w:val="22"/>
              </w:rPr>
              <w:t>0,91%</w:t>
            </w:r>
          </w:p>
        </w:tc>
      </w:tr>
      <w:tr w:rsidR="007365FF" w:rsidRPr="007365FF" w14:paraId="7E6DBC46" w14:textId="77777777" w:rsidTr="000C150D">
        <w:trPr>
          <w:trHeight w:val="72"/>
        </w:trPr>
        <w:tc>
          <w:tcPr>
            <w:tcW w:w="7915" w:type="dxa"/>
            <w:tcBorders>
              <w:top w:val="nil"/>
              <w:left w:val="single" w:sz="4" w:space="0" w:color="auto"/>
              <w:bottom w:val="single" w:sz="4" w:space="0" w:color="auto"/>
              <w:right w:val="single" w:sz="4" w:space="0" w:color="auto"/>
            </w:tcBorders>
            <w:shd w:val="clear" w:color="000000" w:fill="FCE4D6"/>
            <w:vAlign w:val="center"/>
            <w:hideMark/>
          </w:tcPr>
          <w:p w14:paraId="7EB40429" w14:textId="77777777" w:rsidR="007365FF" w:rsidRPr="007365FF" w:rsidRDefault="007365FF" w:rsidP="007365FF">
            <w:pPr>
              <w:rPr>
                <w:b/>
                <w:bCs/>
                <w:i/>
                <w:iCs/>
                <w:sz w:val="22"/>
                <w:szCs w:val="22"/>
                <w:lang w:val="ru-RU"/>
              </w:rPr>
            </w:pPr>
            <w:r w:rsidRPr="007365FF">
              <w:rPr>
                <w:b/>
                <w:bCs/>
                <w:i/>
                <w:iCs/>
                <w:sz w:val="22"/>
                <w:szCs w:val="22"/>
                <w:lang w:val="ru-RU"/>
              </w:rPr>
              <w:t xml:space="preserve">     </w:t>
            </w:r>
            <w:r w:rsidRPr="007365FF">
              <w:rPr>
                <w:b/>
                <w:bCs/>
                <w:i/>
                <w:iCs/>
                <w:sz w:val="22"/>
                <w:szCs w:val="22"/>
                <w:lang w:val="en-US"/>
              </w:rPr>
              <w:t>A</w:t>
            </w:r>
            <w:r w:rsidRPr="007365FF">
              <w:rPr>
                <w:b/>
                <w:bCs/>
                <w:i/>
                <w:iCs/>
                <w:sz w:val="22"/>
                <w:szCs w:val="22"/>
                <w:lang w:val="ru-RU"/>
              </w:rPr>
              <w:t>. Мерки за подкрепа на домакинствата</w:t>
            </w:r>
          </w:p>
        </w:tc>
        <w:tc>
          <w:tcPr>
            <w:tcW w:w="982" w:type="dxa"/>
            <w:tcBorders>
              <w:top w:val="nil"/>
              <w:left w:val="nil"/>
              <w:bottom w:val="single" w:sz="4" w:space="0" w:color="auto"/>
              <w:right w:val="single" w:sz="4" w:space="0" w:color="auto"/>
            </w:tcBorders>
            <w:shd w:val="clear" w:color="000000" w:fill="FCE4D6"/>
            <w:noWrap/>
            <w:vAlign w:val="bottom"/>
            <w:hideMark/>
          </w:tcPr>
          <w:p w14:paraId="5B10A6F5" w14:textId="77777777" w:rsidR="007365FF" w:rsidRPr="007365FF" w:rsidRDefault="007365FF" w:rsidP="007365FF">
            <w:pPr>
              <w:jc w:val="right"/>
              <w:rPr>
                <w:b/>
                <w:sz w:val="22"/>
                <w:szCs w:val="22"/>
              </w:rPr>
            </w:pPr>
            <w:r w:rsidRPr="007365FF">
              <w:rPr>
                <w:b/>
                <w:sz w:val="22"/>
                <w:szCs w:val="22"/>
              </w:rPr>
              <w:t>375,7</w:t>
            </w:r>
          </w:p>
        </w:tc>
        <w:tc>
          <w:tcPr>
            <w:tcW w:w="992" w:type="dxa"/>
            <w:tcBorders>
              <w:top w:val="nil"/>
              <w:left w:val="nil"/>
              <w:bottom w:val="single" w:sz="4" w:space="0" w:color="auto"/>
              <w:right w:val="single" w:sz="4" w:space="0" w:color="auto"/>
            </w:tcBorders>
            <w:shd w:val="clear" w:color="000000" w:fill="FCE4D6"/>
            <w:noWrap/>
            <w:vAlign w:val="bottom"/>
            <w:hideMark/>
          </w:tcPr>
          <w:p w14:paraId="28E1EDD5" w14:textId="77777777" w:rsidR="007365FF" w:rsidRPr="007365FF" w:rsidRDefault="007365FF" w:rsidP="007365FF">
            <w:pPr>
              <w:jc w:val="right"/>
              <w:rPr>
                <w:b/>
                <w:sz w:val="22"/>
                <w:szCs w:val="22"/>
              </w:rPr>
            </w:pPr>
            <w:r w:rsidRPr="007365FF">
              <w:rPr>
                <w:b/>
                <w:sz w:val="22"/>
                <w:szCs w:val="22"/>
              </w:rPr>
              <w:t>0,23%</w:t>
            </w:r>
          </w:p>
        </w:tc>
      </w:tr>
      <w:tr w:rsidR="007365FF" w:rsidRPr="007365FF" w14:paraId="63189226" w14:textId="77777777" w:rsidTr="000C150D">
        <w:trPr>
          <w:trHeight w:val="90"/>
        </w:trPr>
        <w:tc>
          <w:tcPr>
            <w:tcW w:w="7915" w:type="dxa"/>
            <w:tcBorders>
              <w:top w:val="nil"/>
              <w:left w:val="single" w:sz="4" w:space="0" w:color="auto"/>
              <w:bottom w:val="single" w:sz="4" w:space="0" w:color="auto"/>
              <w:right w:val="single" w:sz="4" w:space="0" w:color="auto"/>
            </w:tcBorders>
            <w:shd w:val="clear" w:color="000000" w:fill="FFFFFF"/>
            <w:vAlign w:val="center"/>
            <w:hideMark/>
          </w:tcPr>
          <w:p w14:paraId="52DCB699" w14:textId="77777777" w:rsidR="007365FF" w:rsidRPr="007365FF" w:rsidRDefault="007365FF" w:rsidP="007365FF">
            <w:pPr>
              <w:rPr>
                <w:sz w:val="18"/>
                <w:szCs w:val="18"/>
                <w:lang w:val="en-US"/>
              </w:rPr>
            </w:pPr>
            <w:proofErr w:type="spellStart"/>
            <w:r w:rsidRPr="007365FF">
              <w:rPr>
                <w:sz w:val="18"/>
                <w:szCs w:val="18"/>
                <w:lang w:val="en-US"/>
              </w:rPr>
              <w:t>от</w:t>
            </w:r>
            <w:proofErr w:type="spellEnd"/>
            <w:r w:rsidRPr="007365FF">
              <w:rPr>
                <w:sz w:val="18"/>
                <w:szCs w:val="18"/>
                <w:lang w:val="en-US"/>
              </w:rPr>
              <w:t xml:space="preserve"> </w:t>
            </w:r>
            <w:proofErr w:type="spellStart"/>
            <w:r w:rsidRPr="007365FF">
              <w:rPr>
                <w:sz w:val="18"/>
                <w:szCs w:val="18"/>
                <w:lang w:val="en-US"/>
              </w:rPr>
              <w:t>тях</w:t>
            </w:r>
            <w:proofErr w:type="spellEnd"/>
            <w:r w:rsidRPr="007365FF">
              <w:rPr>
                <w:sz w:val="18"/>
                <w:szCs w:val="18"/>
                <w:lang w:val="en-US"/>
              </w:rPr>
              <w:t>:</w:t>
            </w:r>
          </w:p>
        </w:tc>
        <w:tc>
          <w:tcPr>
            <w:tcW w:w="982" w:type="dxa"/>
            <w:tcBorders>
              <w:top w:val="nil"/>
              <w:left w:val="nil"/>
              <w:bottom w:val="single" w:sz="4" w:space="0" w:color="auto"/>
              <w:right w:val="single" w:sz="4" w:space="0" w:color="auto"/>
            </w:tcBorders>
            <w:shd w:val="clear" w:color="auto" w:fill="auto"/>
            <w:noWrap/>
            <w:vAlign w:val="bottom"/>
            <w:hideMark/>
          </w:tcPr>
          <w:p w14:paraId="7855FE72" w14:textId="77777777" w:rsidR="007365FF" w:rsidRPr="007365FF" w:rsidRDefault="007365FF" w:rsidP="007365FF">
            <w:pPr>
              <w:rPr>
                <w:b/>
                <w:bCs/>
                <w:color w:val="0070C0"/>
                <w:sz w:val="22"/>
                <w:szCs w:val="22"/>
                <w:lang w:val="en-US"/>
              </w:rPr>
            </w:pPr>
            <w:r w:rsidRPr="007365FF">
              <w:rPr>
                <w:b/>
                <w:bCs/>
                <w:color w:val="0070C0"/>
                <w:sz w:val="22"/>
                <w:szCs w:val="22"/>
                <w:lang w:val="en-US"/>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160F46B7" w14:textId="77777777" w:rsidR="007365FF" w:rsidRPr="007365FF" w:rsidRDefault="007365FF" w:rsidP="007365FF">
            <w:pPr>
              <w:jc w:val="right"/>
              <w:rPr>
                <w:b/>
                <w:bCs/>
                <w:color w:val="0070C0"/>
                <w:sz w:val="22"/>
                <w:szCs w:val="22"/>
                <w:lang w:val="en-US"/>
              </w:rPr>
            </w:pPr>
            <w:r w:rsidRPr="007365FF">
              <w:rPr>
                <w:b/>
                <w:bCs/>
                <w:color w:val="0070C0"/>
                <w:sz w:val="22"/>
                <w:szCs w:val="22"/>
                <w:lang w:val="en-US"/>
              </w:rPr>
              <w:t> </w:t>
            </w:r>
          </w:p>
        </w:tc>
      </w:tr>
      <w:tr w:rsidR="007365FF" w:rsidRPr="007365FF" w14:paraId="0CCCE362" w14:textId="77777777" w:rsidTr="000C150D">
        <w:trPr>
          <w:trHeight w:val="250"/>
        </w:trPr>
        <w:tc>
          <w:tcPr>
            <w:tcW w:w="7915" w:type="dxa"/>
            <w:tcBorders>
              <w:top w:val="nil"/>
              <w:left w:val="single" w:sz="4" w:space="0" w:color="auto"/>
              <w:bottom w:val="single" w:sz="4" w:space="0" w:color="auto"/>
              <w:right w:val="single" w:sz="4" w:space="0" w:color="auto"/>
            </w:tcBorders>
            <w:shd w:val="clear" w:color="000000" w:fill="FFFFFF"/>
            <w:vAlign w:val="center"/>
            <w:hideMark/>
          </w:tcPr>
          <w:p w14:paraId="40ABBA6F" w14:textId="77777777" w:rsidR="007365FF" w:rsidRPr="007365FF" w:rsidRDefault="007365FF" w:rsidP="007365FF">
            <w:pPr>
              <w:rPr>
                <w:sz w:val="20"/>
                <w:szCs w:val="20"/>
                <w:lang w:val="ru-RU"/>
              </w:rPr>
            </w:pPr>
            <w:r w:rsidRPr="007365FF">
              <w:rPr>
                <w:sz w:val="20"/>
                <w:szCs w:val="20"/>
                <w:lang w:val="ru-RU"/>
              </w:rPr>
              <w:t xml:space="preserve">   Осигуряване на ваксини, лекарствени продукти и бързи антигенни тестове в борбата с пандемията от </w:t>
            </w:r>
            <w:r w:rsidRPr="007365FF">
              <w:rPr>
                <w:sz w:val="20"/>
                <w:szCs w:val="20"/>
                <w:lang w:val="en-US"/>
              </w:rPr>
              <w:t>COVID</w:t>
            </w:r>
            <w:r w:rsidRPr="007365FF">
              <w:rPr>
                <w:sz w:val="20"/>
                <w:szCs w:val="20"/>
                <w:lang w:val="ru-RU"/>
              </w:rPr>
              <w:t xml:space="preserve">-19 </w:t>
            </w:r>
          </w:p>
        </w:tc>
        <w:tc>
          <w:tcPr>
            <w:tcW w:w="982" w:type="dxa"/>
            <w:tcBorders>
              <w:top w:val="single" w:sz="6" w:space="0" w:color="auto"/>
              <w:left w:val="single" w:sz="6" w:space="0" w:color="auto"/>
              <w:bottom w:val="single" w:sz="6" w:space="0" w:color="auto"/>
              <w:right w:val="single" w:sz="6" w:space="0" w:color="auto"/>
            </w:tcBorders>
            <w:noWrap/>
            <w:vAlign w:val="bottom"/>
            <w:hideMark/>
          </w:tcPr>
          <w:p w14:paraId="171C0D1E" w14:textId="77777777" w:rsidR="007365FF" w:rsidRPr="007365FF" w:rsidRDefault="007365FF" w:rsidP="007365FF">
            <w:pPr>
              <w:autoSpaceDE w:val="0"/>
              <w:autoSpaceDN w:val="0"/>
              <w:adjustRightInd w:val="0"/>
              <w:jc w:val="right"/>
              <w:rPr>
                <w:rFonts w:eastAsia="Calibri"/>
                <w:color w:val="000000"/>
                <w:sz w:val="20"/>
                <w:szCs w:val="20"/>
              </w:rPr>
            </w:pPr>
            <w:r w:rsidRPr="007365FF">
              <w:rPr>
                <w:rFonts w:eastAsia="Calibri"/>
                <w:color w:val="000000"/>
                <w:sz w:val="20"/>
                <w:szCs w:val="20"/>
              </w:rPr>
              <w:t>237,5</w:t>
            </w:r>
          </w:p>
        </w:tc>
        <w:tc>
          <w:tcPr>
            <w:tcW w:w="992" w:type="dxa"/>
            <w:tcBorders>
              <w:top w:val="single" w:sz="6" w:space="0" w:color="auto"/>
              <w:left w:val="single" w:sz="6" w:space="0" w:color="auto"/>
              <w:bottom w:val="single" w:sz="6" w:space="0" w:color="auto"/>
              <w:right w:val="single" w:sz="6" w:space="0" w:color="auto"/>
            </w:tcBorders>
            <w:shd w:val="solid" w:color="FFFFFF" w:fill="auto"/>
            <w:noWrap/>
            <w:vAlign w:val="bottom"/>
            <w:hideMark/>
          </w:tcPr>
          <w:p w14:paraId="2A2FF4BE" w14:textId="77777777" w:rsidR="007365FF" w:rsidRPr="007365FF" w:rsidRDefault="007365FF" w:rsidP="007365FF">
            <w:pPr>
              <w:autoSpaceDE w:val="0"/>
              <w:autoSpaceDN w:val="0"/>
              <w:adjustRightInd w:val="0"/>
              <w:jc w:val="right"/>
              <w:rPr>
                <w:rFonts w:eastAsia="Calibri"/>
                <w:color w:val="000000"/>
                <w:sz w:val="20"/>
                <w:szCs w:val="20"/>
              </w:rPr>
            </w:pPr>
            <w:r w:rsidRPr="007365FF">
              <w:rPr>
                <w:rFonts w:eastAsia="Calibri"/>
                <w:color w:val="000000"/>
                <w:sz w:val="20"/>
                <w:szCs w:val="20"/>
              </w:rPr>
              <w:t>0,15%</w:t>
            </w:r>
          </w:p>
        </w:tc>
      </w:tr>
      <w:tr w:rsidR="007365FF" w:rsidRPr="007365FF" w14:paraId="51C2082F" w14:textId="77777777" w:rsidTr="000C150D">
        <w:trPr>
          <w:trHeight w:val="299"/>
        </w:trPr>
        <w:tc>
          <w:tcPr>
            <w:tcW w:w="7915" w:type="dxa"/>
            <w:tcBorders>
              <w:top w:val="nil"/>
              <w:left w:val="single" w:sz="4" w:space="0" w:color="auto"/>
              <w:bottom w:val="single" w:sz="4" w:space="0" w:color="auto"/>
              <w:right w:val="single" w:sz="4" w:space="0" w:color="auto"/>
            </w:tcBorders>
            <w:shd w:val="clear" w:color="auto" w:fill="auto"/>
            <w:vAlign w:val="bottom"/>
            <w:hideMark/>
          </w:tcPr>
          <w:p w14:paraId="2B3BEF95" w14:textId="77777777" w:rsidR="007365FF" w:rsidRPr="007365FF" w:rsidRDefault="007365FF" w:rsidP="007365FF">
            <w:pPr>
              <w:rPr>
                <w:sz w:val="20"/>
                <w:szCs w:val="20"/>
                <w:lang w:val="ru-RU"/>
              </w:rPr>
            </w:pPr>
            <w:r w:rsidRPr="007365FF">
              <w:rPr>
                <w:sz w:val="20"/>
                <w:szCs w:val="20"/>
                <w:lang w:val="ru-RU"/>
              </w:rPr>
              <w:t xml:space="preserve">   Еднократна сума за компенсиране на дохода от пенсии до нивото от декември 2021 г. за периода до юни 2022 г.</w:t>
            </w:r>
          </w:p>
        </w:tc>
        <w:tc>
          <w:tcPr>
            <w:tcW w:w="982" w:type="dxa"/>
            <w:tcBorders>
              <w:top w:val="single" w:sz="6" w:space="0" w:color="auto"/>
              <w:left w:val="single" w:sz="6" w:space="0" w:color="auto"/>
              <w:bottom w:val="single" w:sz="6" w:space="0" w:color="auto"/>
              <w:right w:val="single" w:sz="6" w:space="0" w:color="auto"/>
            </w:tcBorders>
            <w:noWrap/>
            <w:vAlign w:val="bottom"/>
            <w:hideMark/>
          </w:tcPr>
          <w:p w14:paraId="3562FDD2" w14:textId="77777777" w:rsidR="007365FF" w:rsidRPr="007365FF" w:rsidRDefault="007365FF" w:rsidP="007365FF">
            <w:pPr>
              <w:autoSpaceDE w:val="0"/>
              <w:autoSpaceDN w:val="0"/>
              <w:adjustRightInd w:val="0"/>
              <w:jc w:val="right"/>
              <w:rPr>
                <w:rFonts w:eastAsia="Calibri"/>
                <w:color w:val="000000"/>
                <w:sz w:val="20"/>
                <w:szCs w:val="20"/>
              </w:rPr>
            </w:pPr>
            <w:r w:rsidRPr="007365FF">
              <w:rPr>
                <w:rFonts w:eastAsia="Calibri"/>
                <w:color w:val="000000"/>
                <w:sz w:val="20"/>
                <w:szCs w:val="20"/>
              </w:rPr>
              <w:t>101,9</w:t>
            </w:r>
          </w:p>
        </w:tc>
        <w:tc>
          <w:tcPr>
            <w:tcW w:w="992" w:type="dxa"/>
            <w:tcBorders>
              <w:top w:val="single" w:sz="6" w:space="0" w:color="auto"/>
              <w:left w:val="single" w:sz="6" w:space="0" w:color="auto"/>
              <w:bottom w:val="single" w:sz="6" w:space="0" w:color="auto"/>
              <w:right w:val="single" w:sz="6" w:space="0" w:color="auto"/>
            </w:tcBorders>
            <w:shd w:val="solid" w:color="FFFFFF" w:fill="auto"/>
            <w:noWrap/>
            <w:vAlign w:val="bottom"/>
            <w:hideMark/>
          </w:tcPr>
          <w:p w14:paraId="31B04133" w14:textId="77777777" w:rsidR="007365FF" w:rsidRPr="007365FF" w:rsidRDefault="007365FF" w:rsidP="007365FF">
            <w:pPr>
              <w:autoSpaceDE w:val="0"/>
              <w:autoSpaceDN w:val="0"/>
              <w:adjustRightInd w:val="0"/>
              <w:jc w:val="right"/>
              <w:rPr>
                <w:rFonts w:eastAsia="Calibri"/>
                <w:color w:val="000000"/>
                <w:sz w:val="20"/>
                <w:szCs w:val="20"/>
              </w:rPr>
            </w:pPr>
            <w:r w:rsidRPr="007365FF">
              <w:rPr>
                <w:rFonts w:eastAsia="Calibri"/>
                <w:color w:val="000000"/>
                <w:sz w:val="20"/>
                <w:szCs w:val="20"/>
              </w:rPr>
              <w:t>0,06%</w:t>
            </w:r>
          </w:p>
        </w:tc>
      </w:tr>
      <w:tr w:rsidR="007365FF" w:rsidRPr="007365FF" w14:paraId="42B819FA" w14:textId="77777777" w:rsidTr="000C150D">
        <w:trPr>
          <w:trHeight w:val="58"/>
        </w:trPr>
        <w:tc>
          <w:tcPr>
            <w:tcW w:w="7915" w:type="dxa"/>
            <w:tcBorders>
              <w:top w:val="nil"/>
              <w:left w:val="single" w:sz="4" w:space="0" w:color="auto"/>
              <w:bottom w:val="single" w:sz="4" w:space="0" w:color="auto"/>
              <w:right w:val="single" w:sz="4" w:space="0" w:color="auto"/>
            </w:tcBorders>
            <w:shd w:val="clear" w:color="000000" w:fill="FFFFFF"/>
            <w:vAlign w:val="bottom"/>
            <w:hideMark/>
          </w:tcPr>
          <w:p w14:paraId="1BC0D7EE" w14:textId="77777777" w:rsidR="007365FF" w:rsidRPr="007365FF" w:rsidRDefault="007365FF" w:rsidP="007365FF">
            <w:pPr>
              <w:ind w:firstLineChars="100" w:firstLine="200"/>
              <w:rPr>
                <w:sz w:val="20"/>
                <w:szCs w:val="20"/>
                <w:lang w:val="ru-RU"/>
              </w:rPr>
            </w:pPr>
            <w:r w:rsidRPr="007365FF">
              <w:rPr>
                <w:sz w:val="20"/>
                <w:szCs w:val="20"/>
                <w:lang w:val="ru-RU"/>
              </w:rPr>
              <w:t>Подкрепа на семейства с деца до 14 г. възраст, при които родителите не могат да извършват дистанционна работа от вкъщи и нямат възможност да ползват платен отпуск</w:t>
            </w:r>
          </w:p>
        </w:tc>
        <w:tc>
          <w:tcPr>
            <w:tcW w:w="982" w:type="dxa"/>
            <w:tcBorders>
              <w:top w:val="single" w:sz="6" w:space="0" w:color="auto"/>
              <w:left w:val="single" w:sz="6" w:space="0" w:color="auto"/>
              <w:bottom w:val="single" w:sz="6" w:space="0" w:color="auto"/>
              <w:right w:val="single" w:sz="6" w:space="0" w:color="auto"/>
            </w:tcBorders>
            <w:noWrap/>
            <w:vAlign w:val="bottom"/>
            <w:hideMark/>
          </w:tcPr>
          <w:p w14:paraId="50288BAB" w14:textId="77777777" w:rsidR="007365FF" w:rsidRPr="007365FF" w:rsidRDefault="007365FF" w:rsidP="007365FF">
            <w:pPr>
              <w:autoSpaceDE w:val="0"/>
              <w:autoSpaceDN w:val="0"/>
              <w:adjustRightInd w:val="0"/>
              <w:jc w:val="right"/>
              <w:rPr>
                <w:rFonts w:eastAsia="Calibri"/>
                <w:color w:val="000000"/>
                <w:sz w:val="20"/>
                <w:szCs w:val="20"/>
              </w:rPr>
            </w:pPr>
            <w:r w:rsidRPr="007365FF">
              <w:rPr>
                <w:rFonts w:eastAsia="Calibri"/>
                <w:color w:val="000000"/>
                <w:sz w:val="20"/>
                <w:szCs w:val="20"/>
              </w:rPr>
              <w:t>14,7</w:t>
            </w:r>
          </w:p>
        </w:tc>
        <w:tc>
          <w:tcPr>
            <w:tcW w:w="992" w:type="dxa"/>
            <w:tcBorders>
              <w:top w:val="single" w:sz="6" w:space="0" w:color="auto"/>
              <w:left w:val="single" w:sz="6" w:space="0" w:color="auto"/>
              <w:bottom w:val="single" w:sz="6" w:space="0" w:color="auto"/>
              <w:right w:val="single" w:sz="6" w:space="0" w:color="auto"/>
            </w:tcBorders>
            <w:shd w:val="solid" w:color="FFFFFF" w:fill="auto"/>
            <w:noWrap/>
            <w:vAlign w:val="bottom"/>
            <w:hideMark/>
          </w:tcPr>
          <w:p w14:paraId="3E830087" w14:textId="77777777" w:rsidR="007365FF" w:rsidRPr="007365FF" w:rsidRDefault="007365FF" w:rsidP="007365FF">
            <w:pPr>
              <w:autoSpaceDE w:val="0"/>
              <w:autoSpaceDN w:val="0"/>
              <w:adjustRightInd w:val="0"/>
              <w:jc w:val="right"/>
              <w:rPr>
                <w:rFonts w:eastAsia="Calibri"/>
                <w:color w:val="000000"/>
                <w:sz w:val="20"/>
                <w:szCs w:val="20"/>
              </w:rPr>
            </w:pPr>
            <w:r w:rsidRPr="007365FF">
              <w:rPr>
                <w:rFonts w:eastAsia="Calibri"/>
                <w:color w:val="000000"/>
                <w:sz w:val="20"/>
                <w:szCs w:val="20"/>
              </w:rPr>
              <w:t>0,01%</w:t>
            </w:r>
          </w:p>
        </w:tc>
      </w:tr>
      <w:tr w:rsidR="007365FF" w:rsidRPr="007365FF" w14:paraId="28FD7E4D" w14:textId="77777777" w:rsidTr="000C150D">
        <w:trPr>
          <w:trHeight w:val="461"/>
        </w:trPr>
        <w:tc>
          <w:tcPr>
            <w:tcW w:w="7915" w:type="dxa"/>
            <w:tcBorders>
              <w:top w:val="nil"/>
              <w:left w:val="single" w:sz="4" w:space="0" w:color="auto"/>
              <w:bottom w:val="single" w:sz="4" w:space="0" w:color="auto"/>
              <w:right w:val="single" w:sz="4" w:space="0" w:color="auto"/>
            </w:tcBorders>
            <w:shd w:val="clear" w:color="000000" w:fill="FFFFFF"/>
            <w:vAlign w:val="bottom"/>
          </w:tcPr>
          <w:p w14:paraId="2BC96AFB" w14:textId="77777777" w:rsidR="007365FF" w:rsidRPr="007365FF" w:rsidRDefault="007365FF" w:rsidP="007365FF">
            <w:pPr>
              <w:ind w:firstLineChars="100" w:firstLine="200"/>
              <w:rPr>
                <w:color w:val="0070C0"/>
                <w:sz w:val="20"/>
                <w:szCs w:val="20"/>
                <w:lang w:val="ru-RU"/>
              </w:rPr>
            </w:pPr>
            <w:r w:rsidRPr="007365FF">
              <w:rPr>
                <w:sz w:val="20"/>
                <w:szCs w:val="20"/>
                <w:lang w:val="ru-RU"/>
              </w:rPr>
              <w:t>Еднократно изплащане на допълнителни суми към пенсиите в размер на 50 лв. за периода август-декември 2020 г., месец януари-септември 2021 г. и по 120 лв. на месец за периода октомври-декември 2021 г.</w:t>
            </w:r>
          </w:p>
        </w:tc>
        <w:tc>
          <w:tcPr>
            <w:tcW w:w="982" w:type="dxa"/>
            <w:tcBorders>
              <w:top w:val="single" w:sz="6" w:space="0" w:color="auto"/>
              <w:left w:val="single" w:sz="6" w:space="0" w:color="auto"/>
              <w:bottom w:val="single" w:sz="6" w:space="0" w:color="auto"/>
              <w:right w:val="single" w:sz="6" w:space="0" w:color="auto"/>
            </w:tcBorders>
            <w:noWrap/>
            <w:vAlign w:val="bottom"/>
          </w:tcPr>
          <w:p w14:paraId="6919ECE2" w14:textId="77777777" w:rsidR="007365FF" w:rsidRPr="007365FF" w:rsidRDefault="007365FF" w:rsidP="007365FF">
            <w:pPr>
              <w:autoSpaceDE w:val="0"/>
              <w:autoSpaceDN w:val="0"/>
              <w:adjustRightInd w:val="0"/>
              <w:jc w:val="right"/>
              <w:rPr>
                <w:rFonts w:eastAsia="Calibri"/>
                <w:color w:val="000000"/>
                <w:sz w:val="20"/>
                <w:szCs w:val="20"/>
              </w:rPr>
            </w:pPr>
            <w:r w:rsidRPr="007365FF">
              <w:rPr>
                <w:rFonts w:eastAsia="Calibri"/>
                <w:color w:val="000000"/>
                <w:sz w:val="20"/>
                <w:szCs w:val="20"/>
              </w:rPr>
              <w:t>15,5</w:t>
            </w:r>
          </w:p>
        </w:tc>
        <w:tc>
          <w:tcPr>
            <w:tcW w:w="992" w:type="dxa"/>
            <w:tcBorders>
              <w:top w:val="single" w:sz="6" w:space="0" w:color="auto"/>
              <w:left w:val="single" w:sz="6" w:space="0" w:color="auto"/>
              <w:bottom w:val="single" w:sz="6" w:space="0" w:color="auto"/>
              <w:right w:val="single" w:sz="6" w:space="0" w:color="auto"/>
            </w:tcBorders>
            <w:shd w:val="solid" w:color="FFFFFF" w:fill="auto"/>
            <w:noWrap/>
            <w:vAlign w:val="bottom"/>
          </w:tcPr>
          <w:p w14:paraId="22A181CE" w14:textId="77777777" w:rsidR="007365FF" w:rsidRPr="007365FF" w:rsidRDefault="007365FF" w:rsidP="007365FF">
            <w:pPr>
              <w:autoSpaceDE w:val="0"/>
              <w:autoSpaceDN w:val="0"/>
              <w:adjustRightInd w:val="0"/>
              <w:jc w:val="right"/>
              <w:rPr>
                <w:rFonts w:eastAsia="Calibri"/>
                <w:color w:val="000000"/>
                <w:sz w:val="20"/>
                <w:szCs w:val="20"/>
              </w:rPr>
            </w:pPr>
            <w:r w:rsidRPr="007365FF">
              <w:rPr>
                <w:rFonts w:eastAsia="Calibri"/>
                <w:color w:val="000000"/>
                <w:sz w:val="20"/>
                <w:szCs w:val="20"/>
              </w:rPr>
              <w:t>0,01%</w:t>
            </w:r>
          </w:p>
        </w:tc>
      </w:tr>
      <w:tr w:rsidR="007365FF" w:rsidRPr="007365FF" w14:paraId="4EADA0CF" w14:textId="77777777" w:rsidTr="000C150D">
        <w:trPr>
          <w:trHeight w:val="127"/>
        </w:trPr>
        <w:tc>
          <w:tcPr>
            <w:tcW w:w="7915" w:type="dxa"/>
            <w:tcBorders>
              <w:top w:val="nil"/>
              <w:left w:val="single" w:sz="4" w:space="0" w:color="auto"/>
              <w:bottom w:val="single" w:sz="4" w:space="0" w:color="auto"/>
              <w:right w:val="single" w:sz="4" w:space="0" w:color="auto"/>
            </w:tcBorders>
            <w:shd w:val="clear" w:color="000000" w:fill="FCE4D6"/>
            <w:vAlign w:val="center"/>
            <w:hideMark/>
          </w:tcPr>
          <w:p w14:paraId="1FE307DF" w14:textId="77777777" w:rsidR="007365FF" w:rsidRPr="007365FF" w:rsidRDefault="007365FF" w:rsidP="007365FF">
            <w:pPr>
              <w:rPr>
                <w:b/>
                <w:bCs/>
                <w:i/>
                <w:iCs/>
                <w:sz w:val="22"/>
                <w:szCs w:val="22"/>
                <w:lang w:val="ru-RU"/>
              </w:rPr>
            </w:pPr>
            <w:r w:rsidRPr="007365FF">
              <w:rPr>
                <w:b/>
                <w:bCs/>
                <w:i/>
                <w:iCs/>
                <w:sz w:val="22"/>
                <w:szCs w:val="22"/>
                <w:lang w:val="ru-RU"/>
              </w:rPr>
              <w:t xml:space="preserve">     Б. Мерки за подкрепа на бизнеса</w:t>
            </w:r>
          </w:p>
        </w:tc>
        <w:tc>
          <w:tcPr>
            <w:tcW w:w="982" w:type="dxa"/>
            <w:tcBorders>
              <w:top w:val="nil"/>
              <w:left w:val="nil"/>
              <w:bottom w:val="single" w:sz="4" w:space="0" w:color="auto"/>
              <w:right w:val="single" w:sz="4" w:space="0" w:color="auto"/>
            </w:tcBorders>
            <w:shd w:val="clear" w:color="000000" w:fill="FCE4D6"/>
            <w:noWrap/>
            <w:hideMark/>
          </w:tcPr>
          <w:p w14:paraId="63B1BCD1" w14:textId="77777777" w:rsidR="007365FF" w:rsidRPr="007365FF" w:rsidRDefault="007365FF" w:rsidP="007365FF">
            <w:pPr>
              <w:jc w:val="right"/>
              <w:rPr>
                <w:b/>
                <w:sz w:val="22"/>
                <w:szCs w:val="22"/>
              </w:rPr>
            </w:pPr>
            <w:r w:rsidRPr="007365FF">
              <w:rPr>
                <w:b/>
                <w:sz w:val="22"/>
                <w:szCs w:val="22"/>
              </w:rPr>
              <w:t>351,0</w:t>
            </w:r>
          </w:p>
        </w:tc>
        <w:tc>
          <w:tcPr>
            <w:tcW w:w="992" w:type="dxa"/>
            <w:tcBorders>
              <w:top w:val="nil"/>
              <w:left w:val="nil"/>
              <w:bottom w:val="single" w:sz="4" w:space="0" w:color="auto"/>
              <w:right w:val="single" w:sz="4" w:space="0" w:color="auto"/>
            </w:tcBorders>
            <w:shd w:val="clear" w:color="000000" w:fill="FCE4D6"/>
            <w:noWrap/>
            <w:hideMark/>
          </w:tcPr>
          <w:p w14:paraId="34A590B8" w14:textId="77777777" w:rsidR="007365FF" w:rsidRPr="007365FF" w:rsidRDefault="007365FF" w:rsidP="007365FF">
            <w:pPr>
              <w:jc w:val="right"/>
              <w:rPr>
                <w:b/>
                <w:sz w:val="22"/>
                <w:szCs w:val="22"/>
              </w:rPr>
            </w:pPr>
            <w:r w:rsidRPr="007365FF">
              <w:rPr>
                <w:b/>
                <w:sz w:val="22"/>
                <w:szCs w:val="22"/>
              </w:rPr>
              <w:t>0,22%</w:t>
            </w:r>
          </w:p>
        </w:tc>
      </w:tr>
      <w:tr w:rsidR="007365FF" w:rsidRPr="007365FF" w14:paraId="76BFAD2C" w14:textId="77777777" w:rsidTr="000C150D">
        <w:trPr>
          <w:trHeight w:val="145"/>
        </w:trPr>
        <w:tc>
          <w:tcPr>
            <w:tcW w:w="7915" w:type="dxa"/>
            <w:tcBorders>
              <w:top w:val="nil"/>
              <w:left w:val="single" w:sz="4" w:space="0" w:color="auto"/>
              <w:bottom w:val="single" w:sz="4" w:space="0" w:color="auto"/>
              <w:right w:val="single" w:sz="4" w:space="0" w:color="auto"/>
            </w:tcBorders>
            <w:shd w:val="clear" w:color="000000" w:fill="FFFFFF"/>
            <w:vAlign w:val="center"/>
            <w:hideMark/>
          </w:tcPr>
          <w:p w14:paraId="75FF075A" w14:textId="77777777" w:rsidR="007365FF" w:rsidRPr="007365FF" w:rsidRDefault="007365FF" w:rsidP="007365FF">
            <w:pPr>
              <w:ind w:firstLineChars="100" w:firstLine="180"/>
              <w:rPr>
                <w:sz w:val="18"/>
                <w:szCs w:val="18"/>
                <w:lang w:val="en-US"/>
              </w:rPr>
            </w:pPr>
            <w:proofErr w:type="spellStart"/>
            <w:r w:rsidRPr="007365FF">
              <w:rPr>
                <w:sz w:val="18"/>
                <w:szCs w:val="18"/>
                <w:lang w:val="en-US"/>
              </w:rPr>
              <w:t>от</w:t>
            </w:r>
            <w:proofErr w:type="spellEnd"/>
            <w:r w:rsidRPr="007365FF">
              <w:rPr>
                <w:sz w:val="18"/>
                <w:szCs w:val="18"/>
                <w:lang w:val="en-US"/>
              </w:rPr>
              <w:t xml:space="preserve"> </w:t>
            </w:r>
            <w:proofErr w:type="spellStart"/>
            <w:r w:rsidRPr="007365FF">
              <w:rPr>
                <w:sz w:val="18"/>
                <w:szCs w:val="18"/>
                <w:lang w:val="en-US"/>
              </w:rPr>
              <w:t>тях</w:t>
            </w:r>
            <w:proofErr w:type="spellEnd"/>
            <w:r w:rsidRPr="007365FF">
              <w:rPr>
                <w:sz w:val="18"/>
                <w:szCs w:val="18"/>
                <w:lang w:val="en-US"/>
              </w:rPr>
              <w:t>:</w:t>
            </w:r>
          </w:p>
        </w:tc>
        <w:tc>
          <w:tcPr>
            <w:tcW w:w="982" w:type="dxa"/>
            <w:tcBorders>
              <w:top w:val="nil"/>
              <w:left w:val="nil"/>
              <w:bottom w:val="single" w:sz="4" w:space="0" w:color="auto"/>
              <w:right w:val="single" w:sz="4" w:space="0" w:color="auto"/>
            </w:tcBorders>
            <w:shd w:val="clear" w:color="auto" w:fill="auto"/>
            <w:noWrap/>
            <w:hideMark/>
          </w:tcPr>
          <w:p w14:paraId="53CA05F3" w14:textId="77777777" w:rsidR="007365FF" w:rsidRPr="007365FF" w:rsidRDefault="007365FF" w:rsidP="007365FF"/>
        </w:tc>
        <w:tc>
          <w:tcPr>
            <w:tcW w:w="992" w:type="dxa"/>
            <w:tcBorders>
              <w:top w:val="nil"/>
              <w:left w:val="nil"/>
              <w:bottom w:val="single" w:sz="4" w:space="0" w:color="auto"/>
              <w:right w:val="single" w:sz="4" w:space="0" w:color="auto"/>
            </w:tcBorders>
            <w:shd w:val="clear" w:color="000000" w:fill="FFFFFF"/>
            <w:noWrap/>
            <w:hideMark/>
          </w:tcPr>
          <w:p w14:paraId="085317AB" w14:textId="77777777" w:rsidR="007365FF" w:rsidRPr="007365FF" w:rsidRDefault="007365FF" w:rsidP="007365FF"/>
        </w:tc>
      </w:tr>
      <w:tr w:rsidR="007365FF" w:rsidRPr="007365FF" w14:paraId="1A07D67E" w14:textId="77777777" w:rsidTr="000C150D">
        <w:trPr>
          <w:trHeight w:val="58"/>
        </w:trPr>
        <w:tc>
          <w:tcPr>
            <w:tcW w:w="7915" w:type="dxa"/>
            <w:tcBorders>
              <w:top w:val="nil"/>
              <w:left w:val="single" w:sz="4" w:space="0" w:color="auto"/>
              <w:bottom w:val="single" w:sz="4" w:space="0" w:color="auto"/>
              <w:right w:val="single" w:sz="4" w:space="0" w:color="auto"/>
            </w:tcBorders>
            <w:shd w:val="clear" w:color="000000" w:fill="FFFFFF"/>
            <w:vAlign w:val="center"/>
            <w:hideMark/>
          </w:tcPr>
          <w:p w14:paraId="326357B6" w14:textId="77777777" w:rsidR="007365FF" w:rsidRPr="007365FF" w:rsidRDefault="007365FF" w:rsidP="007365FF">
            <w:pPr>
              <w:ind w:firstLineChars="100" w:firstLine="200"/>
              <w:rPr>
                <w:sz w:val="20"/>
                <w:szCs w:val="20"/>
                <w:lang w:val="ru-RU"/>
              </w:rPr>
            </w:pPr>
            <w:r w:rsidRPr="007365FF">
              <w:rPr>
                <w:sz w:val="20"/>
                <w:szCs w:val="20"/>
                <w:lang w:val="ru-RU"/>
              </w:rPr>
              <w:t xml:space="preserve">Разходи за подпомагане на бизнеса и програми за заетост </w:t>
            </w:r>
          </w:p>
        </w:tc>
        <w:tc>
          <w:tcPr>
            <w:tcW w:w="982" w:type="dxa"/>
            <w:tcBorders>
              <w:top w:val="nil"/>
              <w:left w:val="nil"/>
              <w:bottom w:val="single" w:sz="4" w:space="0" w:color="auto"/>
              <w:right w:val="single" w:sz="4" w:space="0" w:color="auto"/>
            </w:tcBorders>
            <w:shd w:val="clear" w:color="auto" w:fill="auto"/>
            <w:noWrap/>
            <w:vAlign w:val="bottom"/>
            <w:hideMark/>
          </w:tcPr>
          <w:p w14:paraId="2828BC28" w14:textId="77777777" w:rsidR="007365FF" w:rsidRPr="007365FF" w:rsidRDefault="007365FF" w:rsidP="007365FF">
            <w:pPr>
              <w:jc w:val="right"/>
              <w:rPr>
                <w:sz w:val="20"/>
                <w:szCs w:val="20"/>
              </w:rPr>
            </w:pPr>
            <w:r w:rsidRPr="007365FF">
              <w:rPr>
                <w:sz w:val="20"/>
                <w:szCs w:val="20"/>
              </w:rPr>
              <w:t>162,1</w:t>
            </w:r>
          </w:p>
        </w:tc>
        <w:tc>
          <w:tcPr>
            <w:tcW w:w="992" w:type="dxa"/>
            <w:tcBorders>
              <w:top w:val="nil"/>
              <w:left w:val="nil"/>
              <w:bottom w:val="single" w:sz="4" w:space="0" w:color="auto"/>
              <w:right w:val="single" w:sz="4" w:space="0" w:color="auto"/>
            </w:tcBorders>
            <w:shd w:val="clear" w:color="000000" w:fill="FFFFFF"/>
            <w:noWrap/>
            <w:vAlign w:val="bottom"/>
            <w:hideMark/>
          </w:tcPr>
          <w:p w14:paraId="3DC7189B" w14:textId="77777777" w:rsidR="007365FF" w:rsidRPr="007365FF" w:rsidRDefault="007365FF" w:rsidP="007365FF">
            <w:pPr>
              <w:jc w:val="right"/>
              <w:rPr>
                <w:sz w:val="20"/>
                <w:szCs w:val="20"/>
              </w:rPr>
            </w:pPr>
            <w:r w:rsidRPr="007365FF">
              <w:rPr>
                <w:sz w:val="20"/>
                <w:szCs w:val="20"/>
              </w:rPr>
              <w:t>0,10%</w:t>
            </w:r>
          </w:p>
        </w:tc>
      </w:tr>
      <w:tr w:rsidR="007365FF" w:rsidRPr="007365FF" w14:paraId="3E495CA5" w14:textId="77777777" w:rsidTr="000C150D">
        <w:trPr>
          <w:trHeight w:val="251"/>
        </w:trPr>
        <w:tc>
          <w:tcPr>
            <w:tcW w:w="7915" w:type="dxa"/>
            <w:tcBorders>
              <w:top w:val="nil"/>
              <w:left w:val="single" w:sz="4" w:space="0" w:color="auto"/>
              <w:bottom w:val="single" w:sz="4" w:space="0" w:color="auto"/>
              <w:right w:val="single" w:sz="4" w:space="0" w:color="auto"/>
            </w:tcBorders>
            <w:shd w:val="clear" w:color="000000" w:fill="FFFFFF"/>
            <w:vAlign w:val="center"/>
            <w:hideMark/>
          </w:tcPr>
          <w:p w14:paraId="39BC4DA1" w14:textId="77777777" w:rsidR="007365FF" w:rsidRPr="007365FF" w:rsidRDefault="007365FF" w:rsidP="007365FF">
            <w:pPr>
              <w:ind w:firstLineChars="100" w:firstLine="200"/>
              <w:rPr>
                <w:sz w:val="20"/>
                <w:szCs w:val="20"/>
                <w:lang w:val="ru-RU"/>
              </w:rPr>
            </w:pPr>
            <w:r w:rsidRPr="007365FF">
              <w:rPr>
                <w:sz w:val="20"/>
                <w:szCs w:val="20"/>
                <w:lang w:val="ru-RU"/>
              </w:rPr>
              <w:t>Допълнителни разходи по бюджета на ДФ „Земеделие“ за подпомагане на засегнатите от негативните ефекти от пандемията земеделски стопани</w:t>
            </w:r>
          </w:p>
        </w:tc>
        <w:tc>
          <w:tcPr>
            <w:tcW w:w="982" w:type="dxa"/>
            <w:tcBorders>
              <w:top w:val="nil"/>
              <w:left w:val="nil"/>
              <w:bottom w:val="single" w:sz="4" w:space="0" w:color="auto"/>
              <w:right w:val="single" w:sz="4" w:space="0" w:color="auto"/>
            </w:tcBorders>
            <w:shd w:val="clear" w:color="auto" w:fill="auto"/>
            <w:noWrap/>
            <w:vAlign w:val="bottom"/>
            <w:hideMark/>
          </w:tcPr>
          <w:p w14:paraId="07FAF9A0" w14:textId="77777777" w:rsidR="007365FF" w:rsidRPr="007365FF" w:rsidRDefault="007365FF" w:rsidP="007365FF">
            <w:pPr>
              <w:jc w:val="right"/>
              <w:rPr>
                <w:sz w:val="20"/>
                <w:szCs w:val="20"/>
              </w:rPr>
            </w:pPr>
            <w:r w:rsidRPr="007365FF">
              <w:rPr>
                <w:sz w:val="20"/>
                <w:szCs w:val="20"/>
              </w:rPr>
              <w:t>143,5</w:t>
            </w:r>
          </w:p>
        </w:tc>
        <w:tc>
          <w:tcPr>
            <w:tcW w:w="992" w:type="dxa"/>
            <w:tcBorders>
              <w:top w:val="nil"/>
              <w:left w:val="nil"/>
              <w:bottom w:val="single" w:sz="4" w:space="0" w:color="auto"/>
              <w:right w:val="single" w:sz="4" w:space="0" w:color="auto"/>
            </w:tcBorders>
            <w:shd w:val="clear" w:color="000000" w:fill="FFFFFF"/>
            <w:noWrap/>
            <w:vAlign w:val="bottom"/>
            <w:hideMark/>
          </w:tcPr>
          <w:p w14:paraId="42472453" w14:textId="77777777" w:rsidR="007365FF" w:rsidRPr="007365FF" w:rsidRDefault="007365FF" w:rsidP="007365FF">
            <w:pPr>
              <w:jc w:val="right"/>
              <w:rPr>
                <w:sz w:val="20"/>
                <w:szCs w:val="20"/>
              </w:rPr>
            </w:pPr>
            <w:r w:rsidRPr="007365FF">
              <w:rPr>
                <w:sz w:val="20"/>
                <w:szCs w:val="20"/>
              </w:rPr>
              <w:t>0,09%</w:t>
            </w:r>
          </w:p>
        </w:tc>
      </w:tr>
      <w:tr w:rsidR="007365FF" w:rsidRPr="007365FF" w14:paraId="167C186D" w14:textId="77777777" w:rsidTr="000C150D">
        <w:trPr>
          <w:trHeight w:val="215"/>
        </w:trPr>
        <w:tc>
          <w:tcPr>
            <w:tcW w:w="7915" w:type="dxa"/>
            <w:tcBorders>
              <w:top w:val="nil"/>
              <w:left w:val="single" w:sz="4" w:space="0" w:color="auto"/>
              <w:bottom w:val="single" w:sz="4" w:space="0" w:color="auto"/>
              <w:right w:val="single" w:sz="4" w:space="0" w:color="auto"/>
            </w:tcBorders>
            <w:shd w:val="clear" w:color="000000" w:fill="FFFFFF"/>
            <w:vAlign w:val="bottom"/>
            <w:hideMark/>
          </w:tcPr>
          <w:p w14:paraId="1F73ED47" w14:textId="77777777" w:rsidR="007365FF" w:rsidRPr="007365FF" w:rsidRDefault="007365FF" w:rsidP="007365FF">
            <w:pPr>
              <w:ind w:firstLineChars="100" w:firstLine="200"/>
              <w:rPr>
                <w:sz w:val="20"/>
                <w:szCs w:val="20"/>
                <w:lang w:val="ru-RU"/>
              </w:rPr>
            </w:pPr>
            <w:r w:rsidRPr="007365FF">
              <w:rPr>
                <w:sz w:val="20"/>
                <w:szCs w:val="20"/>
                <w:lang w:val="ru-RU"/>
              </w:rPr>
              <w:t>Финансова подкрепа в областта на културата и изкуствата в условията на обявена извънредна епидемична обстановка</w:t>
            </w:r>
          </w:p>
        </w:tc>
        <w:tc>
          <w:tcPr>
            <w:tcW w:w="982" w:type="dxa"/>
            <w:tcBorders>
              <w:top w:val="nil"/>
              <w:left w:val="nil"/>
              <w:bottom w:val="single" w:sz="4" w:space="0" w:color="auto"/>
              <w:right w:val="single" w:sz="4" w:space="0" w:color="auto"/>
            </w:tcBorders>
            <w:shd w:val="clear" w:color="auto" w:fill="auto"/>
            <w:noWrap/>
            <w:vAlign w:val="bottom"/>
            <w:hideMark/>
          </w:tcPr>
          <w:p w14:paraId="3D626D46" w14:textId="77777777" w:rsidR="007365FF" w:rsidRPr="007365FF" w:rsidRDefault="007365FF" w:rsidP="007365FF">
            <w:pPr>
              <w:jc w:val="right"/>
              <w:rPr>
                <w:sz w:val="20"/>
                <w:szCs w:val="20"/>
              </w:rPr>
            </w:pPr>
            <w:r w:rsidRPr="007365FF">
              <w:rPr>
                <w:sz w:val="20"/>
                <w:szCs w:val="20"/>
              </w:rPr>
              <w:t>35,8</w:t>
            </w:r>
          </w:p>
        </w:tc>
        <w:tc>
          <w:tcPr>
            <w:tcW w:w="992" w:type="dxa"/>
            <w:tcBorders>
              <w:top w:val="nil"/>
              <w:left w:val="nil"/>
              <w:bottom w:val="single" w:sz="4" w:space="0" w:color="auto"/>
              <w:right w:val="single" w:sz="4" w:space="0" w:color="auto"/>
            </w:tcBorders>
            <w:shd w:val="clear" w:color="000000" w:fill="FFFFFF"/>
            <w:noWrap/>
            <w:vAlign w:val="bottom"/>
            <w:hideMark/>
          </w:tcPr>
          <w:p w14:paraId="0406DDEA" w14:textId="77777777" w:rsidR="007365FF" w:rsidRPr="007365FF" w:rsidRDefault="007365FF" w:rsidP="007365FF">
            <w:pPr>
              <w:jc w:val="right"/>
              <w:rPr>
                <w:sz w:val="20"/>
                <w:szCs w:val="20"/>
              </w:rPr>
            </w:pPr>
            <w:r w:rsidRPr="007365FF">
              <w:rPr>
                <w:sz w:val="20"/>
                <w:szCs w:val="20"/>
              </w:rPr>
              <w:t>0,02%</w:t>
            </w:r>
          </w:p>
        </w:tc>
      </w:tr>
      <w:tr w:rsidR="007365FF" w:rsidRPr="007365FF" w14:paraId="3A4308F5" w14:textId="77777777" w:rsidTr="000C150D">
        <w:trPr>
          <w:trHeight w:val="215"/>
        </w:trPr>
        <w:tc>
          <w:tcPr>
            <w:tcW w:w="7915" w:type="dxa"/>
            <w:tcBorders>
              <w:top w:val="nil"/>
              <w:left w:val="single" w:sz="4" w:space="0" w:color="auto"/>
              <w:bottom w:val="single" w:sz="4" w:space="0" w:color="auto"/>
              <w:right w:val="single" w:sz="4" w:space="0" w:color="auto"/>
            </w:tcBorders>
            <w:shd w:val="clear" w:color="000000" w:fill="FFFFFF"/>
            <w:vAlign w:val="bottom"/>
          </w:tcPr>
          <w:p w14:paraId="31C1CCD7" w14:textId="77777777" w:rsidR="007365FF" w:rsidRPr="007365FF" w:rsidRDefault="007365FF" w:rsidP="007365FF">
            <w:pPr>
              <w:ind w:firstLineChars="100" w:firstLine="200"/>
              <w:rPr>
                <w:sz w:val="20"/>
                <w:szCs w:val="20"/>
                <w:lang w:val="ru-RU"/>
              </w:rPr>
            </w:pPr>
            <w:r w:rsidRPr="007365FF">
              <w:rPr>
                <w:sz w:val="20"/>
                <w:szCs w:val="20"/>
                <w:lang w:val="ru-RU"/>
              </w:rPr>
              <w:t>Субсидии за туроператори, които използват въздушни превозвачи с валиден оперативен лиценз за изпълнение на чартърни полети до Република България с цел</w:t>
            </w:r>
          </w:p>
        </w:tc>
        <w:tc>
          <w:tcPr>
            <w:tcW w:w="982" w:type="dxa"/>
            <w:tcBorders>
              <w:top w:val="nil"/>
              <w:left w:val="nil"/>
              <w:bottom w:val="single" w:sz="4" w:space="0" w:color="auto"/>
              <w:right w:val="single" w:sz="4" w:space="0" w:color="auto"/>
            </w:tcBorders>
            <w:shd w:val="clear" w:color="auto" w:fill="auto"/>
            <w:noWrap/>
            <w:vAlign w:val="bottom"/>
          </w:tcPr>
          <w:p w14:paraId="72DC1344" w14:textId="77777777" w:rsidR="007365FF" w:rsidRPr="007365FF" w:rsidRDefault="007365FF" w:rsidP="007365FF">
            <w:pPr>
              <w:jc w:val="right"/>
              <w:rPr>
                <w:sz w:val="20"/>
                <w:szCs w:val="20"/>
              </w:rPr>
            </w:pPr>
            <w:r w:rsidRPr="007365FF">
              <w:rPr>
                <w:sz w:val="20"/>
                <w:szCs w:val="20"/>
              </w:rPr>
              <w:t>9,6</w:t>
            </w:r>
          </w:p>
        </w:tc>
        <w:tc>
          <w:tcPr>
            <w:tcW w:w="992" w:type="dxa"/>
            <w:tcBorders>
              <w:top w:val="nil"/>
              <w:left w:val="nil"/>
              <w:bottom w:val="single" w:sz="4" w:space="0" w:color="auto"/>
              <w:right w:val="single" w:sz="4" w:space="0" w:color="auto"/>
            </w:tcBorders>
            <w:shd w:val="clear" w:color="000000" w:fill="FFFFFF"/>
            <w:noWrap/>
            <w:vAlign w:val="bottom"/>
          </w:tcPr>
          <w:p w14:paraId="7FDC1C9F" w14:textId="77777777" w:rsidR="007365FF" w:rsidRPr="007365FF" w:rsidRDefault="007365FF" w:rsidP="007365FF">
            <w:pPr>
              <w:jc w:val="right"/>
              <w:rPr>
                <w:sz w:val="20"/>
                <w:szCs w:val="20"/>
              </w:rPr>
            </w:pPr>
            <w:r w:rsidRPr="007365FF">
              <w:rPr>
                <w:sz w:val="20"/>
                <w:szCs w:val="20"/>
              </w:rPr>
              <w:t>0,01%</w:t>
            </w:r>
          </w:p>
        </w:tc>
      </w:tr>
      <w:tr w:rsidR="007365FF" w:rsidRPr="007365FF" w14:paraId="6714ECD5" w14:textId="77777777" w:rsidTr="000C150D">
        <w:trPr>
          <w:trHeight w:val="307"/>
        </w:trPr>
        <w:tc>
          <w:tcPr>
            <w:tcW w:w="7915" w:type="dxa"/>
            <w:tcBorders>
              <w:top w:val="nil"/>
              <w:left w:val="single" w:sz="4" w:space="0" w:color="auto"/>
              <w:bottom w:val="single" w:sz="4" w:space="0" w:color="auto"/>
              <w:right w:val="single" w:sz="4" w:space="0" w:color="auto"/>
            </w:tcBorders>
            <w:shd w:val="clear" w:color="000000" w:fill="FCE4D6"/>
            <w:vAlign w:val="center"/>
            <w:hideMark/>
          </w:tcPr>
          <w:p w14:paraId="38BB68F5" w14:textId="77777777" w:rsidR="007365FF" w:rsidRPr="007365FF" w:rsidRDefault="007365FF" w:rsidP="007365FF">
            <w:pPr>
              <w:rPr>
                <w:b/>
                <w:bCs/>
                <w:i/>
                <w:iCs/>
                <w:color w:val="0070C0"/>
                <w:sz w:val="22"/>
                <w:szCs w:val="22"/>
                <w:lang w:val="ru-RU"/>
              </w:rPr>
            </w:pPr>
            <w:r w:rsidRPr="007365FF">
              <w:rPr>
                <w:b/>
                <w:bCs/>
                <w:i/>
                <w:iCs/>
                <w:color w:val="0070C0"/>
                <w:sz w:val="22"/>
                <w:szCs w:val="22"/>
                <w:lang w:val="ru-RU"/>
              </w:rPr>
              <w:t xml:space="preserve">     </w:t>
            </w:r>
            <w:r w:rsidRPr="007365FF">
              <w:rPr>
                <w:b/>
                <w:bCs/>
                <w:i/>
                <w:iCs/>
                <w:sz w:val="22"/>
                <w:szCs w:val="22"/>
                <w:lang w:val="ru-RU"/>
              </w:rPr>
              <w:t xml:space="preserve">В. Мерки за органите на държавното управление, натоварени с дейности по овладяване на пандемията и последствията от </w:t>
            </w:r>
            <w:r w:rsidRPr="007365FF">
              <w:rPr>
                <w:b/>
                <w:bCs/>
                <w:i/>
                <w:iCs/>
                <w:sz w:val="22"/>
                <w:szCs w:val="22"/>
                <w:lang w:val="en-US"/>
              </w:rPr>
              <w:t>COVID</w:t>
            </w:r>
            <w:r w:rsidRPr="007365FF">
              <w:rPr>
                <w:b/>
                <w:bCs/>
                <w:i/>
                <w:iCs/>
                <w:sz w:val="22"/>
                <w:szCs w:val="22"/>
                <w:lang w:val="ru-RU"/>
              </w:rPr>
              <w:t>-19</w:t>
            </w:r>
          </w:p>
        </w:tc>
        <w:tc>
          <w:tcPr>
            <w:tcW w:w="982" w:type="dxa"/>
            <w:tcBorders>
              <w:top w:val="nil"/>
              <w:left w:val="nil"/>
              <w:bottom w:val="single" w:sz="4" w:space="0" w:color="auto"/>
              <w:right w:val="single" w:sz="4" w:space="0" w:color="auto"/>
            </w:tcBorders>
            <w:shd w:val="clear" w:color="000000" w:fill="FCE4D6"/>
            <w:noWrap/>
            <w:vAlign w:val="bottom"/>
            <w:hideMark/>
          </w:tcPr>
          <w:p w14:paraId="08B66390" w14:textId="77777777" w:rsidR="007365FF" w:rsidRPr="007365FF" w:rsidRDefault="007365FF" w:rsidP="007365FF">
            <w:pPr>
              <w:jc w:val="right"/>
              <w:rPr>
                <w:b/>
                <w:sz w:val="22"/>
                <w:szCs w:val="22"/>
              </w:rPr>
            </w:pPr>
            <w:r w:rsidRPr="007365FF">
              <w:rPr>
                <w:b/>
                <w:sz w:val="22"/>
                <w:szCs w:val="22"/>
              </w:rPr>
              <w:t>747,2</w:t>
            </w:r>
          </w:p>
        </w:tc>
        <w:tc>
          <w:tcPr>
            <w:tcW w:w="992" w:type="dxa"/>
            <w:tcBorders>
              <w:top w:val="nil"/>
              <w:left w:val="nil"/>
              <w:bottom w:val="single" w:sz="4" w:space="0" w:color="auto"/>
              <w:right w:val="single" w:sz="4" w:space="0" w:color="auto"/>
            </w:tcBorders>
            <w:shd w:val="clear" w:color="000000" w:fill="FCE4D6"/>
            <w:noWrap/>
            <w:vAlign w:val="bottom"/>
            <w:hideMark/>
          </w:tcPr>
          <w:p w14:paraId="581635A5" w14:textId="77777777" w:rsidR="007365FF" w:rsidRPr="007365FF" w:rsidRDefault="007365FF" w:rsidP="007365FF">
            <w:pPr>
              <w:jc w:val="right"/>
              <w:rPr>
                <w:b/>
                <w:sz w:val="22"/>
                <w:szCs w:val="22"/>
              </w:rPr>
            </w:pPr>
            <w:r w:rsidRPr="007365FF">
              <w:rPr>
                <w:b/>
                <w:sz w:val="22"/>
                <w:szCs w:val="22"/>
              </w:rPr>
              <w:t>0,46%</w:t>
            </w:r>
          </w:p>
        </w:tc>
      </w:tr>
      <w:tr w:rsidR="007365FF" w:rsidRPr="007365FF" w14:paraId="36A08B6D" w14:textId="77777777" w:rsidTr="000C150D">
        <w:trPr>
          <w:trHeight w:val="58"/>
        </w:trPr>
        <w:tc>
          <w:tcPr>
            <w:tcW w:w="7915" w:type="dxa"/>
            <w:tcBorders>
              <w:top w:val="nil"/>
              <w:left w:val="single" w:sz="4" w:space="0" w:color="auto"/>
              <w:bottom w:val="single" w:sz="4" w:space="0" w:color="auto"/>
              <w:right w:val="single" w:sz="4" w:space="0" w:color="auto"/>
            </w:tcBorders>
            <w:shd w:val="clear" w:color="000000" w:fill="FFFFFF"/>
            <w:vAlign w:val="center"/>
            <w:hideMark/>
          </w:tcPr>
          <w:p w14:paraId="28CE84D1" w14:textId="77777777" w:rsidR="007365FF" w:rsidRPr="007365FF" w:rsidRDefault="007365FF" w:rsidP="007365FF">
            <w:pPr>
              <w:ind w:firstLineChars="100" w:firstLine="180"/>
              <w:rPr>
                <w:color w:val="0070C0"/>
                <w:sz w:val="18"/>
                <w:szCs w:val="18"/>
                <w:lang w:val="en-US"/>
              </w:rPr>
            </w:pPr>
            <w:proofErr w:type="spellStart"/>
            <w:r w:rsidRPr="007365FF">
              <w:rPr>
                <w:sz w:val="18"/>
                <w:szCs w:val="18"/>
                <w:lang w:val="en-US"/>
              </w:rPr>
              <w:t>от</w:t>
            </w:r>
            <w:proofErr w:type="spellEnd"/>
            <w:r w:rsidRPr="007365FF">
              <w:rPr>
                <w:sz w:val="18"/>
                <w:szCs w:val="18"/>
                <w:lang w:val="en-US"/>
              </w:rPr>
              <w:t xml:space="preserve"> </w:t>
            </w:r>
            <w:proofErr w:type="spellStart"/>
            <w:r w:rsidRPr="007365FF">
              <w:rPr>
                <w:sz w:val="18"/>
                <w:szCs w:val="18"/>
                <w:lang w:val="en-US"/>
              </w:rPr>
              <w:t>тях</w:t>
            </w:r>
            <w:proofErr w:type="spellEnd"/>
            <w:r w:rsidRPr="007365FF">
              <w:rPr>
                <w:sz w:val="18"/>
                <w:szCs w:val="18"/>
                <w:lang w:val="en-US"/>
              </w:rPr>
              <w:t>:</w:t>
            </w:r>
          </w:p>
        </w:tc>
        <w:tc>
          <w:tcPr>
            <w:tcW w:w="982" w:type="dxa"/>
            <w:tcBorders>
              <w:top w:val="nil"/>
              <w:left w:val="nil"/>
              <w:bottom w:val="single" w:sz="4" w:space="0" w:color="auto"/>
              <w:right w:val="single" w:sz="4" w:space="0" w:color="auto"/>
            </w:tcBorders>
            <w:shd w:val="clear" w:color="auto" w:fill="auto"/>
            <w:noWrap/>
            <w:vAlign w:val="bottom"/>
            <w:hideMark/>
          </w:tcPr>
          <w:p w14:paraId="15CA0CD0" w14:textId="77777777" w:rsidR="007365FF" w:rsidRPr="007365FF" w:rsidRDefault="007365FF" w:rsidP="007365FF"/>
        </w:tc>
        <w:tc>
          <w:tcPr>
            <w:tcW w:w="992" w:type="dxa"/>
            <w:tcBorders>
              <w:top w:val="nil"/>
              <w:left w:val="nil"/>
              <w:bottom w:val="single" w:sz="4" w:space="0" w:color="auto"/>
              <w:right w:val="single" w:sz="4" w:space="0" w:color="auto"/>
            </w:tcBorders>
            <w:shd w:val="clear" w:color="000000" w:fill="FFFFFF"/>
            <w:noWrap/>
            <w:vAlign w:val="bottom"/>
            <w:hideMark/>
          </w:tcPr>
          <w:p w14:paraId="035A3499" w14:textId="77777777" w:rsidR="007365FF" w:rsidRPr="007365FF" w:rsidRDefault="007365FF" w:rsidP="007365FF"/>
        </w:tc>
      </w:tr>
      <w:tr w:rsidR="007365FF" w:rsidRPr="007365FF" w14:paraId="13B17B50" w14:textId="77777777" w:rsidTr="000C150D">
        <w:trPr>
          <w:trHeight w:val="289"/>
        </w:trPr>
        <w:tc>
          <w:tcPr>
            <w:tcW w:w="7915" w:type="dxa"/>
            <w:tcBorders>
              <w:top w:val="nil"/>
              <w:left w:val="single" w:sz="4" w:space="0" w:color="auto"/>
              <w:bottom w:val="single" w:sz="4" w:space="0" w:color="auto"/>
              <w:right w:val="single" w:sz="4" w:space="0" w:color="auto"/>
            </w:tcBorders>
            <w:shd w:val="clear" w:color="000000" w:fill="FFFFFF"/>
            <w:vAlign w:val="center"/>
            <w:hideMark/>
          </w:tcPr>
          <w:p w14:paraId="4811B721" w14:textId="77777777" w:rsidR="007365FF" w:rsidRPr="007365FF" w:rsidRDefault="007365FF" w:rsidP="007365FF">
            <w:pPr>
              <w:ind w:firstLineChars="100" w:firstLine="200"/>
              <w:rPr>
                <w:sz w:val="20"/>
                <w:szCs w:val="20"/>
                <w:lang w:val="ru-RU"/>
              </w:rPr>
            </w:pPr>
            <w:r w:rsidRPr="007365FF">
              <w:rPr>
                <w:sz w:val="20"/>
                <w:szCs w:val="20"/>
                <w:lang w:val="ru-RU"/>
              </w:rPr>
              <w:t xml:space="preserve">Подкрепа на персонала на първа линия, пряко ангажиран с дейности по предотвратяване разпространението на </w:t>
            </w:r>
            <w:r w:rsidRPr="007365FF">
              <w:rPr>
                <w:sz w:val="20"/>
                <w:szCs w:val="20"/>
                <w:lang w:val="en-US"/>
              </w:rPr>
              <w:t>COVID</w:t>
            </w:r>
            <w:r w:rsidRPr="007365FF">
              <w:rPr>
                <w:sz w:val="20"/>
                <w:szCs w:val="20"/>
                <w:lang w:val="ru-RU"/>
              </w:rPr>
              <w:t xml:space="preserve">-19, вкл. за поставяне на ваксини </w:t>
            </w:r>
          </w:p>
        </w:tc>
        <w:tc>
          <w:tcPr>
            <w:tcW w:w="982" w:type="dxa"/>
            <w:tcBorders>
              <w:top w:val="nil"/>
              <w:left w:val="nil"/>
              <w:bottom w:val="single" w:sz="4" w:space="0" w:color="auto"/>
              <w:right w:val="single" w:sz="4" w:space="0" w:color="auto"/>
            </w:tcBorders>
            <w:shd w:val="clear" w:color="auto" w:fill="auto"/>
            <w:noWrap/>
            <w:vAlign w:val="bottom"/>
            <w:hideMark/>
          </w:tcPr>
          <w:p w14:paraId="6AAB415B" w14:textId="77777777" w:rsidR="007365FF" w:rsidRPr="007365FF" w:rsidRDefault="007365FF" w:rsidP="007365FF">
            <w:pPr>
              <w:jc w:val="right"/>
              <w:rPr>
                <w:sz w:val="20"/>
                <w:szCs w:val="20"/>
              </w:rPr>
            </w:pPr>
            <w:r w:rsidRPr="007365FF">
              <w:rPr>
                <w:sz w:val="20"/>
                <w:szCs w:val="20"/>
              </w:rPr>
              <w:t>581,5</w:t>
            </w:r>
          </w:p>
        </w:tc>
        <w:tc>
          <w:tcPr>
            <w:tcW w:w="992" w:type="dxa"/>
            <w:tcBorders>
              <w:top w:val="nil"/>
              <w:left w:val="nil"/>
              <w:bottom w:val="single" w:sz="4" w:space="0" w:color="auto"/>
              <w:right w:val="single" w:sz="4" w:space="0" w:color="auto"/>
            </w:tcBorders>
            <w:shd w:val="clear" w:color="000000" w:fill="FFFFFF"/>
            <w:noWrap/>
            <w:vAlign w:val="bottom"/>
            <w:hideMark/>
          </w:tcPr>
          <w:p w14:paraId="46F72E21" w14:textId="77777777" w:rsidR="007365FF" w:rsidRPr="007365FF" w:rsidRDefault="007365FF" w:rsidP="007365FF">
            <w:pPr>
              <w:jc w:val="right"/>
              <w:rPr>
                <w:sz w:val="20"/>
                <w:szCs w:val="20"/>
              </w:rPr>
            </w:pPr>
            <w:r w:rsidRPr="007365FF">
              <w:rPr>
                <w:sz w:val="20"/>
                <w:szCs w:val="20"/>
              </w:rPr>
              <w:t>0,36%</w:t>
            </w:r>
          </w:p>
        </w:tc>
      </w:tr>
      <w:tr w:rsidR="007365FF" w:rsidRPr="007365FF" w14:paraId="635267AC" w14:textId="77777777" w:rsidTr="000C150D">
        <w:trPr>
          <w:trHeight w:val="225"/>
        </w:trPr>
        <w:tc>
          <w:tcPr>
            <w:tcW w:w="7915" w:type="dxa"/>
            <w:tcBorders>
              <w:top w:val="nil"/>
              <w:left w:val="single" w:sz="4" w:space="0" w:color="auto"/>
              <w:bottom w:val="single" w:sz="4" w:space="0" w:color="auto"/>
              <w:right w:val="single" w:sz="4" w:space="0" w:color="auto"/>
            </w:tcBorders>
            <w:shd w:val="clear" w:color="000000" w:fill="FFFFFF"/>
            <w:vAlign w:val="bottom"/>
            <w:hideMark/>
          </w:tcPr>
          <w:p w14:paraId="1AD45EF1" w14:textId="77777777" w:rsidR="007365FF" w:rsidRPr="007365FF" w:rsidRDefault="007365FF" w:rsidP="007365FF">
            <w:pPr>
              <w:ind w:firstLineChars="100" w:firstLine="200"/>
              <w:rPr>
                <w:sz w:val="20"/>
                <w:szCs w:val="20"/>
                <w:lang w:val="ru-RU"/>
              </w:rPr>
            </w:pPr>
            <w:r w:rsidRPr="007365FF">
              <w:rPr>
                <w:sz w:val="20"/>
                <w:szCs w:val="20"/>
                <w:lang w:val="ru-RU"/>
              </w:rPr>
              <w:t>Изплащане на допълнителни трудови възнаграждения на изпълнителите на болнична медицинска помощ</w:t>
            </w:r>
          </w:p>
        </w:tc>
        <w:tc>
          <w:tcPr>
            <w:tcW w:w="982" w:type="dxa"/>
            <w:tcBorders>
              <w:top w:val="nil"/>
              <w:left w:val="nil"/>
              <w:bottom w:val="single" w:sz="4" w:space="0" w:color="auto"/>
              <w:right w:val="single" w:sz="4" w:space="0" w:color="auto"/>
            </w:tcBorders>
            <w:shd w:val="clear" w:color="auto" w:fill="auto"/>
            <w:noWrap/>
            <w:vAlign w:val="bottom"/>
            <w:hideMark/>
          </w:tcPr>
          <w:p w14:paraId="604B03D6" w14:textId="77777777" w:rsidR="007365FF" w:rsidRPr="007365FF" w:rsidRDefault="007365FF" w:rsidP="007365FF">
            <w:pPr>
              <w:jc w:val="right"/>
              <w:rPr>
                <w:sz w:val="20"/>
                <w:szCs w:val="20"/>
              </w:rPr>
            </w:pPr>
            <w:r w:rsidRPr="007365FF">
              <w:rPr>
                <w:sz w:val="20"/>
                <w:szCs w:val="20"/>
              </w:rPr>
              <w:t>74,8</w:t>
            </w:r>
          </w:p>
        </w:tc>
        <w:tc>
          <w:tcPr>
            <w:tcW w:w="992" w:type="dxa"/>
            <w:tcBorders>
              <w:top w:val="nil"/>
              <w:left w:val="nil"/>
              <w:bottom w:val="single" w:sz="4" w:space="0" w:color="auto"/>
              <w:right w:val="single" w:sz="4" w:space="0" w:color="auto"/>
            </w:tcBorders>
            <w:shd w:val="clear" w:color="000000" w:fill="FFFFFF"/>
            <w:noWrap/>
            <w:vAlign w:val="bottom"/>
            <w:hideMark/>
          </w:tcPr>
          <w:p w14:paraId="38DF231A" w14:textId="77777777" w:rsidR="007365FF" w:rsidRPr="007365FF" w:rsidRDefault="007365FF" w:rsidP="007365FF">
            <w:pPr>
              <w:jc w:val="right"/>
              <w:rPr>
                <w:sz w:val="20"/>
                <w:szCs w:val="20"/>
              </w:rPr>
            </w:pPr>
            <w:r w:rsidRPr="007365FF">
              <w:rPr>
                <w:sz w:val="20"/>
                <w:szCs w:val="20"/>
              </w:rPr>
              <w:t>0,05%</w:t>
            </w:r>
          </w:p>
        </w:tc>
      </w:tr>
      <w:tr w:rsidR="007365FF" w:rsidRPr="007365FF" w14:paraId="1D5FF216" w14:textId="77777777" w:rsidTr="000C150D">
        <w:trPr>
          <w:trHeight w:val="58"/>
        </w:trPr>
        <w:tc>
          <w:tcPr>
            <w:tcW w:w="7915" w:type="dxa"/>
            <w:tcBorders>
              <w:top w:val="nil"/>
              <w:left w:val="single" w:sz="4" w:space="0" w:color="auto"/>
              <w:bottom w:val="single" w:sz="4" w:space="0" w:color="auto"/>
              <w:right w:val="single" w:sz="4" w:space="0" w:color="auto"/>
            </w:tcBorders>
            <w:shd w:val="clear" w:color="auto" w:fill="auto"/>
            <w:noWrap/>
            <w:vAlign w:val="bottom"/>
          </w:tcPr>
          <w:p w14:paraId="6B601968" w14:textId="77777777" w:rsidR="007365FF" w:rsidRPr="007365FF" w:rsidRDefault="007365FF" w:rsidP="007365FF">
            <w:pPr>
              <w:rPr>
                <w:sz w:val="20"/>
                <w:szCs w:val="20"/>
                <w:lang w:val="ru-RU"/>
              </w:rPr>
            </w:pPr>
            <w:r w:rsidRPr="007365FF">
              <w:rPr>
                <w:sz w:val="20"/>
                <w:szCs w:val="20"/>
                <w:lang w:val="ru-RU"/>
              </w:rPr>
              <w:t xml:space="preserve">   Осигуряване на лични предпазни средства, дезинфектанти, консумативи и др.</w:t>
            </w:r>
          </w:p>
        </w:tc>
        <w:tc>
          <w:tcPr>
            <w:tcW w:w="982" w:type="dxa"/>
            <w:tcBorders>
              <w:top w:val="nil"/>
              <w:left w:val="nil"/>
              <w:bottom w:val="single" w:sz="4" w:space="0" w:color="auto"/>
              <w:right w:val="single" w:sz="4" w:space="0" w:color="auto"/>
            </w:tcBorders>
            <w:shd w:val="clear" w:color="auto" w:fill="auto"/>
            <w:noWrap/>
            <w:vAlign w:val="bottom"/>
          </w:tcPr>
          <w:p w14:paraId="60BBA882" w14:textId="77777777" w:rsidR="007365FF" w:rsidRPr="007365FF" w:rsidRDefault="007365FF" w:rsidP="007365FF">
            <w:pPr>
              <w:jc w:val="right"/>
              <w:rPr>
                <w:sz w:val="20"/>
                <w:szCs w:val="20"/>
              </w:rPr>
            </w:pPr>
            <w:r w:rsidRPr="007365FF">
              <w:rPr>
                <w:sz w:val="20"/>
                <w:szCs w:val="20"/>
              </w:rPr>
              <w:t>8,7</w:t>
            </w:r>
          </w:p>
        </w:tc>
        <w:tc>
          <w:tcPr>
            <w:tcW w:w="992" w:type="dxa"/>
            <w:tcBorders>
              <w:top w:val="nil"/>
              <w:left w:val="nil"/>
              <w:bottom w:val="single" w:sz="4" w:space="0" w:color="auto"/>
              <w:right w:val="single" w:sz="4" w:space="0" w:color="auto"/>
            </w:tcBorders>
            <w:shd w:val="clear" w:color="000000" w:fill="FFFFFF"/>
            <w:noWrap/>
            <w:vAlign w:val="bottom"/>
          </w:tcPr>
          <w:p w14:paraId="1A3C7BA4" w14:textId="77777777" w:rsidR="007365FF" w:rsidRPr="007365FF" w:rsidRDefault="007365FF" w:rsidP="007365FF">
            <w:pPr>
              <w:jc w:val="right"/>
              <w:rPr>
                <w:sz w:val="20"/>
                <w:szCs w:val="20"/>
              </w:rPr>
            </w:pPr>
            <w:r w:rsidRPr="007365FF">
              <w:rPr>
                <w:sz w:val="20"/>
                <w:szCs w:val="20"/>
              </w:rPr>
              <w:t>0,01%</w:t>
            </w:r>
          </w:p>
        </w:tc>
      </w:tr>
      <w:tr w:rsidR="007365FF" w:rsidRPr="007365FF" w14:paraId="711F3B91" w14:textId="77777777" w:rsidTr="000C150D">
        <w:trPr>
          <w:trHeight w:val="58"/>
        </w:trPr>
        <w:tc>
          <w:tcPr>
            <w:tcW w:w="7915" w:type="dxa"/>
            <w:tcBorders>
              <w:top w:val="nil"/>
              <w:left w:val="single" w:sz="4" w:space="0" w:color="auto"/>
              <w:bottom w:val="single" w:sz="4" w:space="0" w:color="auto"/>
              <w:right w:val="single" w:sz="4" w:space="0" w:color="auto"/>
            </w:tcBorders>
            <w:shd w:val="clear" w:color="auto" w:fill="auto"/>
            <w:noWrap/>
            <w:vAlign w:val="bottom"/>
            <w:hideMark/>
          </w:tcPr>
          <w:p w14:paraId="04D6EF9E" w14:textId="77777777" w:rsidR="007365FF" w:rsidRPr="007365FF" w:rsidRDefault="007365FF" w:rsidP="007365FF">
            <w:pPr>
              <w:rPr>
                <w:sz w:val="20"/>
                <w:szCs w:val="20"/>
                <w:lang w:val="ru-RU"/>
              </w:rPr>
            </w:pPr>
            <w:r w:rsidRPr="007365FF">
              <w:rPr>
                <w:sz w:val="20"/>
                <w:szCs w:val="20"/>
                <w:lang w:val="ru-RU"/>
              </w:rPr>
              <w:t xml:space="preserve">   Общини - средства за противоепидемични мерки</w:t>
            </w:r>
          </w:p>
        </w:tc>
        <w:tc>
          <w:tcPr>
            <w:tcW w:w="982" w:type="dxa"/>
            <w:tcBorders>
              <w:top w:val="nil"/>
              <w:left w:val="nil"/>
              <w:bottom w:val="single" w:sz="4" w:space="0" w:color="auto"/>
              <w:right w:val="single" w:sz="4" w:space="0" w:color="auto"/>
            </w:tcBorders>
            <w:shd w:val="clear" w:color="auto" w:fill="auto"/>
            <w:noWrap/>
            <w:vAlign w:val="bottom"/>
            <w:hideMark/>
          </w:tcPr>
          <w:p w14:paraId="44B327A9" w14:textId="77777777" w:rsidR="007365FF" w:rsidRPr="007365FF" w:rsidRDefault="007365FF" w:rsidP="007365FF">
            <w:pPr>
              <w:jc w:val="right"/>
              <w:rPr>
                <w:sz w:val="20"/>
                <w:szCs w:val="20"/>
              </w:rPr>
            </w:pPr>
            <w:r w:rsidRPr="007365FF">
              <w:rPr>
                <w:sz w:val="20"/>
                <w:szCs w:val="20"/>
              </w:rPr>
              <w:t>74,3</w:t>
            </w:r>
          </w:p>
        </w:tc>
        <w:tc>
          <w:tcPr>
            <w:tcW w:w="992" w:type="dxa"/>
            <w:tcBorders>
              <w:top w:val="nil"/>
              <w:left w:val="nil"/>
              <w:bottom w:val="single" w:sz="4" w:space="0" w:color="auto"/>
              <w:right w:val="single" w:sz="4" w:space="0" w:color="auto"/>
            </w:tcBorders>
            <w:shd w:val="clear" w:color="000000" w:fill="FFFFFF"/>
            <w:noWrap/>
            <w:vAlign w:val="bottom"/>
            <w:hideMark/>
          </w:tcPr>
          <w:p w14:paraId="28055F21" w14:textId="77777777" w:rsidR="007365FF" w:rsidRPr="007365FF" w:rsidRDefault="007365FF" w:rsidP="007365FF">
            <w:pPr>
              <w:jc w:val="right"/>
              <w:rPr>
                <w:sz w:val="20"/>
                <w:szCs w:val="20"/>
              </w:rPr>
            </w:pPr>
            <w:r w:rsidRPr="007365FF">
              <w:rPr>
                <w:sz w:val="20"/>
                <w:szCs w:val="20"/>
              </w:rPr>
              <w:t>0,05%</w:t>
            </w:r>
          </w:p>
        </w:tc>
      </w:tr>
    </w:tbl>
    <w:p w14:paraId="0A53E583" w14:textId="77777777" w:rsidR="003D20E1" w:rsidRPr="00DB12BD" w:rsidRDefault="003D20E1" w:rsidP="00FB77CF">
      <w:pPr>
        <w:tabs>
          <w:tab w:val="left" w:pos="426"/>
          <w:tab w:val="left" w:pos="851"/>
        </w:tabs>
        <w:contextualSpacing/>
        <w:jc w:val="center"/>
        <w:rPr>
          <w:b/>
          <w:i/>
          <w:color w:val="0070C0"/>
          <w:sz w:val="12"/>
          <w:u w:val="single"/>
        </w:rPr>
      </w:pPr>
    </w:p>
    <w:p w14:paraId="18ACD69E" w14:textId="77777777" w:rsidR="00FB77CF" w:rsidRPr="00DB12BD" w:rsidRDefault="00FB77CF" w:rsidP="00FB77CF">
      <w:pPr>
        <w:jc w:val="both"/>
        <w:rPr>
          <w:color w:val="0070C0"/>
          <w:sz w:val="8"/>
          <w:szCs w:val="8"/>
          <w:lang w:val="ru-RU" w:eastAsia="bg-BG"/>
        </w:rPr>
      </w:pPr>
    </w:p>
    <w:p w14:paraId="59069433" w14:textId="77777777" w:rsidR="00FB77CF" w:rsidRPr="00DB12BD" w:rsidRDefault="00FB77CF" w:rsidP="00FB77CF">
      <w:pPr>
        <w:spacing w:after="160" w:line="259" w:lineRule="auto"/>
        <w:ind w:right="316"/>
        <w:rPr>
          <w:rFonts w:ascii="Calibri" w:eastAsia="Calibri" w:hAnsi="Calibri"/>
          <w:color w:val="0070C0"/>
          <w:sz w:val="22"/>
          <w:szCs w:val="22"/>
          <w:lang w:val="en-US"/>
        </w:rPr>
      </w:pPr>
    </w:p>
    <w:p w14:paraId="7F6B5503" w14:textId="77777777" w:rsidR="007B7451" w:rsidRPr="00DB12BD" w:rsidRDefault="007B7451">
      <w:pPr>
        <w:rPr>
          <w:color w:val="0070C0"/>
          <w:lang w:val="ru-RU"/>
        </w:rPr>
      </w:pPr>
      <w:r w:rsidRPr="00DB12BD">
        <w:rPr>
          <w:color w:val="0070C0"/>
          <w:lang w:val="ru-RU"/>
        </w:rPr>
        <w:br w:type="page"/>
      </w:r>
    </w:p>
    <w:p w14:paraId="53A9593D" w14:textId="05662143" w:rsidR="00E74802" w:rsidRPr="00900A1C" w:rsidRDefault="00E74802" w:rsidP="00ED2B9A">
      <w:pPr>
        <w:pStyle w:val="Heading1"/>
        <w:numPr>
          <w:ilvl w:val="0"/>
          <w:numId w:val="9"/>
        </w:numPr>
        <w:ind w:right="-108"/>
        <w:jc w:val="both"/>
        <w:rPr>
          <w:sz w:val="24"/>
        </w:rPr>
      </w:pPr>
      <w:r w:rsidRPr="00900A1C">
        <w:rPr>
          <w:sz w:val="24"/>
        </w:rPr>
        <w:lastRenderedPageBreak/>
        <w:t>Основни показатели по консолидираната фискална програма</w:t>
      </w:r>
      <w:r w:rsidRPr="00900A1C">
        <w:rPr>
          <w:rStyle w:val="FootnoteReference"/>
          <w:sz w:val="24"/>
        </w:rPr>
        <w:footnoteReference w:id="2"/>
      </w:r>
      <w:r w:rsidRPr="00900A1C">
        <w:rPr>
          <w:sz w:val="24"/>
        </w:rPr>
        <w:t xml:space="preserve"> за 20</w:t>
      </w:r>
      <w:r w:rsidR="001F7F82" w:rsidRPr="00900A1C">
        <w:rPr>
          <w:sz w:val="24"/>
        </w:rPr>
        <w:t>2</w:t>
      </w:r>
      <w:r w:rsidR="00713BAD" w:rsidRPr="00900A1C">
        <w:rPr>
          <w:sz w:val="24"/>
        </w:rPr>
        <w:t>2</w:t>
      </w:r>
      <w:r w:rsidRPr="00900A1C">
        <w:rPr>
          <w:sz w:val="24"/>
        </w:rPr>
        <w:t> г.</w:t>
      </w:r>
    </w:p>
    <w:p w14:paraId="22D16163" w14:textId="77777777" w:rsidR="00430A35" w:rsidRPr="00DB12BD" w:rsidRDefault="00430A35" w:rsidP="00430A35">
      <w:pPr>
        <w:rPr>
          <w:color w:val="0070C0"/>
          <w:sz w:val="6"/>
          <w:szCs w:val="12"/>
        </w:rPr>
      </w:pPr>
    </w:p>
    <w:p w14:paraId="4CA3ABE4" w14:textId="6A48AB04" w:rsidR="009C13B4" w:rsidRDefault="009C13B4" w:rsidP="002648B3">
      <w:pPr>
        <w:pStyle w:val="BodyText"/>
        <w:spacing w:before="120"/>
      </w:pPr>
      <w:r w:rsidRPr="007A4877">
        <w:rPr>
          <w:b/>
        </w:rPr>
        <w:t>Постъпилите приходи, помощи и дарения по</w:t>
      </w:r>
      <w:r w:rsidRPr="007A4877">
        <w:t xml:space="preserve"> </w:t>
      </w:r>
      <w:r w:rsidRPr="007A4877">
        <w:rPr>
          <w:b/>
        </w:rPr>
        <w:t>КФП за 202</w:t>
      </w:r>
      <w:r w:rsidR="00F27F02" w:rsidRPr="004A2E93">
        <w:rPr>
          <w:b/>
          <w:lang w:val="ru-RU"/>
        </w:rPr>
        <w:t>2</w:t>
      </w:r>
      <w:r w:rsidRPr="007A4877">
        <w:rPr>
          <w:b/>
        </w:rPr>
        <w:t xml:space="preserve"> г. </w:t>
      </w:r>
      <w:r w:rsidRPr="007A4877">
        <w:t xml:space="preserve">представляват </w:t>
      </w:r>
      <w:r w:rsidRPr="007A4877">
        <w:rPr>
          <w:b/>
        </w:rPr>
        <w:t>40,</w:t>
      </w:r>
      <w:r w:rsidR="007A4877" w:rsidRPr="007A4877">
        <w:rPr>
          <w:b/>
        </w:rPr>
        <w:t>0</w:t>
      </w:r>
      <w:r w:rsidRPr="007A4877">
        <w:rPr>
          <w:b/>
        </w:rPr>
        <w:t xml:space="preserve"> % от прогнозния БВП. </w:t>
      </w:r>
      <w:r w:rsidRPr="007A4877">
        <w:t>За сравнение</w:t>
      </w:r>
      <w:r w:rsidRPr="007A4877">
        <w:rPr>
          <w:b/>
        </w:rPr>
        <w:t xml:space="preserve">  </w:t>
      </w:r>
      <w:r w:rsidRPr="007A4877">
        <w:t>през предходната година приходите и помощите</w:t>
      </w:r>
      <w:r w:rsidRPr="007A4877">
        <w:rPr>
          <w:b/>
        </w:rPr>
        <w:t xml:space="preserve"> </w:t>
      </w:r>
      <w:r w:rsidRPr="007A4877">
        <w:t xml:space="preserve">са </w:t>
      </w:r>
      <w:r w:rsidR="007A4877" w:rsidRPr="007A4877">
        <w:rPr>
          <w:b/>
        </w:rPr>
        <w:t>37,7</w:t>
      </w:r>
      <w:r w:rsidRPr="007A4877">
        <w:rPr>
          <w:b/>
        </w:rPr>
        <w:t xml:space="preserve"> % от БВП. </w:t>
      </w:r>
      <w:r w:rsidR="002648B3" w:rsidRPr="002648B3">
        <w:t>Следва да се отбележи, че през 2022 г. има приходи с еднократен извънреден характер, които не са включени в разчетите към ЗДБРБ за 2022 г.</w:t>
      </w:r>
    </w:p>
    <w:p w14:paraId="00D5B7C3" w14:textId="27098D08" w:rsidR="003E60BD" w:rsidRDefault="003E60BD" w:rsidP="002648B3">
      <w:pPr>
        <w:pStyle w:val="BodyText"/>
        <w:spacing w:before="120"/>
      </w:pPr>
      <w:r>
        <w:rPr>
          <w:noProof/>
          <w:lang w:eastAsia="bg-BG"/>
        </w:rPr>
        <w:drawing>
          <wp:inline distT="0" distB="0" distL="0" distR="0" wp14:anchorId="3474418D" wp14:editId="4F7C6F59">
            <wp:extent cx="6080760" cy="3131820"/>
            <wp:effectExtent l="0" t="0" r="15240" b="1143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A5A4021" w14:textId="77777777" w:rsidR="003E60BD" w:rsidRPr="002648B3" w:rsidRDefault="003E60BD" w:rsidP="002648B3">
      <w:pPr>
        <w:pStyle w:val="BodyText"/>
        <w:spacing w:before="120"/>
      </w:pPr>
    </w:p>
    <w:tbl>
      <w:tblPr>
        <w:tblW w:w="10357" w:type="dxa"/>
        <w:tblLook w:val="04A0" w:firstRow="1" w:lastRow="0" w:firstColumn="1" w:lastColumn="0" w:noHBand="0" w:noVBand="1"/>
      </w:tblPr>
      <w:tblGrid>
        <w:gridCol w:w="10357"/>
      </w:tblGrid>
      <w:tr w:rsidR="009C13B4" w:rsidRPr="00A0423D" w14:paraId="12ADB34A" w14:textId="77777777" w:rsidTr="001F3E55">
        <w:tc>
          <w:tcPr>
            <w:tcW w:w="10357" w:type="dxa"/>
            <w:hideMark/>
          </w:tcPr>
          <w:p w14:paraId="6342BF31" w14:textId="77777777" w:rsidR="009C13B4" w:rsidRPr="00A0423D" w:rsidRDefault="009C13B4" w:rsidP="001F3E55">
            <w:pPr>
              <w:jc w:val="both"/>
              <w:rPr>
                <w:color w:val="0070C0"/>
                <w:sz w:val="4"/>
                <w:szCs w:val="4"/>
                <w:lang w:val="en-US"/>
              </w:rPr>
            </w:pPr>
          </w:p>
        </w:tc>
      </w:tr>
    </w:tbl>
    <w:p w14:paraId="2CC3D45B" w14:textId="77777777" w:rsidR="009C13B4" w:rsidRPr="00EF7C84" w:rsidRDefault="009C13B4" w:rsidP="009C13B4">
      <w:pPr>
        <w:ind w:left="360"/>
        <w:jc w:val="both"/>
        <w:rPr>
          <w:sz w:val="18"/>
          <w:szCs w:val="18"/>
        </w:rPr>
      </w:pPr>
      <w:r w:rsidRPr="00EF7C84">
        <w:rPr>
          <w:sz w:val="18"/>
          <w:szCs w:val="18"/>
        </w:rPr>
        <w:t>*В частта на преките данъци са включени и други данъци</w:t>
      </w:r>
    </w:p>
    <w:p w14:paraId="6FB682EB" w14:textId="77777777" w:rsidR="009C13B4" w:rsidRPr="00A0423D" w:rsidRDefault="009C13B4" w:rsidP="009C13B4">
      <w:pPr>
        <w:jc w:val="both"/>
        <w:rPr>
          <w:b/>
          <w:color w:val="0070C0"/>
          <w:sz w:val="16"/>
          <w:highlight w:val="yellow"/>
        </w:rPr>
      </w:pPr>
    </w:p>
    <w:p w14:paraId="5F83A419" w14:textId="1992BA22" w:rsidR="00943C3A" w:rsidRDefault="009C13B4" w:rsidP="00943C3A">
      <w:pPr>
        <w:pStyle w:val="BodyText"/>
        <w:spacing w:before="120"/>
      </w:pPr>
      <w:r w:rsidRPr="0003319F">
        <w:rPr>
          <w:b/>
        </w:rPr>
        <w:t>Разходите по КФП за 202</w:t>
      </w:r>
      <w:r w:rsidR="00F27F02" w:rsidRPr="004A2E93">
        <w:rPr>
          <w:b/>
          <w:lang w:val="ru-RU"/>
        </w:rPr>
        <w:t>2</w:t>
      </w:r>
      <w:r w:rsidRPr="0003319F">
        <w:rPr>
          <w:b/>
        </w:rPr>
        <w:t xml:space="preserve"> г. </w:t>
      </w:r>
      <w:r w:rsidRPr="0003319F">
        <w:t>(включително вноската на Република България в общия бюджет на ЕС)</w:t>
      </w:r>
      <w:r w:rsidRPr="0003319F">
        <w:rPr>
          <w:b/>
        </w:rPr>
        <w:t xml:space="preserve"> </w:t>
      </w:r>
      <w:r w:rsidRPr="0003319F">
        <w:t xml:space="preserve">представляват </w:t>
      </w:r>
      <w:r w:rsidR="0003319F" w:rsidRPr="0003319F">
        <w:rPr>
          <w:b/>
        </w:rPr>
        <w:t>40,9</w:t>
      </w:r>
      <w:r w:rsidRPr="0003319F">
        <w:rPr>
          <w:b/>
        </w:rPr>
        <w:t xml:space="preserve"> % от прогнозния БВП </w:t>
      </w:r>
      <w:r w:rsidRPr="0003319F">
        <w:t xml:space="preserve">и отбелязват увеличение с </w:t>
      </w:r>
      <w:r w:rsidR="0003319F" w:rsidRPr="0003319F">
        <w:t>0,4</w:t>
      </w:r>
      <w:r w:rsidRPr="0003319F">
        <w:t> пр. п. спрямо отчетените за 202</w:t>
      </w:r>
      <w:r w:rsidR="0003319F" w:rsidRPr="0003319F">
        <w:t>1</w:t>
      </w:r>
      <w:r w:rsidRPr="0003319F">
        <w:t xml:space="preserve"> г. (</w:t>
      </w:r>
      <w:r w:rsidR="0003319F" w:rsidRPr="0003319F">
        <w:t>40,5</w:t>
      </w:r>
      <w:r w:rsidRPr="0003319F">
        <w:t xml:space="preserve"> % от БВП). </w:t>
      </w:r>
      <w:r w:rsidR="00943C3A" w:rsidRPr="00943C3A">
        <w:t>И в частта на разходите през 2022 г. има извършени разходи, които са с еднократен извънреден характер и не са включени в разчетите към ЗДБРБ за 2022 г.</w:t>
      </w:r>
    </w:p>
    <w:p w14:paraId="2CFB58A9" w14:textId="6F130847" w:rsidR="00C67EAF" w:rsidRPr="00943C3A" w:rsidRDefault="00C67EAF" w:rsidP="00943C3A">
      <w:pPr>
        <w:pStyle w:val="BodyText"/>
        <w:spacing w:before="120"/>
      </w:pPr>
      <w:r>
        <w:rPr>
          <w:noProof/>
          <w:lang w:eastAsia="bg-BG"/>
        </w:rPr>
        <w:lastRenderedPageBreak/>
        <w:drawing>
          <wp:inline distT="0" distB="0" distL="0" distR="0" wp14:anchorId="48318EB1" wp14:editId="1B997E80">
            <wp:extent cx="6096000" cy="3710940"/>
            <wp:effectExtent l="0" t="0" r="0" b="381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32D3554" w14:textId="77777777" w:rsidR="009C13B4" w:rsidRPr="00A0423D" w:rsidRDefault="009C13B4" w:rsidP="009C13B4">
      <w:pPr>
        <w:ind w:firstLine="142"/>
        <w:jc w:val="both"/>
        <w:rPr>
          <w:color w:val="0070C0"/>
          <w:sz w:val="6"/>
          <w:szCs w:val="8"/>
        </w:rPr>
      </w:pPr>
      <w:bookmarkStart w:id="2" w:name="_MON_1608125583"/>
      <w:bookmarkStart w:id="3" w:name="_MON_1608125674"/>
      <w:bookmarkStart w:id="4" w:name="_MON_1608126274"/>
      <w:bookmarkStart w:id="5" w:name="_MON_1608124882"/>
      <w:bookmarkStart w:id="6" w:name="_MON_1608126650"/>
      <w:bookmarkStart w:id="7" w:name="_MON_1608126890"/>
      <w:bookmarkStart w:id="8" w:name="_MON_1608126952"/>
      <w:bookmarkStart w:id="9" w:name="_MON_1608127244"/>
      <w:bookmarkStart w:id="10" w:name="_MON_1608124980"/>
      <w:bookmarkStart w:id="11" w:name="_MON_1608125062"/>
      <w:bookmarkStart w:id="12" w:name="_MON_1608125088"/>
      <w:bookmarkStart w:id="13" w:name="_MON_1608125406"/>
      <w:bookmarkStart w:id="14" w:name="_MON_1609599545"/>
      <w:bookmarkStart w:id="15" w:name="_MON_1609599605"/>
      <w:bookmarkStart w:id="16" w:name="_MON_1608125426"/>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786390AF" w14:textId="77777777" w:rsidR="009C13B4" w:rsidRPr="00D360F1" w:rsidRDefault="009C13B4" w:rsidP="009C13B4">
      <w:pPr>
        <w:ind w:left="360"/>
        <w:jc w:val="both"/>
        <w:rPr>
          <w:sz w:val="16"/>
          <w:szCs w:val="16"/>
        </w:rPr>
      </w:pPr>
      <w:r w:rsidRPr="00D360F1">
        <w:rPr>
          <w:sz w:val="18"/>
          <w:szCs w:val="16"/>
        </w:rPr>
        <w:t>*</w:t>
      </w:r>
      <w:r w:rsidRPr="00D360F1">
        <w:rPr>
          <w:sz w:val="16"/>
          <w:szCs w:val="16"/>
        </w:rPr>
        <w:t xml:space="preserve"> </w:t>
      </w:r>
      <w:r w:rsidRPr="00D360F1">
        <w:rPr>
          <w:sz w:val="18"/>
          <w:szCs w:val="16"/>
        </w:rPr>
        <w:t>Вкл. нетния прираст на държавния резерв</w:t>
      </w:r>
    </w:p>
    <w:p w14:paraId="5591DFD7" w14:textId="50FCB092" w:rsidR="005B6C1F" w:rsidRDefault="005B6C1F" w:rsidP="00E863AA">
      <w:pPr>
        <w:jc w:val="both"/>
        <w:rPr>
          <w:color w:val="0070C0"/>
          <w:lang w:val="ru-RU"/>
        </w:rPr>
      </w:pPr>
    </w:p>
    <w:p w14:paraId="090EBB71" w14:textId="77777777" w:rsidR="009C13B4" w:rsidRPr="00DB12BD" w:rsidRDefault="009C13B4" w:rsidP="00E863AA">
      <w:pPr>
        <w:jc w:val="both"/>
        <w:rPr>
          <w:color w:val="0070C0"/>
          <w:lang w:val="ru-RU"/>
        </w:rPr>
      </w:pPr>
    </w:p>
    <w:p w14:paraId="1F1A30E1" w14:textId="27050A7D" w:rsidR="00222173" w:rsidRPr="00824426" w:rsidRDefault="00222173" w:rsidP="00222173">
      <w:pPr>
        <w:jc w:val="both"/>
      </w:pPr>
      <w:r w:rsidRPr="00824426">
        <w:t>Изпълнението на основните показатели по консолидираната фискална програма за 2022 г. е представено в следната таблица:</w:t>
      </w:r>
    </w:p>
    <w:p w14:paraId="4AD1EEB2" w14:textId="77777777" w:rsidR="00222173" w:rsidRPr="00DB12BD" w:rsidRDefault="00222173" w:rsidP="00222173">
      <w:pPr>
        <w:jc w:val="both"/>
        <w:rPr>
          <w:color w:val="0070C0"/>
          <w:sz w:val="4"/>
          <w:szCs w:val="4"/>
        </w:rPr>
      </w:pPr>
    </w:p>
    <w:p w14:paraId="72BEFD06" w14:textId="77777777" w:rsidR="00222173" w:rsidRPr="00C97885" w:rsidRDefault="00222173" w:rsidP="00222173">
      <w:pPr>
        <w:spacing w:before="120"/>
        <w:rPr>
          <w:b/>
          <w:i/>
          <w:sz w:val="18"/>
          <w:szCs w:val="18"/>
        </w:rPr>
      </w:pPr>
      <w:r w:rsidRPr="00C97885">
        <w:rPr>
          <w:b/>
          <w:i/>
          <w:sz w:val="22"/>
          <w:szCs w:val="22"/>
        </w:rPr>
        <w:t>Таблица</w:t>
      </w:r>
      <w:r w:rsidRPr="00C97885">
        <w:rPr>
          <w:b/>
          <w:i/>
          <w:sz w:val="22"/>
          <w:szCs w:val="22"/>
          <w:vertAlign w:val="superscript"/>
        </w:rPr>
        <w:footnoteReference w:id="3"/>
      </w:r>
      <w:r w:rsidRPr="00C97885">
        <w:rPr>
          <w:b/>
          <w:i/>
          <w:sz w:val="22"/>
          <w:szCs w:val="22"/>
        </w:rPr>
        <w:t xml:space="preserve"> №1</w:t>
      </w:r>
      <w:r w:rsidRPr="00C97885">
        <w:rPr>
          <w:b/>
          <w:i/>
          <w:sz w:val="22"/>
          <w:szCs w:val="22"/>
        </w:rPr>
        <w:tab/>
      </w:r>
      <w:r w:rsidRPr="00C97885">
        <w:rPr>
          <w:b/>
          <w:i/>
          <w:sz w:val="22"/>
          <w:szCs w:val="22"/>
        </w:rPr>
        <w:tab/>
      </w:r>
      <w:r w:rsidRPr="00C97885">
        <w:rPr>
          <w:b/>
          <w:i/>
          <w:sz w:val="22"/>
          <w:szCs w:val="22"/>
        </w:rPr>
        <w:tab/>
      </w:r>
      <w:r w:rsidRPr="00C97885">
        <w:rPr>
          <w:b/>
          <w:i/>
          <w:sz w:val="22"/>
          <w:szCs w:val="22"/>
        </w:rPr>
        <w:tab/>
      </w:r>
      <w:r w:rsidRPr="00C97885">
        <w:rPr>
          <w:b/>
          <w:i/>
          <w:sz w:val="22"/>
          <w:szCs w:val="22"/>
        </w:rPr>
        <w:tab/>
      </w:r>
      <w:r w:rsidRPr="00C97885">
        <w:rPr>
          <w:b/>
          <w:i/>
          <w:sz w:val="22"/>
          <w:szCs w:val="22"/>
        </w:rPr>
        <w:tab/>
      </w:r>
      <w:r w:rsidRPr="00C97885">
        <w:rPr>
          <w:b/>
          <w:i/>
          <w:sz w:val="22"/>
          <w:szCs w:val="22"/>
        </w:rPr>
        <w:tab/>
      </w:r>
      <w:r w:rsidRPr="00C97885">
        <w:rPr>
          <w:b/>
          <w:i/>
          <w:sz w:val="22"/>
          <w:szCs w:val="22"/>
        </w:rPr>
        <w:tab/>
      </w:r>
      <w:r w:rsidRPr="00C97885">
        <w:rPr>
          <w:b/>
          <w:i/>
          <w:sz w:val="22"/>
          <w:szCs w:val="22"/>
        </w:rPr>
        <w:tab/>
      </w:r>
      <w:r w:rsidRPr="00C97885">
        <w:rPr>
          <w:b/>
          <w:i/>
          <w:sz w:val="22"/>
          <w:szCs w:val="22"/>
        </w:rPr>
        <w:tab/>
      </w:r>
      <w:r w:rsidRPr="00C97885">
        <w:rPr>
          <w:b/>
          <w:i/>
          <w:sz w:val="22"/>
          <w:szCs w:val="22"/>
        </w:rPr>
        <w:tab/>
      </w:r>
      <w:r w:rsidRPr="00C97885">
        <w:rPr>
          <w:b/>
          <w:i/>
          <w:sz w:val="18"/>
          <w:szCs w:val="18"/>
        </w:rPr>
        <w:t>(млн. лв.)</w:t>
      </w:r>
    </w:p>
    <w:tbl>
      <w:tblPr>
        <w:tblW w:w="10093" w:type="dxa"/>
        <w:tblInd w:w="98" w:type="dxa"/>
        <w:tblLook w:val="04A0" w:firstRow="1" w:lastRow="0" w:firstColumn="1" w:lastColumn="0" w:noHBand="0" w:noVBand="1"/>
      </w:tblPr>
      <w:tblGrid>
        <w:gridCol w:w="4263"/>
        <w:gridCol w:w="992"/>
        <w:gridCol w:w="1087"/>
        <w:gridCol w:w="1252"/>
        <w:gridCol w:w="1199"/>
        <w:gridCol w:w="1300"/>
      </w:tblGrid>
      <w:tr w:rsidR="00133E02" w:rsidRPr="00C97885" w14:paraId="386098FB" w14:textId="77777777" w:rsidTr="000406B2">
        <w:trPr>
          <w:trHeight w:val="270"/>
        </w:trPr>
        <w:tc>
          <w:tcPr>
            <w:tcW w:w="4263" w:type="dxa"/>
            <w:vMerge w:val="restart"/>
            <w:tcBorders>
              <w:top w:val="single" w:sz="8" w:space="0" w:color="auto"/>
              <w:left w:val="single" w:sz="8" w:space="0" w:color="auto"/>
              <w:bottom w:val="single" w:sz="4" w:space="0" w:color="000000"/>
              <w:right w:val="nil"/>
            </w:tcBorders>
            <w:shd w:val="clear" w:color="000000" w:fill="D9D9D9"/>
            <w:noWrap/>
            <w:vAlign w:val="bottom"/>
            <w:hideMark/>
          </w:tcPr>
          <w:p w14:paraId="23FDD1A2" w14:textId="77777777" w:rsidR="00222173" w:rsidRPr="00C97885" w:rsidRDefault="00222173" w:rsidP="000406B2">
            <w:pPr>
              <w:jc w:val="center"/>
              <w:rPr>
                <w:b/>
                <w:bCs/>
                <w:sz w:val="18"/>
                <w:szCs w:val="18"/>
              </w:rPr>
            </w:pPr>
            <w:r w:rsidRPr="00C97885">
              <w:rPr>
                <w:b/>
                <w:bCs/>
                <w:sz w:val="18"/>
                <w:szCs w:val="18"/>
              </w:rPr>
              <w:t>ПОКАЗАТЕЛ</w:t>
            </w:r>
          </w:p>
        </w:tc>
        <w:tc>
          <w:tcPr>
            <w:tcW w:w="992" w:type="dxa"/>
            <w:tcBorders>
              <w:top w:val="single" w:sz="8" w:space="0" w:color="auto"/>
              <w:left w:val="single" w:sz="4" w:space="0" w:color="auto"/>
              <w:bottom w:val="nil"/>
              <w:right w:val="single" w:sz="4" w:space="0" w:color="auto"/>
            </w:tcBorders>
            <w:shd w:val="clear" w:color="000000" w:fill="D9D9D9"/>
            <w:noWrap/>
            <w:vAlign w:val="bottom"/>
            <w:hideMark/>
          </w:tcPr>
          <w:p w14:paraId="5B5FF078" w14:textId="77777777" w:rsidR="00222173" w:rsidRPr="00C97885" w:rsidRDefault="00222173" w:rsidP="000406B2">
            <w:pPr>
              <w:jc w:val="center"/>
              <w:rPr>
                <w:b/>
                <w:bCs/>
                <w:sz w:val="18"/>
                <w:szCs w:val="18"/>
              </w:rPr>
            </w:pPr>
            <w:r w:rsidRPr="00C97885">
              <w:rPr>
                <w:b/>
                <w:bCs/>
                <w:sz w:val="18"/>
                <w:szCs w:val="18"/>
              </w:rPr>
              <w:t>Разчет 20</w:t>
            </w:r>
            <w:r w:rsidRPr="00C97885">
              <w:rPr>
                <w:b/>
                <w:bCs/>
                <w:sz w:val="18"/>
                <w:szCs w:val="18"/>
                <w:lang w:val="en-US"/>
              </w:rPr>
              <w:t>2</w:t>
            </w:r>
            <w:r w:rsidRPr="00C97885">
              <w:rPr>
                <w:b/>
                <w:bCs/>
                <w:sz w:val="18"/>
                <w:szCs w:val="18"/>
              </w:rPr>
              <w:t>2 г.</w:t>
            </w:r>
            <w:r w:rsidRPr="00C97885">
              <w:rPr>
                <w:rStyle w:val="FootnoteReference"/>
                <w:b/>
                <w:bCs/>
                <w:sz w:val="18"/>
                <w:szCs w:val="18"/>
              </w:rPr>
              <w:footnoteReference w:id="4"/>
            </w:r>
          </w:p>
        </w:tc>
        <w:tc>
          <w:tcPr>
            <w:tcW w:w="3538" w:type="dxa"/>
            <w:gridSpan w:val="3"/>
            <w:tcBorders>
              <w:top w:val="single" w:sz="8" w:space="0" w:color="auto"/>
              <w:left w:val="nil"/>
              <w:bottom w:val="single" w:sz="4" w:space="0" w:color="auto"/>
              <w:right w:val="single" w:sz="4" w:space="0" w:color="auto"/>
            </w:tcBorders>
            <w:shd w:val="clear" w:color="000000" w:fill="D9D9D9"/>
            <w:noWrap/>
            <w:vAlign w:val="center"/>
            <w:hideMark/>
          </w:tcPr>
          <w:p w14:paraId="0A99036A" w14:textId="76D59A9A" w:rsidR="00222173" w:rsidRPr="00C97885" w:rsidRDefault="00222173" w:rsidP="00C97885">
            <w:pPr>
              <w:jc w:val="center"/>
              <w:rPr>
                <w:b/>
                <w:bCs/>
                <w:sz w:val="18"/>
                <w:szCs w:val="18"/>
              </w:rPr>
            </w:pPr>
            <w:r w:rsidRPr="00C97885">
              <w:rPr>
                <w:b/>
                <w:bCs/>
                <w:sz w:val="18"/>
                <w:szCs w:val="18"/>
              </w:rPr>
              <w:t xml:space="preserve">Отчет към </w:t>
            </w:r>
            <w:r w:rsidRPr="00C97885">
              <w:rPr>
                <w:b/>
                <w:bCs/>
                <w:sz w:val="18"/>
                <w:szCs w:val="18"/>
                <w:lang w:val="en-US"/>
              </w:rPr>
              <w:t>3</w:t>
            </w:r>
            <w:r w:rsidR="00C97885" w:rsidRPr="00C97885">
              <w:rPr>
                <w:b/>
                <w:bCs/>
                <w:sz w:val="18"/>
                <w:szCs w:val="18"/>
              </w:rPr>
              <w:t>1</w:t>
            </w:r>
            <w:r w:rsidRPr="00C97885">
              <w:rPr>
                <w:b/>
                <w:bCs/>
                <w:sz w:val="18"/>
                <w:szCs w:val="18"/>
              </w:rPr>
              <w:t>.</w:t>
            </w:r>
            <w:r w:rsidR="00C97885" w:rsidRPr="00C97885">
              <w:rPr>
                <w:b/>
                <w:bCs/>
                <w:sz w:val="18"/>
                <w:szCs w:val="18"/>
              </w:rPr>
              <w:t>12</w:t>
            </w:r>
            <w:r w:rsidRPr="00C97885">
              <w:rPr>
                <w:b/>
                <w:bCs/>
                <w:sz w:val="18"/>
                <w:szCs w:val="18"/>
              </w:rPr>
              <w:t>.20</w:t>
            </w:r>
            <w:r w:rsidRPr="00C97885">
              <w:rPr>
                <w:b/>
                <w:bCs/>
                <w:sz w:val="18"/>
                <w:szCs w:val="18"/>
                <w:lang w:val="en-US"/>
              </w:rPr>
              <w:t>2</w:t>
            </w:r>
            <w:r w:rsidRPr="00C97885">
              <w:rPr>
                <w:b/>
                <w:bCs/>
                <w:sz w:val="18"/>
                <w:szCs w:val="18"/>
              </w:rPr>
              <w:t>2 г.</w:t>
            </w:r>
          </w:p>
        </w:tc>
        <w:tc>
          <w:tcPr>
            <w:tcW w:w="1300" w:type="dxa"/>
            <w:tcBorders>
              <w:top w:val="single" w:sz="8" w:space="0" w:color="auto"/>
              <w:left w:val="nil"/>
              <w:bottom w:val="nil"/>
              <w:right w:val="single" w:sz="8" w:space="0" w:color="auto"/>
            </w:tcBorders>
            <w:shd w:val="clear" w:color="000000" w:fill="D9D9D9"/>
            <w:noWrap/>
            <w:vAlign w:val="bottom"/>
            <w:hideMark/>
          </w:tcPr>
          <w:p w14:paraId="2B24A87D" w14:textId="77777777" w:rsidR="00222173" w:rsidRPr="00C97885" w:rsidRDefault="00222173" w:rsidP="000406B2">
            <w:pPr>
              <w:jc w:val="center"/>
              <w:rPr>
                <w:b/>
                <w:bCs/>
                <w:sz w:val="18"/>
                <w:szCs w:val="18"/>
              </w:rPr>
            </w:pPr>
            <w:r w:rsidRPr="00C97885">
              <w:rPr>
                <w:b/>
                <w:bCs/>
                <w:sz w:val="18"/>
                <w:szCs w:val="18"/>
              </w:rPr>
              <w:t>Изпълнение</w:t>
            </w:r>
          </w:p>
        </w:tc>
      </w:tr>
      <w:tr w:rsidR="00DB12BD" w:rsidRPr="00DB12BD" w14:paraId="7732A33D" w14:textId="77777777" w:rsidTr="000406B2">
        <w:trPr>
          <w:trHeight w:val="255"/>
        </w:trPr>
        <w:tc>
          <w:tcPr>
            <w:tcW w:w="4263" w:type="dxa"/>
            <w:vMerge/>
            <w:tcBorders>
              <w:top w:val="single" w:sz="8" w:space="0" w:color="auto"/>
              <w:left w:val="single" w:sz="8" w:space="0" w:color="auto"/>
              <w:bottom w:val="single" w:sz="4" w:space="0" w:color="000000"/>
              <w:right w:val="nil"/>
            </w:tcBorders>
            <w:vAlign w:val="center"/>
            <w:hideMark/>
          </w:tcPr>
          <w:p w14:paraId="6CD9994A" w14:textId="77777777" w:rsidR="00222173" w:rsidRPr="00DB12BD" w:rsidRDefault="00222173" w:rsidP="000406B2">
            <w:pPr>
              <w:rPr>
                <w:b/>
                <w:bCs/>
                <w:color w:val="0070C0"/>
                <w:sz w:val="18"/>
                <w:szCs w:val="18"/>
              </w:rPr>
            </w:pPr>
          </w:p>
        </w:tc>
        <w:tc>
          <w:tcPr>
            <w:tcW w:w="992" w:type="dxa"/>
            <w:tcBorders>
              <w:top w:val="nil"/>
              <w:left w:val="single" w:sz="4" w:space="0" w:color="auto"/>
              <w:bottom w:val="single" w:sz="4" w:space="0" w:color="auto"/>
              <w:right w:val="single" w:sz="4" w:space="0" w:color="auto"/>
            </w:tcBorders>
            <w:shd w:val="clear" w:color="000000" w:fill="D9D9D9"/>
            <w:noWrap/>
            <w:vAlign w:val="bottom"/>
            <w:hideMark/>
          </w:tcPr>
          <w:p w14:paraId="72DAB05A" w14:textId="77777777" w:rsidR="00222173" w:rsidRPr="00C97885" w:rsidRDefault="00222173" w:rsidP="000406B2">
            <w:pPr>
              <w:jc w:val="center"/>
              <w:rPr>
                <w:b/>
                <w:bCs/>
                <w:sz w:val="18"/>
                <w:szCs w:val="18"/>
              </w:rPr>
            </w:pPr>
            <w:r w:rsidRPr="00C97885">
              <w:rPr>
                <w:b/>
                <w:bCs/>
                <w:sz w:val="18"/>
                <w:szCs w:val="18"/>
              </w:rPr>
              <w:t xml:space="preserve"> КФП</w:t>
            </w:r>
          </w:p>
        </w:tc>
        <w:tc>
          <w:tcPr>
            <w:tcW w:w="1087" w:type="dxa"/>
            <w:tcBorders>
              <w:top w:val="nil"/>
              <w:left w:val="nil"/>
              <w:bottom w:val="single" w:sz="4" w:space="0" w:color="auto"/>
              <w:right w:val="single" w:sz="4" w:space="0" w:color="auto"/>
            </w:tcBorders>
            <w:shd w:val="clear" w:color="000000" w:fill="D9D9D9"/>
            <w:noWrap/>
            <w:vAlign w:val="bottom"/>
            <w:hideMark/>
          </w:tcPr>
          <w:p w14:paraId="4AAC724B" w14:textId="77777777" w:rsidR="00222173" w:rsidRPr="00C97885" w:rsidRDefault="00222173" w:rsidP="000406B2">
            <w:pPr>
              <w:jc w:val="center"/>
              <w:rPr>
                <w:b/>
                <w:bCs/>
                <w:sz w:val="18"/>
                <w:szCs w:val="18"/>
              </w:rPr>
            </w:pPr>
            <w:r w:rsidRPr="00C97885">
              <w:rPr>
                <w:b/>
                <w:bCs/>
                <w:sz w:val="18"/>
                <w:szCs w:val="18"/>
              </w:rPr>
              <w:t xml:space="preserve"> КФП</w:t>
            </w:r>
          </w:p>
        </w:tc>
        <w:tc>
          <w:tcPr>
            <w:tcW w:w="1252" w:type="dxa"/>
            <w:tcBorders>
              <w:top w:val="nil"/>
              <w:left w:val="nil"/>
              <w:bottom w:val="single" w:sz="4" w:space="0" w:color="auto"/>
              <w:right w:val="single" w:sz="4" w:space="0" w:color="auto"/>
            </w:tcBorders>
            <w:shd w:val="clear" w:color="000000" w:fill="D9D9D9"/>
            <w:noWrap/>
            <w:vAlign w:val="bottom"/>
            <w:hideMark/>
          </w:tcPr>
          <w:p w14:paraId="54A97BFD" w14:textId="77777777" w:rsidR="00222173" w:rsidRPr="00C97885" w:rsidRDefault="00222173" w:rsidP="000406B2">
            <w:pPr>
              <w:jc w:val="center"/>
              <w:rPr>
                <w:b/>
                <w:bCs/>
                <w:sz w:val="18"/>
                <w:szCs w:val="18"/>
              </w:rPr>
            </w:pPr>
            <w:r w:rsidRPr="00C97885">
              <w:rPr>
                <w:b/>
                <w:bCs/>
                <w:sz w:val="18"/>
                <w:szCs w:val="18"/>
              </w:rPr>
              <w:t>Национален бюджет</w:t>
            </w:r>
          </w:p>
        </w:tc>
        <w:tc>
          <w:tcPr>
            <w:tcW w:w="1199" w:type="dxa"/>
            <w:tcBorders>
              <w:top w:val="nil"/>
              <w:left w:val="nil"/>
              <w:bottom w:val="single" w:sz="4" w:space="0" w:color="auto"/>
              <w:right w:val="single" w:sz="4" w:space="0" w:color="auto"/>
            </w:tcBorders>
            <w:shd w:val="clear" w:color="000000" w:fill="D9D9D9"/>
            <w:noWrap/>
            <w:vAlign w:val="bottom"/>
            <w:hideMark/>
          </w:tcPr>
          <w:p w14:paraId="05068376" w14:textId="77777777" w:rsidR="00222173" w:rsidRPr="00C97885" w:rsidRDefault="00222173" w:rsidP="000406B2">
            <w:pPr>
              <w:jc w:val="center"/>
              <w:rPr>
                <w:b/>
                <w:bCs/>
                <w:sz w:val="18"/>
                <w:szCs w:val="18"/>
              </w:rPr>
            </w:pPr>
            <w:r w:rsidRPr="00C97885">
              <w:rPr>
                <w:b/>
                <w:bCs/>
                <w:sz w:val="18"/>
                <w:szCs w:val="18"/>
              </w:rPr>
              <w:t>Европейски средства</w:t>
            </w:r>
          </w:p>
        </w:tc>
        <w:tc>
          <w:tcPr>
            <w:tcW w:w="1300" w:type="dxa"/>
            <w:tcBorders>
              <w:top w:val="nil"/>
              <w:left w:val="nil"/>
              <w:bottom w:val="single" w:sz="4" w:space="0" w:color="auto"/>
              <w:right w:val="single" w:sz="8" w:space="0" w:color="auto"/>
            </w:tcBorders>
            <w:shd w:val="clear" w:color="000000" w:fill="D9D9D9"/>
            <w:noWrap/>
            <w:vAlign w:val="bottom"/>
            <w:hideMark/>
          </w:tcPr>
          <w:p w14:paraId="65EE0495" w14:textId="77777777" w:rsidR="00222173" w:rsidRPr="00C97885" w:rsidRDefault="00222173" w:rsidP="000406B2">
            <w:pPr>
              <w:jc w:val="center"/>
              <w:rPr>
                <w:b/>
                <w:bCs/>
                <w:sz w:val="18"/>
                <w:szCs w:val="18"/>
              </w:rPr>
            </w:pPr>
            <w:r w:rsidRPr="00C97885">
              <w:rPr>
                <w:b/>
                <w:bCs/>
                <w:sz w:val="18"/>
                <w:szCs w:val="18"/>
              </w:rPr>
              <w:t>спрямо разчет</w:t>
            </w:r>
          </w:p>
        </w:tc>
      </w:tr>
      <w:tr w:rsidR="00133E02" w:rsidRPr="00C97885" w14:paraId="402494B8" w14:textId="77777777" w:rsidTr="000406B2">
        <w:trPr>
          <w:trHeight w:val="270"/>
        </w:trPr>
        <w:tc>
          <w:tcPr>
            <w:tcW w:w="4263" w:type="dxa"/>
            <w:tcBorders>
              <w:top w:val="nil"/>
              <w:left w:val="single" w:sz="8" w:space="0" w:color="auto"/>
              <w:bottom w:val="single" w:sz="8" w:space="0" w:color="auto"/>
              <w:right w:val="nil"/>
            </w:tcBorders>
            <w:shd w:val="clear" w:color="000000" w:fill="D9D9D9"/>
            <w:noWrap/>
            <w:vAlign w:val="bottom"/>
            <w:hideMark/>
          </w:tcPr>
          <w:p w14:paraId="6CAD5691" w14:textId="77777777" w:rsidR="00222173" w:rsidRPr="00C97885" w:rsidRDefault="00222173" w:rsidP="000406B2">
            <w:pPr>
              <w:jc w:val="center"/>
              <w:rPr>
                <w:sz w:val="18"/>
                <w:szCs w:val="18"/>
              </w:rPr>
            </w:pPr>
            <w:r w:rsidRPr="00C97885">
              <w:rPr>
                <w:sz w:val="18"/>
                <w:szCs w:val="18"/>
              </w:rPr>
              <w:t>к.1</w:t>
            </w:r>
          </w:p>
        </w:tc>
        <w:tc>
          <w:tcPr>
            <w:tcW w:w="992" w:type="dxa"/>
            <w:tcBorders>
              <w:top w:val="nil"/>
              <w:left w:val="single" w:sz="4" w:space="0" w:color="auto"/>
              <w:bottom w:val="single" w:sz="8" w:space="0" w:color="auto"/>
              <w:right w:val="single" w:sz="4" w:space="0" w:color="auto"/>
            </w:tcBorders>
            <w:shd w:val="clear" w:color="000000" w:fill="D9D9D9"/>
            <w:noWrap/>
            <w:vAlign w:val="bottom"/>
            <w:hideMark/>
          </w:tcPr>
          <w:p w14:paraId="50DED8CF" w14:textId="77777777" w:rsidR="00222173" w:rsidRPr="00C97885" w:rsidRDefault="00222173" w:rsidP="000406B2">
            <w:pPr>
              <w:jc w:val="center"/>
              <w:rPr>
                <w:sz w:val="18"/>
                <w:szCs w:val="18"/>
              </w:rPr>
            </w:pPr>
            <w:r w:rsidRPr="00C97885">
              <w:rPr>
                <w:sz w:val="18"/>
                <w:szCs w:val="18"/>
              </w:rPr>
              <w:t>к.2</w:t>
            </w:r>
          </w:p>
        </w:tc>
        <w:tc>
          <w:tcPr>
            <w:tcW w:w="1087" w:type="dxa"/>
            <w:tcBorders>
              <w:top w:val="nil"/>
              <w:left w:val="nil"/>
              <w:bottom w:val="single" w:sz="8" w:space="0" w:color="auto"/>
              <w:right w:val="single" w:sz="4" w:space="0" w:color="auto"/>
            </w:tcBorders>
            <w:shd w:val="clear" w:color="000000" w:fill="D9D9D9"/>
            <w:noWrap/>
            <w:vAlign w:val="bottom"/>
            <w:hideMark/>
          </w:tcPr>
          <w:p w14:paraId="103058D7" w14:textId="77777777" w:rsidR="00222173" w:rsidRPr="00C97885" w:rsidRDefault="00222173" w:rsidP="000406B2">
            <w:pPr>
              <w:jc w:val="center"/>
              <w:rPr>
                <w:sz w:val="18"/>
                <w:szCs w:val="18"/>
              </w:rPr>
            </w:pPr>
            <w:r w:rsidRPr="00C97885">
              <w:rPr>
                <w:sz w:val="18"/>
                <w:szCs w:val="18"/>
              </w:rPr>
              <w:t>к.3=к.4+к.5</w:t>
            </w:r>
          </w:p>
        </w:tc>
        <w:tc>
          <w:tcPr>
            <w:tcW w:w="1252" w:type="dxa"/>
            <w:tcBorders>
              <w:top w:val="nil"/>
              <w:left w:val="nil"/>
              <w:bottom w:val="single" w:sz="8" w:space="0" w:color="auto"/>
              <w:right w:val="single" w:sz="4" w:space="0" w:color="auto"/>
            </w:tcBorders>
            <w:shd w:val="clear" w:color="000000" w:fill="D9D9D9"/>
            <w:noWrap/>
            <w:vAlign w:val="bottom"/>
            <w:hideMark/>
          </w:tcPr>
          <w:p w14:paraId="29CCE934" w14:textId="77777777" w:rsidR="00222173" w:rsidRPr="00C97885" w:rsidRDefault="00222173" w:rsidP="000406B2">
            <w:pPr>
              <w:jc w:val="center"/>
              <w:rPr>
                <w:sz w:val="18"/>
                <w:szCs w:val="18"/>
              </w:rPr>
            </w:pPr>
            <w:r w:rsidRPr="00C97885">
              <w:rPr>
                <w:sz w:val="18"/>
                <w:szCs w:val="18"/>
              </w:rPr>
              <w:t>к.4</w:t>
            </w:r>
          </w:p>
        </w:tc>
        <w:tc>
          <w:tcPr>
            <w:tcW w:w="1199" w:type="dxa"/>
            <w:tcBorders>
              <w:top w:val="nil"/>
              <w:left w:val="nil"/>
              <w:bottom w:val="single" w:sz="8" w:space="0" w:color="auto"/>
              <w:right w:val="single" w:sz="4" w:space="0" w:color="auto"/>
            </w:tcBorders>
            <w:shd w:val="clear" w:color="000000" w:fill="D9D9D9"/>
            <w:noWrap/>
            <w:vAlign w:val="bottom"/>
            <w:hideMark/>
          </w:tcPr>
          <w:p w14:paraId="351B331A" w14:textId="77777777" w:rsidR="00222173" w:rsidRPr="00C97885" w:rsidRDefault="00222173" w:rsidP="000406B2">
            <w:pPr>
              <w:jc w:val="center"/>
              <w:rPr>
                <w:sz w:val="18"/>
                <w:szCs w:val="18"/>
              </w:rPr>
            </w:pPr>
            <w:r w:rsidRPr="00C97885">
              <w:rPr>
                <w:sz w:val="18"/>
                <w:szCs w:val="18"/>
              </w:rPr>
              <w:t>к.5</w:t>
            </w:r>
          </w:p>
        </w:tc>
        <w:tc>
          <w:tcPr>
            <w:tcW w:w="1300" w:type="dxa"/>
            <w:tcBorders>
              <w:top w:val="nil"/>
              <w:left w:val="nil"/>
              <w:bottom w:val="single" w:sz="8" w:space="0" w:color="auto"/>
              <w:right w:val="single" w:sz="8" w:space="0" w:color="auto"/>
            </w:tcBorders>
            <w:shd w:val="clear" w:color="000000" w:fill="D9D9D9"/>
            <w:noWrap/>
            <w:vAlign w:val="bottom"/>
            <w:hideMark/>
          </w:tcPr>
          <w:p w14:paraId="6F8443A9" w14:textId="77777777" w:rsidR="00222173" w:rsidRPr="00C97885" w:rsidRDefault="00222173" w:rsidP="000406B2">
            <w:pPr>
              <w:jc w:val="center"/>
              <w:rPr>
                <w:sz w:val="18"/>
                <w:szCs w:val="18"/>
              </w:rPr>
            </w:pPr>
            <w:r w:rsidRPr="00C97885">
              <w:rPr>
                <w:sz w:val="18"/>
                <w:szCs w:val="18"/>
              </w:rPr>
              <w:t>к.6=к.3:к.2</w:t>
            </w:r>
          </w:p>
        </w:tc>
      </w:tr>
      <w:tr w:rsidR="002F60FF" w:rsidRPr="00DB12BD" w14:paraId="184AE5B8" w14:textId="77777777" w:rsidTr="00BA14F1">
        <w:trPr>
          <w:trHeight w:val="255"/>
        </w:trPr>
        <w:tc>
          <w:tcPr>
            <w:tcW w:w="4263" w:type="dxa"/>
            <w:tcBorders>
              <w:top w:val="nil"/>
              <w:left w:val="single" w:sz="8" w:space="0" w:color="auto"/>
              <w:bottom w:val="nil"/>
              <w:right w:val="nil"/>
            </w:tcBorders>
            <w:shd w:val="clear" w:color="auto" w:fill="auto"/>
            <w:noWrap/>
            <w:vAlign w:val="bottom"/>
            <w:hideMark/>
          </w:tcPr>
          <w:p w14:paraId="566A2717" w14:textId="77777777" w:rsidR="002F60FF" w:rsidRPr="00133E02" w:rsidRDefault="002F60FF" w:rsidP="002F60FF">
            <w:pPr>
              <w:rPr>
                <w:b/>
                <w:bCs/>
                <w:sz w:val="18"/>
                <w:szCs w:val="18"/>
              </w:rPr>
            </w:pPr>
            <w:r w:rsidRPr="00133E02">
              <w:rPr>
                <w:b/>
                <w:bCs/>
                <w:sz w:val="18"/>
                <w:szCs w:val="18"/>
              </w:rPr>
              <w:t>ПРИХОДИ, ПОМОЩИ И ДАРЕНИЯ</w:t>
            </w:r>
          </w:p>
        </w:tc>
        <w:tc>
          <w:tcPr>
            <w:tcW w:w="992" w:type="dxa"/>
            <w:tcBorders>
              <w:top w:val="nil"/>
              <w:left w:val="nil"/>
              <w:bottom w:val="nil"/>
              <w:right w:val="nil"/>
            </w:tcBorders>
            <w:shd w:val="clear" w:color="auto" w:fill="auto"/>
            <w:noWrap/>
            <w:vAlign w:val="bottom"/>
            <w:hideMark/>
          </w:tcPr>
          <w:p w14:paraId="416A8BCD" w14:textId="325B64E6" w:rsidR="002F60FF" w:rsidRPr="00DB12BD" w:rsidRDefault="002F60FF" w:rsidP="002F60FF">
            <w:pPr>
              <w:jc w:val="right"/>
              <w:rPr>
                <w:b/>
                <w:bCs/>
                <w:color w:val="0070C0"/>
                <w:sz w:val="18"/>
                <w:szCs w:val="18"/>
              </w:rPr>
            </w:pPr>
            <w:r>
              <w:rPr>
                <w:b/>
                <w:bCs/>
                <w:sz w:val="18"/>
                <w:szCs w:val="18"/>
              </w:rPr>
              <w:t>59 658,7</w:t>
            </w:r>
          </w:p>
        </w:tc>
        <w:tc>
          <w:tcPr>
            <w:tcW w:w="1087" w:type="dxa"/>
            <w:tcBorders>
              <w:top w:val="nil"/>
              <w:left w:val="nil"/>
              <w:bottom w:val="nil"/>
              <w:right w:val="nil"/>
            </w:tcBorders>
            <w:shd w:val="clear" w:color="auto" w:fill="auto"/>
            <w:noWrap/>
            <w:vAlign w:val="bottom"/>
            <w:hideMark/>
          </w:tcPr>
          <w:p w14:paraId="2F820746" w14:textId="1E2499AB" w:rsidR="002F60FF" w:rsidRPr="00DB12BD" w:rsidRDefault="002F60FF" w:rsidP="002F60FF">
            <w:pPr>
              <w:jc w:val="right"/>
              <w:rPr>
                <w:b/>
                <w:bCs/>
                <w:color w:val="0070C0"/>
                <w:sz w:val="18"/>
                <w:szCs w:val="18"/>
              </w:rPr>
            </w:pPr>
            <w:r>
              <w:rPr>
                <w:b/>
                <w:bCs/>
                <w:sz w:val="18"/>
                <w:szCs w:val="18"/>
              </w:rPr>
              <w:t>64 765,4</w:t>
            </w:r>
          </w:p>
        </w:tc>
        <w:tc>
          <w:tcPr>
            <w:tcW w:w="1252" w:type="dxa"/>
            <w:tcBorders>
              <w:top w:val="nil"/>
              <w:left w:val="nil"/>
              <w:bottom w:val="nil"/>
              <w:right w:val="nil"/>
            </w:tcBorders>
            <w:shd w:val="clear" w:color="auto" w:fill="auto"/>
            <w:noWrap/>
            <w:vAlign w:val="bottom"/>
            <w:hideMark/>
          </w:tcPr>
          <w:p w14:paraId="2A5DCD11" w14:textId="03FE0E9D" w:rsidR="002F60FF" w:rsidRPr="00DB12BD" w:rsidRDefault="002F60FF" w:rsidP="002F60FF">
            <w:pPr>
              <w:jc w:val="right"/>
              <w:rPr>
                <w:b/>
                <w:bCs/>
                <w:color w:val="0070C0"/>
                <w:sz w:val="18"/>
                <w:szCs w:val="18"/>
              </w:rPr>
            </w:pPr>
            <w:r>
              <w:rPr>
                <w:b/>
                <w:bCs/>
                <w:sz w:val="18"/>
                <w:szCs w:val="18"/>
              </w:rPr>
              <w:t>58 951,4</w:t>
            </w:r>
          </w:p>
        </w:tc>
        <w:tc>
          <w:tcPr>
            <w:tcW w:w="1199" w:type="dxa"/>
            <w:tcBorders>
              <w:top w:val="nil"/>
              <w:left w:val="nil"/>
              <w:bottom w:val="nil"/>
              <w:right w:val="nil"/>
            </w:tcBorders>
            <w:shd w:val="clear" w:color="auto" w:fill="auto"/>
            <w:noWrap/>
            <w:vAlign w:val="bottom"/>
            <w:hideMark/>
          </w:tcPr>
          <w:p w14:paraId="6B90C756" w14:textId="7C588766" w:rsidR="002F60FF" w:rsidRPr="00DB12BD" w:rsidRDefault="002F60FF" w:rsidP="002F60FF">
            <w:pPr>
              <w:jc w:val="right"/>
              <w:rPr>
                <w:b/>
                <w:bCs/>
                <w:color w:val="0070C0"/>
                <w:sz w:val="18"/>
                <w:szCs w:val="18"/>
              </w:rPr>
            </w:pPr>
            <w:r>
              <w:rPr>
                <w:b/>
                <w:bCs/>
                <w:sz w:val="18"/>
                <w:szCs w:val="18"/>
              </w:rPr>
              <w:t>5 813,9</w:t>
            </w:r>
          </w:p>
        </w:tc>
        <w:tc>
          <w:tcPr>
            <w:tcW w:w="1300" w:type="dxa"/>
            <w:tcBorders>
              <w:top w:val="nil"/>
              <w:left w:val="nil"/>
              <w:bottom w:val="nil"/>
              <w:right w:val="single" w:sz="4" w:space="0" w:color="auto"/>
            </w:tcBorders>
            <w:shd w:val="clear" w:color="auto" w:fill="auto"/>
            <w:noWrap/>
            <w:vAlign w:val="bottom"/>
            <w:hideMark/>
          </w:tcPr>
          <w:p w14:paraId="2C3C16FE" w14:textId="5A131FBE" w:rsidR="002F60FF" w:rsidRPr="00DB12BD" w:rsidRDefault="002F60FF" w:rsidP="002F60FF">
            <w:pPr>
              <w:jc w:val="right"/>
              <w:rPr>
                <w:b/>
                <w:bCs/>
                <w:color w:val="0070C0"/>
                <w:sz w:val="18"/>
                <w:szCs w:val="18"/>
              </w:rPr>
            </w:pPr>
            <w:r>
              <w:rPr>
                <w:b/>
                <w:bCs/>
                <w:sz w:val="18"/>
                <w:szCs w:val="18"/>
              </w:rPr>
              <w:t>108,6%</w:t>
            </w:r>
          </w:p>
        </w:tc>
      </w:tr>
      <w:tr w:rsidR="002F60FF" w:rsidRPr="00DB12BD" w14:paraId="47408D52" w14:textId="77777777" w:rsidTr="00BA14F1">
        <w:trPr>
          <w:trHeight w:val="255"/>
        </w:trPr>
        <w:tc>
          <w:tcPr>
            <w:tcW w:w="4263" w:type="dxa"/>
            <w:tcBorders>
              <w:top w:val="nil"/>
              <w:left w:val="single" w:sz="8" w:space="0" w:color="auto"/>
              <w:bottom w:val="nil"/>
              <w:right w:val="nil"/>
            </w:tcBorders>
            <w:shd w:val="clear" w:color="auto" w:fill="auto"/>
            <w:noWrap/>
            <w:vAlign w:val="bottom"/>
            <w:hideMark/>
          </w:tcPr>
          <w:p w14:paraId="0C5B7659" w14:textId="77777777" w:rsidR="002F60FF" w:rsidRPr="00133E02" w:rsidRDefault="002F60FF" w:rsidP="002F60FF">
            <w:pPr>
              <w:rPr>
                <w:sz w:val="18"/>
                <w:szCs w:val="18"/>
              </w:rPr>
            </w:pPr>
            <w:r w:rsidRPr="00133E02">
              <w:rPr>
                <w:sz w:val="18"/>
                <w:szCs w:val="18"/>
              </w:rPr>
              <w:t xml:space="preserve">  Данъчни приходи</w:t>
            </w:r>
          </w:p>
        </w:tc>
        <w:tc>
          <w:tcPr>
            <w:tcW w:w="992" w:type="dxa"/>
            <w:tcBorders>
              <w:top w:val="nil"/>
              <w:left w:val="nil"/>
              <w:bottom w:val="nil"/>
              <w:right w:val="nil"/>
            </w:tcBorders>
            <w:shd w:val="clear" w:color="auto" w:fill="auto"/>
            <w:noWrap/>
            <w:vAlign w:val="bottom"/>
            <w:hideMark/>
          </w:tcPr>
          <w:p w14:paraId="2BD7F825" w14:textId="17989F0A" w:rsidR="002F60FF" w:rsidRPr="00DB12BD" w:rsidRDefault="002F60FF" w:rsidP="002F60FF">
            <w:pPr>
              <w:jc w:val="right"/>
              <w:rPr>
                <w:color w:val="0070C0"/>
                <w:sz w:val="18"/>
                <w:szCs w:val="18"/>
              </w:rPr>
            </w:pPr>
            <w:r>
              <w:rPr>
                <w:sz w:val="18"/>
                <w:szCs w:val="18"/>
              </w:rPr>
              <w:t>46 122,6</w:t>
            </w:r>
          </w:p>
        </w:tc>
        <w:tc>
          <w:tcPr>
            <w:tcW w:w="1087" w:type="dxa"/>
            <w:tcBorders>
              <w:top w:val="nil"/>
              <w:left w:val="nil"/>
              <w:bottom w:val="nil"/>
              <w:right w:val="nil"/>
            </w:tcBorders>
            <w:shd w:val="clear" w:color="auto" w:fill="auto"/>
            <w:noWrap/>
            <w:vAlign w:val="bottom"/>
            <w:hideMark/>
          </w:tcPr>
          <w:p w14:paraId="175765AE" w14:textId="6305BF2F" w:rsidR="002F60FF" w:rsidRPr="00DB12BD" w:rsidRDefault="002F60FF" w:rsidP="002F60FF">
            <w:pPr>
              <w:jc w:val="right"/>
              <w:rPr>
                <w:color w:val="0070C0"/>
                <w:sz w:val="18"/>
                <w:szCs w:val="18"/>
              </w:rPr>
            </w:pPr>
            <w:r>
              <w:rPr>
                <w:sz w:val="18"/>
                <w:szCs w:val="18"/>
              </w:rPr>
              <w:t>46 794,6</w:t>
            </w:r>
          </w:p>
        </w:tc>
        <w:tc>
          <w:tcPr>
            <w:tcW w:w="1252" w:type="dxa"/>
            <w:tcBorders>
              <w:top w:val="nil"/>
              <w:left w:val="nil"/>
              <w:bottom w:val="nil"/>
              <w:right w:val="nil"/>
            </w:tcBorders>
            <w:shd w:val="clear" w:color="auto" w:fill="auto"/>
            <w:noWrap/>
            <w:vAlign w:val="bottom"/>
            <w:hideMark/>
          </w:tcPr>
          <w:p w14:paraId="0EE48D92" w14:textId="64ECE07D" w:rsidR="002F60FF" w:rsidRPr="00DB12BD" w:rsidRDefault="002F60FF" w:rsidP="002F60FF">
            <w:pPr>
              <w:jc w:val="right"/>
              <w:rPr>
                <w:color w:val="0070C0"/>
                <w:sz w:val="18"/>
                <w:szCs w:val="18"/>
              </w:rPr>
            </w:pPr>
            <w:r>
              <w:rPr>
                <w:color w:val="000000"/>
                <w:sz w:val="18"/>
                <w:szCs w:val="18"/>
              </w:rPr>
              <w:t>46 794,6</w:t>
            </w:r>
          </w:p>
        </w:tc>
        <w:tc>
          <w:tcPr>
            <w:tcW w:w="1199" w:type="dxa"/>
            <w:tcBorders>
              <w:top w:val="nil"/>
              <w:left w:val="nil"/>
              <w:bottom w:val="nil"/>
              <w:right w:val="nil"/>
            </w:tcBorders>
            <w:shd w:val="clear" w:color="auto" w:fill="auto"/>
            <w:noWrap/>
            <w:vAlign w:val="bottom"/>
            <w:hideMark/>
          </w:tcPr>
          <w:p w14:paraId="7117C6D8" w14:textId="7BBAC8B5" w:rsidR="002F60FF" w:rsidRPr="00DB12BD" w:rsidRDefault="002F60FF" w:rsidP="002F60FF">
            <w:pPr>
              <w:jc w:val="right"/>
              <w:rPr>
                <w:color w:val="0070C0"/>
                <w:sz w:val="18"/>
                <w:szCs w:val="18"/>
              </w:rPr>
            </w:pPr>
          </w:p>
        </w:tc>
        <w:tc>
          <w:tcPr>
            <w:tcW w:w="1300" w:type="dxa"/>
            <w:tcBorders>
              <w:top w:val="nil"/>
              <w:left w:val="nil"/>
              <w:bottom w:val="nil"/>
              <w:right w:val="single" w:sz="4" w:space="0" w:color="auto"/>
            </w:tcBorders>
            <w:shd w:val="clear" w:color="auto" w:fill="auto"/>
            <w:noWrap/>
            <w:vAlign w:val="bottom"/>
            <w:hideMark/>
          </w:tcPr>
          <w:p w14:paraId="38343E23" w14:textId="7672C8D5" w:rsidR="002F60FF" w:rsidRPr="00DB12BD" w:rsidRDefault="002F60FF" w:rsidP="002F60FF">
            <w:pPr>
              <w:jc w:val="right"/>
              <w:rPr>
                <w:color w:val="0070C0"/>
                <w:sz w:val="18"/>
                <w:szCs w:val="18"/>
              </w:rPr>
            </w:pPr>
            <w:r>
              <w:rPr>
                <w:sz w:val="18"/>
                <w:szCs w:val="18"/>
              </w:rPr>
              <w:t>101,5%</w:t>
            </w:r>
          </w:p>
        </w:tc>
      </w:tr>
      <w:tr w:rsidR="002F60FF" w:rsidRPr="00DB12BD" w14:paraId="0F58920E" w14:textId="77777777" w:rsidTr="00BA14F1">
        <w:trPr>
          <w:trHeight w:val="255"/>
        </w:trPr>
        <w:tc>
          <w:tcPr>
            <w:tcW w:w="4263" w:type="dxa"/>
            <w:tcBorders>
              <w:top w:val="nil"/>
              <w:left w:val="single" w:sz="8" w:space="0" w:color="auto"/>
              <w:bottom w:val="nil"/>
              <w:right w:val="nil"/>
            </w:tcBorders>
            <w:shd w:val="clear" w:color="auto" w:fill="auto"/>
            <w:noWrap/>
            <w:vAlign w:val="bottom"/>
          </w:tcPr>
          <w:p w14:paraId="0341C095" w14:textId="22AEE530" w:rsidR="002F60FF" w:rsidRPr="00133E02" w:rsidRDefault="002F60FF" w:rsidP="002F60FF">
            <w:pPr>
              <w:rPr>
                <w:sz w:val="18"/>
                <w:szCs w:val="18"/>
              </w:rPr>
            </w:pPr>
            <w:r w:rsidRPr="00133E02">
              <w:rPr>
                <w:sz w:val="18"/>
                <w:szCs w:val="18"/>
              </w:rPr>
              <w:t xml:space="preserve">  Неданъчни приходи</w:t>
            </w:r>
          </w:p>
        </w:tc>
        <w:tc>
          <w:tcPr>
            <w:tcW w:w="992" w:type="dxa"/>
            <w:tcBorders>
              <w:top w:val="nil"/>
              <w:left w:val="nil"/>
              <w:bottom w:val="nil"/>
              <w:right w:val="nil"/>
            </w:tcBorders>
            <w:shd w:val="clear" w:color="auto" w:fill="auto"/>
            <w:noWrap/>
            <w:vAlign w:val="bottom"/>
          </w:tcPr>
          <w:p w14:paraId="0C85C12A" w14:textId="1AD2D03E" w:rsidR="002F60FF" w:rsidRDefault="002F60FF" w:rsidP="002F60FF">
            <w:pPr>
              <w:jc w:val="right"/>
              <w:rPr>
                <w:sz w:val="18"/>
                <w:szCs w:val="18"/>
              </w:rPr>
            </w:pPr>
            <w:r>
              <w:rPr>
                <w:sz w:val="18"/>
                <w:szCs w:val="18"/>
              </w:rPr>
              <w:t>7 343,3</w:t>
            </w:r>
          </w:p>
        </w:tc>
        <w:tc>
          <w:tcPr>
            <w:tcW w:w="1087" w:type="dxa"/>
            <w:tcBorders>
              <w:top w:val="nil"/>
              <w:left w:val="nil"/>
              <w:bottom w:val="nil"/>
              <w:right w:val="nil"/>
            </w:tcBorders>
            <w:shd w:val="clear" w:color="auto" w:fill="auto"/>
            <w:noWrap/>
            <w:vAlign w:val="bottom"/>
          </w:tcPr>
          <w:p w14:paraId="0250221C" w14:textId="189CCA22" w:rsidR="002F60FF" w:rsidRDefault="002F60FF" w:rsidP="002F60FF">
            <w:pPr>
              <w:jc w:val="right"/>
              <w:rPr>
                <w:sz w:val="18"/>
                <w:szCs w:val="18"/>
              </w:rPr>
            </w:pPr>
            <w:r>
              <w:rPr>
                <w:sz w:val="18"/>
                <w:szCs w:val="18"/>
              </w:rPr>
              <w:t>8 795,9</w:t>
            </w:r>
          </w:p>
        </w:tc>
        <w:tc>
          <w:tcPr>
            <w:tcW w:w="1252" w:type="dxa"/>
            <w:tcBorders>
              <w:top w:val="nil"/>
              <w:left w:val="nil"/>
              <w:bottom w:val="nil"/>
              <w:right w:val="nil"/>
            </w:tcBorders>
            <w:shd w:val="clear" w:color="auto" w:fill="auto"/>
            <w:noWrap/>
            <w:vAlign w:val="bottom"/>
          </w:tcPr>
          <w:p w14:paraId="573938F8" w14:textId="5F2D0DBF" w:rsidR="002F60FF" w:rsidRDefault="002F60FF" w:rsidP="002F60FF">
            <w:pPr>
              <w:jc w:val="right"/>
              <w:rPr>
                <w:color w:val="000000"/>
                <w:sz w:val="18"/>
                <w:szCs w:val="18"/>
              </w:rPr>
            </w:pPr>
            <w:r>
              <w:rPr>
                <w:color w:val="000000"/>
                <w:sz w:val="18"/>
                <w:szCs w:val="18"/>
              </w:rPr>
              <w:t>8 804,2</w:t>
            </w:r>
          </w:p>
        </w:tc>
        <w:tc>
          <w:tcPr>
            <w:tcW w:w="1199" w:type="dxa"/>
            <w:tcBorders>
              <w:top w:val="nil"/>
              <w:left w:val="nil"/>
              <w:bottom w:val="nil"/>
              <w:right w:val="nil"/>
            </w:tcBorders>
            <w:shd w:val="clear" w:color="auto" w:fill="auto"/>
            <w:noWrap/>
            <w:vAlign w:val="bottom"/>
          </w:tcPr>
          <w:p w14:paraId="494B6481" w14:textId="533F73C8" w:rsidR="002F60FF" w:rsidRPr="00DB12BD" w:rsidRDefault="002F60FF" w:rsidP="002F60FF">
            <w:pPr>
              <w:jc w:val="right"/>
              <w:rPr>
                <w:color w:val="0070C0"/>
                <w:sz w:val="18"/>
                <w:szCs w:val="18"/>
              </w:rPr>
            </w:pPr>
            <w:r>
              <w:rPr>
                <w:color w:val="000000"/>
                <w:sz w:val="18"/>
                <w:szCs w:val="18"/>
              </w:rPr>
              <w:t>-8,3</w:t>
            </w:r>
          </w:p>
        </w:tc>
        <w:tc>
          <w:tcPr>
            <w:tcW w:w="1300" w:type="dxa"/>
            <w:tcBorders>
              <w:top w:val="nil"/>
              <w:left w:val="nil"/>
              <w:bottom w:val="nil"/>
              <w:right w:val="single" w:sz="4" w:space="0" w:color="auto"/>
            </w:tcBorders>
            <w:shd w:val="clear" w:color="auto" w:fill="auto"/>
            <w:noWrap/>
            <w:vAlign w:val="bottom"/>
          </w:tcPr>
          <w:p w14:paraId="6C5B8DB7" w14:textId="580AFDDE" w:rsidR="002F60FF" w:rsidRDefault="002F60FF" w:rsidP="002F60FF">
            <w:pPr>
              <w:jc w:val="right"/>
              <w:rPr>
                <w:sz w:val="18"/>
                <w:szCs w:val="18"/>
              </w:rPr>
            </w:pPr>
            <w:r>
              <w:rPr>
                <w:sz w:val="18"/>
                <w:szCs w:val="18"/>
              </w:rPr>
              <w:t>119,8%</w:t>
            </w:r>
          </w:p>
        </w:tc>
      </w:tr>
      <w:tr w:rsidR="002F60FF" w:rsidRPr="00DB12BD" w14:paraId="3EAE4525" w14:textId="77777777" w:rsidTr="00BA14F1">
        <w:trPr>
          <w:trHeight w:val="255"/>
        </w:trPr>
        <w:tc>
          <w:tcPr>
            <w:tcW w:w="4263" w:type="dxa"/>
            <w:tcBorders>
              <w:top w:val="nil"/>
              <w:left w:val="single" w:sz="8" w:space="0" w:color="auto"/>
              <w:bottom w:val="nil"/>
              <w:right w:val="nil"/>
            </w:tcBorders>
            <w:shd w:val="clear" w:color="auto" w:fill="auto"/>
            <w:noWrap/>
            <w:vAlign w:val="bottom"/>
            <w:hideMark/>
          </w:tcPr>
          <w:p w14:paraId="127A5D01" w14:textId="7284C1C6" w:rsidR="002F60FF" w:rsidRPr="00133E02" w:rsidRDefault="002F60FF" w:rsidP="002F60FF">
            <w:pPr>
              <w:rPr>
                <w:sz w:val="18"/>
                <w:szCs w:val="18"/>
              </w:rPr>
            </w:pPr>
            <w:r w:rsidRPr="00133E02">
              <w:rPr>
                <w:sz w:val="18"/>
                <w:szCs w:val="18"/>
              </w:rPr>
              <w:t xml:space="preserve">  Помощи и дарения</w:t>
            </w:r>
          </w:p>
        </w:tc>
        <w:tc>
          <w:tcPr>
            <w:tcW w:w="992" w:type="dxa"/>
            <w:tcBorders>
              <w:top w:val="nil"/>
              <w:left w:val="nil"/>
              <w:bottom w:val="nil"/>
              <w:right w:val="nil"/>
            </w:tcBorders>
            <w:shd w:val="clear" w:color="auto" w:fill="auto"/>
            <w:noWrap/>
            <w:vAlign w:val="bottom"/>
            <w:hideMark/>
          </w:tcPr>
          <w:p w14:paraId="7B4EBD83" w14:textId="53427DA4" w:rsidR="002F60FF" w:rsidRPr="00DB12BD" w:rsidRDefault="002F60FF" w:rsidP="002F60FF">
            <w:pPr>
              <w:jc w:val="right"/>
              <w:rPr>
                <w:color w:val="0070C0"/>
                <w:sz w:val="18"/>
                <w:szCs w:val="18"/>
              </w:rPr>
            </w:pPr>
            <w:r>
              <w:rPr>
                <w:sz w:val="18"/>
                <w:szCs w:val="18"/>
              </w:rPr>
              <w:t>6 192,8</w:t>
            </w:r>
          </w:p>
        </w:tc>
        <w:tc>
          <w:tcPr>
            <w:tcW w:w="1087" w:type="dxa"/>
            <w:tcBorders>
              <w:top w:val="nil"/>
              <w:left w:val="nil"/>
              <w:bottom w:val="nil"/>
              <w:right w:val="nil"/>
            </w:tcBorders>
            <w:shd w:val="clear" w:color="auto" w:fill="auto"/>
            <w:noWrap/>
            <w:vAlign w:val="bottom"/>
            <w:hideMark/>
          </w:tcPr>
          <w:p w14:paraId="16C935BD" w14:textId="41DE9053" w:rsidR="002F60FF" w:rsidRPr="00DB12BD" w:rsidRDefault="002F60FF" w:rsidP="002F60FF">
            <w:pPr>
              <w:jc w:val="right"/>
              <w:rPr>
                <w:color w:val="0070C0"/>
                <w:sz w:val="18"/>
                <w:szCs w:val="18"/>
              </w:rPr>
            </w:pPr>
            <w:r>
              <w:rPr>
                <w:sz w:val="18"/>
                <w:szCs w:val="18"/>
              </w:rPr>
              <w:t>5 993,8</w:t>
            </w:r>
          </w:p>
        </w:tc>
        <w:tc>
          <w:tcPr>
            <w:tcW w:w="1252" w:type="dxa"/>
            <w:tcBorders>
              <w:top w:val="nil"/>
              <w:left w:val="nil"/>
              <w:bottom w:val="nil"/>
              <w:right w:val="nil"/>
            </w:tcBorders>
            <w:shd w:val="clear" w:color="auto" w:fill="auto"/>
            <w:noWrap/>
            <w:vAlign w:val="bottom"/>
            <w:hideMark/>
          </w:tcPr>
          <w:p w14:paraId="401F63E9" w14:textId="29DD72C1" w:rsidR="002F60FF" w:rsidRPr="00DB12BD" w:rsidRDefault="002F60FF" w:rsidP="002F60FF">
            <w:pPr>
              <w:jc w:val="right"/>
              <w:rPr>
                <w:color w:val="0070C0"/>
                <w:sz w:val="18"/>
                <w:szCs w:val="18"/>
              </w:rPr>
            </w:pPr>
            <w:r>
              <w:rPr>
                <w:color w:val="000000"/>
                <w:sz w:val="18"/>
                <w:szCs w:val="18"/>
              </w:rPr>
              <w:t>171,6</w:t>
            </w:r>
          </w:p>
        </w:tc>
        <w:tc>
          <w:tcPr>
            <w:tcW w:w="1199" w:type="dxa"/>
            <w:tcBorders>
              <w:top w:val="nil"/>
              <w:left w:val="nil"/>
              <w:bottom w:val="nil"/>
              <w:right w:val="nil"/>
            </w:tcBorders>
            <w:shd w:val="clear" w:color="auto" w:fill="auto"/>
            <w:noWrap/>
            <w:vAlign w:val="bottom"/>
            <w:hideMark/>
          </w:tcPr>
          <w:p w14:paraId="0F48A9BB" w14:textId="116051F8" w:rsidR="002F60FF" w:rsidRPr="00DB12BD" w:rsidRDefault="002F60FF" w:rsidP="002F60FF">
            <w:pPr>
              <w:jc w:val="right"/>
              <w:rPr>
                <w:color w:val="0070C0"/>
                <w:sz w:val="18"/>
                <w:szCs w:val="18"/>
              </w:rPr>
            </w:pPr>
            <w:r>
              <w:rPr>
                <w:color w:val="000000"/>
                <w:sz w:val="18"/>
                <w:szCs w:val="18"/>
              </w:rPr>
              <w:t>5 822,2</w:t>
            </w:r>
          </w:p>
        </w:tc>
        <w:tc>
          <w:tcPr>
            <w:tcW w:w="1300" w:type="dxa"/>
            <w:tcBorders>
              <w:top w:val="nil"/>
              <w:left w:val="nil"/>
              <w:bottom w:val="nil"/>
              <w:right w:val="single" w:sz="4" w:space="0" w:color="auto"/>
            </w:tcBorders>
            <w:shd w:val="clear" w:color="auto" w:fill="auto"/>
            <w:noWrap/>
            <w:vAlign w:val="bottom"/>
            <w:hideMark/>
          </w:tcPr>
          <w:p w14:paraId="71A4145E" w14:textId="1499DC45" w:rsidR="002F60FF" w:rsidRPr="00DB12BD" w:rsidRDefault="002F60FF" w:rsidP="002F60FF">
            <w:pPr>
              <w:jc w:val="right"/>
              <w:rPr>
                <w:color w:val="0070C0"/>
                <w:sz w:val="18"/>
                <w:szCs w:val="18"/>
              </w:rPr>
            </w:pPr>
            <w:r>
              <w:rPr>
                <w:sz w:val="18"/>
                <w:szCs w:val="18"/>
              </w:rPr>
              <w:t>96,8%</w:t>
            </w:r>
          </w:p>
        </w:tc>
      </w:tr>
      <w:tr w:rsidR="002F60FF" w:rsidRPr="00DB12BD" w14:paraId="68CB338C" w14:textId="77777777" w:rsidTr="000E71C9">
        <w:trPr>
          <w:trHeight w:val="255"/>
        </w:trPr>
        <w:tc>
          <w:tcPr>
            <w:tcW w:w="4263" w:type="dxa"/>
            <w:tcBorders>
              <w:top w:val="nil"/>
              <w:left w:val="single" w:sz="8" w:space="0" w:color="auto"/>
              <w:bottom w:val="single" w:sz="4" w:space="0" w:color="auto"/>
              <w:right w:val="nil"/>
            </w:tcBorders>
            <w:shd w:val="clear" w:color="auto" w:fill="auto"/>
            <w:noWrap/>
            <w:vAlign w:val="bottom"/>
            <w:hideMark/>
          </w:tcPr>
          <w:p w14:paraId="3E9F84F7" w14:textId="3236EA82" w:rsidR="002F60FF" w:rsidRPr="00133E02" w:rsidRDefault="002F60FF" w:rsidP="002F60FF">
            <w:pPr>
              <w:rPr>
                <w:sz w:val="18"/>
                <w:szCs w:val="18"/>
              </w:rPr>
            </w:pPr>
            <w:r w:rsidRPr="00133E02">
              <w:rPr>
                <w:sz w:val="18"/>
                <w:szCs w:val="18"/>
                <w:lang w:val="en-US"/>
              </w:rPr>
              <w:t xml:space="preserve">  </w:t>
            </w:r>
            <w:r w:rsidRPr="00133E02">
              <w:rPr>
                <w:sz w:val="18"/>
                <w:szCs w:val="18"/>
              </w:rPr>
              <w:t>Еднократни извънредни приходи</w:t>
            </w:r>
          </w:p>
        </w:tc>
        <w:tc>
          <w:tcPr>
            <w:tcW w:w="992" w:type="dxa"/>
            <w:tcBorders>
              <w:top w:val="nil"/>
              <w:left w:val="nil"/>
              <w:bottom w:val="single" w:sz="4" w:space="0" w:color="auto"/>
              <w:right w:val="nil"/>
            </w:tcBorders>
            <w:shd w:val="clear" w:color="auto" w:fill="auto"/>
            <w:noWrap/>
            <w:vAlign w:val="bottom"/>
            <w:hideMark/>
          </w:tcPr>
          <w:p w14:paraId="08BCE07C" w14:textId="7FCF3B1D" w:rsidR="002F60FF" w:rsidRPr="00DB12BD" w:rsidRDefault="002F60FF" w:rsidP="002F60FF">
            <w:pPr>
              <w:jc w:val="right"/>
              <w:rPr>
                <w:color w:val="0070C0"/>
                <w:sz w:val="18"/>
                <w:szCs w:val="18"/>
              </w:rPr>
            </w:pPr>
          </w:p>
        </w:tc>
        <w:tc>
          <w:tcPr>
            <w:tcW w:w="1087" w:type="dxa"/>
            <w:tcBorders>
              <w:top w:val="nil"/>
              <w:left w:val="nil"/>
              <w:bottom w:val="single" w:sz="4" w:space="0" w:color="auto"/>
              <w:right w:val="nil"/>
            </w:tcBorders>
            <w:shd w:val="clear" w:color="auto" w:fill="auto"/>
            <w:noWrap/>
            <w:vAlign w:val="bottom"/>
            <w:hideMark/>
          </w:tcPr>
          <w:p w14:paraId="50FCA5F9" w14:textId="4A26F6C6" w:rsidR="002F60FF" w:rsidRPr="00DB12BD" w:rsidRDefault="002F60FF" w:rsidP="002F60FF">
            <w:pPr>
              <w:jc w:val="right"/>
              <w:rPr>
                <w:color w:val="0070C0"/>
                <w:sz w:val="18"/>
                <w:szCs w:val="18"/>
              </w:rPr>
            </w:pPr>
            <w:r>
              <w:rPr>
                <w:sz w:val="18"/>
                <w:szCs w:val="18"/>
              </w:rPr>
              <w:t>3 181,0</w:t>
            </w:r>
          </w:p>
        </w:tc>
        <w:tc>
          <w:tcPr>
            <w:tcW w:w="1252" w:type="dxa"/>
            <w:tcBorders>
              <w:top w:val="nil"/>
              <w:left w:val="nil"/>
              <w:bottom w:val="single" w:sz="4" w:space="0" w:color="auto"/>
              <w:right w:val="nil"/>
            </w:tcBorders>
            <w:shd w:val="clear" w:color="auto" w:fill="auto"/>
            <w:noWrap/>
            <w:vAlign w:val="bottom"/>
            <w:hideMark/>
          </w:tcPr>
          <w:p w14:paraId="077832C1" w14:textId="51337B5B" w:rsidR="002F60FF" w:rsidRPr="00DB12BD" w:rsidRDefault="002F60FF" w:rsidP="002F60FF">
            <w:pPr>
              <w:jc w:val="right"/>
              <w:rPr>
                <w:color w:val="0070C0"/>
                <w:sz w:val="18"/>
                <w:szCs w:val="18"/>
              </w:rPr>
            </w:pPr>
            <w:r>
              <w:rPr>
                <w:color w:val="000000"/>
                <w:sz w:val="18"/>
                <w:szCs w:val="18"/>
              </w:rPr>
              <w:t>3 181,0</w:t>
            </w:r>
          </w:p>
        </w:tc>
        <w:tc>
          <w:tcPr>
            <w:tcW w:w="1199" w:type="dxa"/>
            <w:tcBorders>
              <w:top w:val="nil"/>
              <w:left w:val="nil"/>
              <w:bottom w:val="single" w:sz="4" w:space="0" w:color="auto"/>
              <w:right w:val="nil"/>
            </w:tcBorders>
            <w:shd w:val="clear" w:color="auto" w:fill="auto"/>
            <w:noWrap/>
            <w:vAlign w:val="bottom"/>
            <w:hideMark/>
          </w:tcPr>
          <w:p w14:paraId="293FBBCE" w14:textId="791ADFD7" w:rsidR="002F60FF" w:rsidRPr="00DB12BD" w:rsidRDefault="002F60FF" w:rsidP="002F60FF">
            <w:pPr>
              <w:jc w:val="right"/>
              <w:rPr>
                <w:color w:val="0070C0"/>
                <w:sz w:val="18"/>
                <w:szCs w:val="18"/>
              </w:rPr>
            </w:pPr>
          </w:p>
        </w:tc>
        <w:tc>
          <w:tcPr>
            <w:tcW w:w="1300" w:type="dxa"/>
            <w:tcBorders>
              <w:top w:val="nil"/>
              <w:left w:val="nil"/>
              <w:bottom w:val="single" w:sz="4" w:space="0" w:color="auto"/>
              <w:right w:val="single" w:sz="4" w:space="0" w:color="auto"/>
            </w:tcBorders>
            <w:shd w:val="clear" w:color="auto" w:fill="auto"/>
            <w:noWrap/>
            <w:vAlign w:val="bottom"/>
            <w:hideMark/>
          </w:tcPr>
          <w:p w14:paraId="0D148F54" w14:textId="6C31540D" w:rsidR="002F60FF" w:rsidRPr="00DB12BD" w:rsidRDefault="002F60FF" w:rsidP="002F60FF">
            <w:pPr>
              <w:jc w:val="right"/>
              <w:rPr>
                <w:color w:val="0070C0"/>
                <w:sz w:val="18"/>
                <w:szCs w:val="18"/>
              </w:rPr>
            </w:pPr>
            <w:r>
              <w:rPr>
                <w:sz w:val="18"/>
                <w:szCs w:val="18"/>
              </w:rPr>
              <w:t> </w:t>
            </w:r>
          </w:p>
        </w:tc>
      </w:tr>
      <w:tr w:rsidR="00EA0A0D" w:rsidRPr="00DB12BD" w14:paraId="7E1375B2" w14:textId="77777777" w:rsidTr="000E71C9">
        <w:trPr>
          <w:trHeight w:val="255"/>
        </w:trPr>
        <w:tc>
          <w:tcPr>
            <w:tcW w:w="4263" w:type="dxa"/>
            <w:tcBorders>
              <w:top w:val="single" w:sz="4" w:space="0" w:color="auto"/>
              <w:left w:val="single" w:sz="8" w:space="0" w:color="auto"/>
              <w:bottom w:val="nil"/>
              <w:right w:val="nil"/>
            </w:tcBorders>
            <w:shd w:val="clear" w:color="auto" w:fill="auto"/>
            <w:noWrap/>
            <w:vAlign w:val="bottom"/>
          </w:tcPr>
          <w:p w14:paraId="6DA37A5D" w14:textId="7F9E1975" w:rsidR="00EA0A0D" w:rsidRPr="00133E02" w:rsidRDefault="00EA0A0D" w:rsidP="00EA0A0D">
            <w:pPr>
              <w:rPr>
                <w:sz w:val="18"/>
                <w:szCs w:val="18"/>
              </w:rPr>
            </w:pPr>
            <w:r w:rsidRPr="00133E02">
              <w:rPr>
                <w:b/>
                <w:bCs/>
                <w:sz w:val="18"/>
                <w:szCs w:val="18"/>
              </w:rPr>
              <w:t>РАЗХОДИ И ВНОСКА ЗА ОБЩИЯ БЮДЖЕТ НА ЕС</w:t>
            </w:r>
          </w:p>
        </w:tc>
        <w:tc>
          <w:tcPr>
            <w:tcW w:w="992" w:type="dxa"/>
            <w:tcBorders>
              <w:top w:val="single" w:sz="4" w:space="0" w:color="auto"/>
              <w:left w:val="nil"/>
              <w:bottom w:val="nil"/>
              <w:right w:val="nil"/>
            </w:tcBorders>
            <w:shd w:val="clear" w:color="auto" w:fill="auto"/>
            <w:noWrap/>
            <w:vAlign w:val="bottom"/>
          </w:tcPr>
          <w:p w14:paraId="339A39E5" w14:textId="70055FE3" w:rsidR="00EA0A0D" w:rsidRPr="00DB12BD" w:rsidRDefault="00EA0A0D" w:rsidP="00EA0A0D">
            <w:pPr>
              <w:jc w:val="right"/>
              <w:rPr>
                <w:color w:val="0070C0"/>
                <w:sz w:val="18"/>
                <w:szCs w:val="18"/>
              </w:rPr>
            </w:pPr>
            <w:r>
              <w:rPr>
                <w:b/>
                <w:bCs/>
                <w:sz w:val="18"/>
                <w:szCs w:val="18"/>
              </w:rPr>
              <w:t>65 887,1</w:t>
            </w:r>
          </w:p>
        </w:tc>
        <w:tc>
          <w:tcPr>
            <w:tcW w:w="1087" w:type="dxa"/>
            <w:tcBorders>
              <w:top w:val="single" w:sz="4" w:space="0" w:color="auto"/>
              <w:left w:val="nil"/>
              <w:bottom w:val="nil"/>
              <w:right w:val="nil"/>
            </w:tcBorders>
            <w:shd w:val="clear" w:color="auto" w:fill="auto"/>
            <w:noWrap/>
            <w:vAlign w:val="bottom"/>
          </w:tcPr>
          <w:p w14:paraId="3EABE6A0" w14:textId="3F1CC040" w:rsidR="00EA0A0D" w:rsidRPr="00DB12BD" w:rsidRDefault="00EA0A0D" w:rsidP="00EA0A0D">
            <w:pPr>
              <w:jc w:val="right"/>
              <w:rPr>
                <w:color w:val="0070C0"/>
                <w:sz w:val="18"/>
                <w:szCs w:val="18"/>
              </w:rPr>
            </w:pPr>
            <w:r>
              <w:rPr>
                <w:b/>
                <w:bCs/>
                <w:sz w:val="18"/>
                <w:szCs w:val="18"/>
              </w:rPr>
              <w:t>66 112,6</w:t>
            </w:r>
          </w:p>
        </w:tc>
        <w:tc>
          <w:tcPr>
            <w:tcW w:w="1252" w:type="dxa"/>
            <w:tcBorders>
              <w:top w:val="single" w:sz="4" w:space="0" w:color="auto"/>
              <w:left w:val="nil"/>
              <w:bottom w:val="nil"/>
              <w:right w:val="nil"/>
            </w:tcBorders>
            <w:shd w:val="clear" w:color="auto" w:fill="auto"/>
            <w:noWrap/>
            <w:vAlign w:val="bottom"/>
          </w:tcPr>
          <w:p w14:paraId="63BB5932" w14:textId="4C75C65E" w:rsidR="00EA0A0D" w:rsidRPr="00DB12BD" w:rsidRDefault="00EA0A0D" w:rsidP="00EA0A0D">
            <w:pPr>
              <w:jc w:val="right"/>
              <w:rPr>
                <w:color w:val="0070C0"/>
                <w:sz w:val="18"/>
                <w:szCs w:val="18"/>
              </w:rPr>
            </w:pPr>
            <w:r>
              <w:rPr>
                <w:b/>
                <w:bCs/>
                <w:color w:val="000000"/>
                <w:sz w:val="18"/>
                <w:szCs w:val="18"/>
              </w:rPr>
              <w:t>62 968,8</w:t>
            </w:r>
          </w:p>
        </w:tc>
        <w:tc>
          <w:tcPr>
            <w:tcW w:w="1199" w:type="dxa"/>
            <w:tcBorders>
              <w:top w:val="single" w:sz="4" w:space="0" w:color="auto"/>
              <w:left w:val="nil"/>
              <w:bottom w:val="nil"/>
              <w:right w:val="nil"/>
            </w:tcBorders>
            <w:shd w:val="clear" w:color="auto" w:fill="auto"/>
            <w:noWrap/>
            <w:vAlign w:val="bottom"/>
          </w:tcPr>
          <w:p w14:paraId="2559C189" w14:textId="27757798" w:rsidR="00EA0A0D" w:rsidRPr="00DB12BD" w:rsidRDefault="00EA0A0D" w:rsidP="00EA0A0D">
            <w:pPr>
              <w:jc w:val="right"/>
              <w:rPr>
                <w:color w:val="0070C0"/>
                <w:sz w:val="18"/>
                <w:szCs w:val="18"/>
              </w:rPr>
            </w:pPr>
            <w:r>
              <w:rPr>
                <w:b/>
                <w:bCs/>
                <w:color w:val="000000"/>
                <w:sz w:val="18"/>
                <w:szCs w:val="18"/>
              </w:rPr>
              <w:t>3 143,8</w:t>
            </w:r>
          </w:p>
        </w:tc>
        <w:tc>
          <w:tcPr>
            <w:tcW w:w="1300" w:type="dxa"/>
            <w:tcBorders>
              <w:top w:val="single" w:sz="4" w:space="0" w:color="auto"/>
              <w:left w:val="nil"/>
              <w:bottom w:val="nil"/>
              <w:right w:val="single" w:sz="4" w:space="0" w:color="auto"/>
            </w:tcBorders>
            <w:shd w:val="clear" w:color="auto" w:fill="auto"/>
            <w:noWrap/>
            <w:vAlign w:val="bottom"/>
          </w:tcPr>
          <w:p w14:paraId="7F626D99" w14:textId="3CB72BBC" w:rsidR="00EA0A0D" w:rsidRPr="00DB12BD" w:rsidRDefault="00EA0A0D" w:rsidP="00EA0A0D">
            <w:pPr>
              <w:jc w:val="right"/>
              <w:rPr>
                <w:color w:val="0070C0"/>
                <w:sz w:val="18"/>
                <w:szCs w:val="18"/>
              </w:rPr>
            </w:pPr>
            <w:r>
              <w:rPr>
                <w:b/>
                <w:bCs/>
                <w:sz w:val="18"/>
                <w:szCs w:val="18"/>
              </w:rPr>
              <w:t>100,3%</w:t>
            </w:r>
          </w:p>
        </w:tc>
      </w:tr>
      <w:tr w:rsidR="00EA0A0D" w:rsidRPr="00DB12BD" w14:paraId="65B77401" w14:textId="77777777" w:rsidTr="00BA14F1">
        <w:trPr>
          <w:trHeight w:val="480"/>
        </w:trPr>
        <w:tc>
          <w:tcPr>
            <w:tcW w:w="4263" w:type="dxa"/>
            <w:tcBorders>
              <w:top w:val="nil"/>
              <w:left w:val="single" w:sz="8" w:space="0" w:color="auto"/>
              <w:bottom w:val="nil"/>
              <w:right w:val="nil"/>
            </w:tcBorders>
            <w:shd w:val="clear" w:color="auto" w:fill="auto"/>
            <w:vAlign w:val="bottom"/>
            <w:hideMark/>
          </w:tcPr>
          <w:p w14:paraId="56857E3D" w14:textId="03B461B0" w:rsidR="00EA0A0D" w:rsidRPr="00133E02" w:rsidRDefault="00EA0A0D" w:rsidP="00EA0A0D">
            <w:pPr>
              <w:rPr>
                <w:b/>
                <w:bCs/>
                <w:sz w:val="18"/>
                <w:szCs w:val="18"/>
              </w:rPr>
            </w:pPr>
            <w:r w:rsidRPr="00133E02">
              <w:rPr>
                <w:sz w:val="18"/>
                <w:szCs w:val="18"/>
              </w:rPr>
              <w:t xml:space="preserve">  Нелихвени</w:t>
            </w:r>
          </w:p>
        </w:tc>
        <w:tc>
          <w:tcPr>
            <w:tcW w:w="992" w:type="dxa"/>
            <w:tcBorders>
              <w:top w:val="nil"/>
              <w:left w:val="nil"/>
              <w:bottom w:val="nil"/>
              <w:right w:val="nil"/>
            </w:tcBorders>
            <w:shd w:val="clear" w:color="auto" w:fill="auto"/>
            <w:noWrap/>
            <w:vAlign w:val="bottom"/>
            <w:hideMark/>
          </w:tcPr>
          <w:p w14:paraId="5A48D814" w14:textId="0C27D8FC" w:rsidR="00EA0A0D" w:rsidRPr="00DB12BD" w:rsidRDefault="00EA0A0D" w:rsidP="00EA0A0D">
            <w:pPr>
              <w:jc w:val="right"/>
              <w:rPr>
                <w:b/>
                <w:bCs/>
                <w:color w:val="0070C0"/>
                <w:sz w:val="18"/>
                <w:szCs w:val="18"/>
              </w:rPr>
            </w:pPr>
            <w:r>
              <w:rPr>
                <w:sz w:val="18"/>
                <w:szCs w:val="18"/>
              </w:rPr>
              <w:t>63 124,0</w:t>
            </w:r>
          </w:p>
        </w:tc>
        <w:tc>
          <w:tcPr>
            <w:tcW w:w="1087" w:type="dxa"/>
            <w:tcBorders>
              <w:top w:val="nil"/>
              <w:left w:val="nil"/>
              <w:bottom w:val="nil"/>
              <w:right w:val="nil"/>
            </w:tcBorders>
            <w:shd w:val="clear" w:color="auto" w:fill="auto"/>
            <w:noWrap/>
            <w:vAlign w:val="bottom"/>
            <w:hideMark/>
          </w:tcPr>
          <w:p w14:paraId="37966303" w14:textId="17D62A77" w:rsidR="00EA0A0D" w:rsidRPr="00DB12BD" w:rsidRDefault="00EA0A0D" w:rsidP="00EA0A0D">
            <w:pPr>
              <w:jc w:val="right"/>
              <w:rPr>
                <w:b/>
                <w:bCs/>
                <w:color w:val="0070C0"/>
                <w:sz w:val="18"/>
                <w:szCs w:val="18"/>
              </w:rPr>
            </w:pPr>
            <w:r>
              <w:rPr>
                <w:sz w:val="18"/>
                <w:szCs w:val="18"/>
              </w:rPr>
              <w:t>60 574,7</w:t>
            </w:r>
          </w:p>
        </w:tc>
        <w:tc>
          <w:tcPr>
            <w:tcW w:w="1252" w:type="dxa"/>
            <w:tcBorders>
              <w:top w:val="nil"/>
              <w:left w:val="nil"/>
              <w:bottom w:val="nil"/>
              <w:right w:val="nil"/>
            </w:tcBorders>
            <w:shd w:val="clear" w:color="auto" w:fill="auto"/>
            <w:noWrap/>
            <w:vAlign w:val="bottom"/>
            <w:hideMark/>
          </w:tcPr>
          <w:p w14:paraId="1F614B93" w14:textId="2B6F6733" w:rsidR="00EA0A0D" w:rsidRPr="00DB12BD" w:rsidRDefault="00EA0A0D" w:rsidP="00EA0A0D">
            <w:pPr>
              <w:jc w:val="right"/>
              <w:rPr>
                <w:b/>
                <w:bCs/>
                <w:color w:val="0070C0"/>
                <w:sz w:val="18"/>
                <w:szCs w:val="18"/>
              </w:rPr>
            </w:pPr>
            <w:r>
              <w:rPr>
                <w:sz w:val="18"/>
                <w:szCs w:val="18"/>
              </w:rPr>
              <w:t>57 430,9</w:t>
            </w:r>
          </w:p>
        </w:tc>
        <w:tc>
          <w:tcPr>
            <w:tcW w:w="1199" w:type="dxa"/>
            <w:tcBorders>
              <w:top w:val="nil"/>
              <w:left w:val="nil"/>
              <w:bottom w:val="nil"/>
              <w:right w:val="nil"/>
            </w:tcBorders>
            <w:shd w:val="clear" w:color="auto" w:fill="auto"/>
            <w:noWrap/>
            <w:vAlign w:val="bottom"/>
            <w:hideMark/>
          </w:tcPr>
          <w:p w14:paraId="729D05F0" w14:textId="2A73BE7C" w:rsidR="00EA0A0D" w:rsidRPr="00DB12BD" w:rsidRDefault="00EA0A0D" w:rsidP="00EA0A0D">
            <w:pPr>
              <w:jc w:val="right"/>
              <w:rPr>
                <w:b/>
                <w:bCs/>
                <w:color w:val="0070C0"/>
                <w:sz w:val="18"/>
                <w:szCs w:val="18"/>
              </w:rPr>
            </w:pPr>
            <w:r>
              <w:rPr>
                <w:sz w:val="18"/>
                <w:szCs w:val="18"/>
              </w:rPr>
              <w:t>3 143,8</w:t>
            </w:r>
          </w:p>
        </w:tc>
        <w:tc>
          <w:tcPr>
            <w:tcW w:w="1300" w:type="dxa"/>
            <w:tcBorders>
              <w:top w:val="nil"/>
              <w:left w:val="nil"/>
              <w:bottom w:val="nil"/>
              <w:right w:val="single" w:sz="4" w:space="0" w:color="auto"/>
            </w:tcBorders>
            <w:shd w:val="clear" w:color="auto" w:fill="auto"/>
            <w:noWrap/>
            <w:vAlign w:val="bottom"/>
            <w:hideMark/>
          </w:tcPr>
          <w:p w14:paraId="0CF9C998" w14:textId="25B8AC51" w:rsidR="00EA0A0D" w:rsidRPr="00DB12BD" w:rsidRDefault="00EA0A0D" w:rsidP="00EA0A0D">
            <w:pPr>
              <w:jc w:val="right"/>
              <w:rPr>
                <w:b/>
                <w:bCs/>
                <w:color w:val="0070C0"/>
                <w:sz w:val="18"/>
                <w:szCs w:val="18"/>
              </w:rPr>
            </w:pPr>
            <w:r>
              <w:rPr>
                <w:sz w:val="18"/>
                <w:szCs w:val="18"/>
              </w:rPr>
              <w:t>96,0%</w:t>
            </w:r>
          </w:p>
        </w:tc>
      </w:tr>
      <w:tr w:rsidR="00EA0A0D" w:rsidRPr="00DB12BD" w14:paraId="6FDDF4BE" w14:textId="77777777" w:rsidTr="00BA14F1">
        <w:trPr>
          <w:trHeight w:val="255"/>
        </w:trPr>
        <w:tc>
          <w:tcPr>
            <w:tcW w:w="4263" w:type="dxa"/>
            <w:tcBorders>
              <w:top w:val="nil"/>
              <w:left w:val="single" w:sz="8" w:space="0" w:color="auto"/>
              <w:bottom w:val="nil"/>
              <w:right w:val="nil"/>
            </w:tcBorders>
            <w:shd w:val="clear" w:color="auto" w:fill="auto"/>
            <w:noWrap/>
            <w:vAlign w:val="bottom"/>
            <w:hideMark/>
          </w:tcPr>
          <w:p w14:paraId="49EA3583" w14:textId="55606D02" w:rsidR="00EA0A0D" w:rsidRPr="00133E02" w:rsidRDefault="00EA0A0D" w:rsidP="00EA0A0D">
            <w:pPr>
              <w:rPr>
                <w:sz w:val="18"/>
                <w:szCs w:val="18"/>
              </w:rPr>
            </w:pPr>
            <w:r w:rsidRPr="00133E02">
              <w:rPr>
                <w:sz w:val="18"/>
                <w:szCs w:val="18"/>
              </w:rPr>
              <w:t xml:space="preserve">    Текущи</w:t>
            </w:r>
          </w:p>
        </w:tc>
        <w:tc>
          <w:tcPr>
            <w:tcW w:w="992" w:type="dxa"/>
            <w:tcBorders>
              <w:top w:val="nil"/>
              <w:left w:val="nil"/>
              <w:bottom w:val="nil"/>
              <w:right w:val="nil"/>
            </w:tcBorders>
            <w:shd w:val="clear" w:color="auto" w:fill="auto"/>
            <w:noWrap/>
            <w:vAlign w:val="bottom"/>
            <w:hideMark/>
          </w:tcPr>
          <w:p w14:paraId="3913B2B0" w14:textId="6FCB4D5C" w:rsidR="00EA0A0D" w:rsidRPr="00DB12BD" w:rsidRDefault="00EA0A0D" w:rsidP="00EA0A0D">
            <w:pPr>
              <w:jc w:val="right"/>
              <w:rPr>
                <w:color w:val="0070C0"/>
                <w:sz w:val="18"/>
                <w:szCs w:val="18"/>
              </w:rPr>
            </w:pPr>
            <w:r>
              <w:rPr>
                <w:sz w:val="18"/>
                <w:szCs w:val="18"/>
              </w:rPr>
              <w:t>54 704,8</w:t>
            </w:r>
          </w:p>
        </w:tc>
        <w:tc>
          <w:tcPr>
            <w:tcW w:w="1087" w:type="dxa"/>
            <w:tcBorders>
              <w:top w:val="nil"/>
              <w:left w:val="nil"/>
              <w:bottom w:val="nil"/>
              <w:right w:val="nil"/>
            </w:tcBorders>
            <w:shd w:val="clear" w:color="auto" w:fill="auto"/>
            <w:noWrap/>
            <w:vAlign w:val="bottom"/>
            <w:hideMark/>
          </w:tcPr>
          <w:p w14:paraId="43BAEA72" w14:textId="3ADE7789" w:rsidR="00EA0A0D" w:rsidRPr="00DB12BD" w:rsidRDefault="00EA0A0D" w:rsidP="00EA0A0D">
            <w:pPr>
              <w:jc w:val="right"/>
              <w:rPr>
                <w:color w:val="0070C0"/>
                <w:sz w:val="18"/>
                <w:szCs w:val="18"/>
              </w:rPr>
            </w:pPr>
            <w:r>
              <w:rPr>
                <w:sz w:val="18"/>
                <w:szCs w:val="18"/>
              </w:rPr>
              <w:t>54 830,4</w:t>
            </w:r>
          </w:p>
        </w:tc>
        <w:tc>
          <w:tcPr>
            <w:tcW w:w="1252" w:type="dxa"/>
            <w:tcBorders>
              <w:top w:val="nil"/>
              <w:left w:val="nil"/>
              <w:bottom w:val="nil"/>
              <w:right w:val="nil"/>
            </w:tcBorders>
            <w:shd w:val="clear" w:color="auto" w:fill="auto"/>
            <w:noWrap/>
            <w:vAlign w:val="bottom"/>
            <w:hideMark/>
          </w:tcPr>
          <w:p w14:paraId="74C0EF74" w14:textId="26DB24C1" w:rsidR="00EA0A0D" w:rsidRPr="00DB12BD" w:rsidRDefault="00EA0A0D" w:rsidP="00EA0A0D">
            <w:pPr>
              <w:jc w:val="right"/>
              <w:rPr>
                <w:color w:val="0070C0"/>
                <w:sz w:val="18"/>
                <w:szCs w:val="18"/>
              </w:rPr>
            </w:pPr>
            <w:r>
              <w:rPr>
                <w:color w:val="000000"/>
                <w:sz w:val="18"/>
                <w:szCs w:val="18"/>
              </w:rPr>
              <w:t>53 509,2</w:t>
            </w:r>
          </w:p>
        </w:tc>
        <w:tc>
          <w:tcPr>
            <w:tcW w:w="1199" w:type="dxa"/>
            <w:tcBorders>
              <w:top w:val="nil"/>
              <w:left w:val="nil"/>
              <w:bottom w:val="nil"/>
              <w:right w:val="nil"/>
            </w:tcBorders>
            <w:shd w:val="clear" w:color="auto" w:fill="auto"/>
            <w:noWrap/>
            <w:vAlign w:val="bottom"/>
            <w:hideMark/>
          </w:tcPr>
          <w:p w14:paraId="28AF1F64" w14:textId="53A11E6D" w:rsidR="00EA0A0D" w:rsidRPr="00DB12BD" w:rsidRDefault="00EA0A0D" w:rsidP="00EA0A0D">
            <w:pPr>
              <w:jc w:val="right"/>
              <w:rPr>
                <w:color w:val="0070C0"/>
                <w:sz w:val="18"/>
                <w:szCs w:val="18"/>
              </w:rPr>
            </w:pPr>
            <w:r>
              <w:rPr>
                <w:color w:val="000000"/>
                <w:sz w:val="18"/>
                <w:szCs w:val="18"/>
              </w:rPr>
              <w:t>1 321,2</w:t>
            </w:r>
          </w:p>
        </w:tc>
        <w:tc>
          <w:tcPr>
            <w:tcW w:w="1300" w:type="dxa"/>
            <w:tcBorders>
              <w:top w:val="nil"/>
              <w:left w:val="nil"/>
              <w:bottom w:val="nil"/>
              <w:right w:val="single" w:sz="4" w:space="0" w:color="auto"/>
            </w:tcBorders>
            <w:shd w:val="clear" w:color="auto" w:fill="auto"/>
            <w:noWrap/>
            <w:vAlign w:val="bottom"/>
            <w:hideMark/>
          </w:tcPr>
          <w:p w14:paraId="615408AE" w14:textId="47BFE237" w:rsidR="00EA0A0D" w:rsidRPr="00713FC8" w:rsidRDefault="00EA0A0D" w:rsidP="00EA0A0D">
            <w:pPr>
              <w:jc w:val="right"/>
              <w:rPr>
                <w:color w:val="0070C0"/>
                <w:sz w:val="18"/>
                <w:szCs w:val="18"/>
              </w:rPr>
            </w:pPr>
            <w:r>
              <w:rPr>
                <w:sz w:val="18"/>
                <w:szCs w:val="18"/>
              </w:rPr>
              <w:t>100,2%</w:t>
            </w:r>
          </w:p>
        </w:tc>
      </w:tr>
      <w:tr w:rsidR="00603E50" w:rsidRPr="00DB12BD" w14:paraId="54F7F19D" w14:textId="77777777" w:rsidTr="00BA14F1">
        <w:trPr>
          <w:trHeight w:val="255"/>
        </w:trPr>
        <w:tc>
          <w:tcPr>
            <w:tcW w:w="4263" w:type="dxa"/>
            <w:tcBorders>
              <w:top w:val="nil"/>
              <w:left w:val="single" w:sz="8" w:space="0" w:color="auto"/>
              <w:bottom w:val="nil"/>
              <w:right w:val="nil"/>
            </w:tcBorders>
            <w:shd w:val="clear" w:color="auto" w:fill="auto"/>
            <w:noWrap/>
            <w:vAlign w:val="bottom"/>
            <w:hideMark/>
          </w:tcPr>
          <w:p w14:paraId="31030EB1" w14:textId="06E977EF" w:rsidR="00603E50" w:rsidRPr="00133E02" w:rsidRDefault="00603E50" w:rsidP="00603E50">
            <w:pPr>
              <w:rPr>
                <w:sz w:val="18"/>
                <w:szCs w:val="18"/>
              </w:rPr>
            </w:pPr>
            <w:r w:rsidRPr="00133E02">
              <w:rPr>
                <w:sz w:val="18"/>
                <w:szCs w:val="18"/>
              </w:rPr>
              <w:t xml:space="preserve">    Предоставени </w:t>
            </w:r>
            <w:proofErr w:type="spellStart"/>
            <w:r w:rsidRPr="00133E02">
              <w:rPr>
                <w:sz w:val="18"/>
                <w:szCs w:val="18"/>
              </w:rPr>
              <w:t>тек</w:t>
            </w:r>
            <w:proofErr w:type="spellEnd"/>
            <w:r w:rsidRPr="00133E02">
              <w:rPr>
                <w:sz w:val="18"/>
                <w:szCs w:val="18"/>
              </w:rPr>
              <w:t xml:space="preserve">. и </w:t>
            </w:r>
            <w:proofErr w:type="spellStart"/>
            <w:r w:rsidRPr="00133E02">
              <w:rPr>
                <w:sz w:val="18"/>
                <w:szCs w:val="18"/>
              </w:rPr>
              <w:t>капит</w:t>
            </w:r>
            <w:proofErr w:type="spellEnd"/>
            <w:r w:rsidRPr="00133E02">
              <w:rPr>
                <w:sz w:val="18"/>
                <w:szCs w:val="18"/>
              </w:rPr>
              <w:t>. трансфери за чужбина</w:t>
            </w:r>
          </w:p>
        </w:tc>
        <w:tc>
          <w:tcPr>
            <w:tcW w:w="992" w:type="dxa"/>
            <w:tcBorders>
              <w:top w:val="nil"/>
              <w:left w:val="nil"/>
              <w:bottom w:val="nil"/>
              <w:right w:val="nil"/>
            </w:tcBorders>
            <w:shd w:val="clear" w:color="auto" w:fill="auto"/>
            <w:noWrap/>
            <w:vAlign w:val="bottom"/>
            <w:hideMark/>
          </w:tcPr>
          <w:p w14:paraId="5D5764E8" w14:textId="1E32D8C6" w:rsidR="00603E50" w:rsidRPr="00DB12BD" w:rsidRDefault="00603E50" w:rsidP="00603E50">
            <w:pPr>
              <w:jc w:val="right"/>
              <w:rPr>
                <w:color w:val="0070C0"/>
                <w:sz w:val="18"/>
                <w:szCs w:val="18"/>
              </w:rPr>
            </w:pPr>
            <w:r>
              <w:rPr>
                <w:sz w:val="18"/>
                <w:szCs w:val="18"/>
              </w:rPr>
              <w:t>19,1</w:t>
            </w:r>
          </w:p>
        </w:tc>
        <w:tc>
          <w:tcPr>
            <w:tcW w:w="1087" w:type="dxa"/>
            <w:tcBorders>
              <w:top w:val="nil"/>
              <w:left w:val="nil"/>
              <w:bottom w:val="nil"/>
              <w:right w:val="nil"/>
            </w:tcBorders>
            <w:shd w:val="clear" w:color="auto" w:fill="auto"/>
            <w:noWrap/>
            <w:vAlign w:val="bottom"/>
            <w:hideMark/>
          </w:tcPr>
          <w:p w14:paraId="7CC6F27E" w14:textId="2F3FF171" w:rsidR="00603E50" w:rsidRPr="00DB12BD" w:rsidRDefault="00603E50" w:rsidP="00603E50">
            <w:pPr>
              <w:jc w:val="right"/>
              <w:rPr>
                <w:color w:val="0070C0"/>
                <w:sz w:val="18"/>
                <w:szCs w:val="18"/>
              </w:rPr>
            </w:pPr>
            <w:r>
              <w:rPr>
                <w:sz w:val="18"/>
                <w:szCs w:val="18"/>
              </w:rPr>
              <w:t>47,6</w:t>
            </w:r>
          </w:p>
        </w:tc>
        <w:tc>
          <w:tcPr>
            <w:tcW w:w="1252" w:type="dxa"/>
            <w:tcBorders>
              <w:top w:val="nil"/>
              <w:left w:val="nil"/>
              <w:bottom w:val="nil"/>
              <w:right w:val="nil"/>
            </w:tcBorders>
            <w:shd w:val="clear" w:color="auto" w:fill="auto"/>
            <w:noWrap/>
            <w:vAlign w:val="bottom"/>
            <w:hideMark/>
          </w:tcPr>
          <w:p w14:paraId="7751C049" w14:textId="79A76D7A" w:rsidR="00603E50" w:rsidRPr="00DB12BD" w:rsidRDefault="00603E50" w:rsidP="00603E50">
            <w:pPr>
              <w:jc w:val="right"/>
              <w:rPr>
                <w:color w:val="0070C0"/>
                <w:sz w:val="18"/>
                <w:szCs w:val="18"/>
              </w:rPr>
            </w:pPr>
            <w:r>
              <w:rPr>
                <w:color w:val="000000"/>
                <w:sz w:val="18"/>
                <w:szCs w:val="18"/>
              </w:rPr>
              <w:t>25,2</w:t>
            </w:r>
          </w:p>
        </w:tc>
        <w:tc>
          <w:tcPr>
            <w:tcW w:w="1199" w:type="dxa"/>
            <w:tcBorders>
              <w:top w:val="nil"/>
              <w:left w:val="nil"/>
              <w:bottom w:val="nil"/>
              <w:right w:val="nil"/>
            </w:tcBorders>
            <w:shd w:val="clear" w:color="auto" w:fill="auto"/>
            <w:noWrap/>
            <w:vAlign w:val="bottom"/>
            <w:hideMark/>
          </w:tcPr>
          <w:p w14:paraId="164A9BBF" w14:textId="0C32CDFB" w:rsidR="00603E50" w:rsidRPr="00DB12BD" w:rsidRDefault="00603E50" w:rsidP="00603E50">
            <w:pPr>
              <w:jc w:val="right"/>
              <w:rPr>
                <w:color w:val="0070C0"/>
                <w:sz w:val="18"/>
                <w:szCs w:val="18"/>
              </w:rPr>
            </w:pPr>
            <w:r>
              <w:rPr>
                <w:color w:val="000000"/>
                <w:sz w:val="18"/>
                <w:szCs w:val="18"/>
              </w:rPr>
              <w:t>22,4</w:t>
            </w:r>
          </w:p>
        </w:tc>
        <w:tc>
          <w:tcPr>
            <w:tcW w:w="1300" w:type="dxa"/>
            <w:tcBorders>
              <w:top w:val="nil"/>
              <w:left w:val="nil"/>
              <w:bottom w:val="nil"/>
              <w:right w:val="single" w:sz="4" w:space="0" w:color="auto"/>
            </w:tcBorders>
            <w:shd w:val="clear" w:color="auto" w:fill="auto"/>
            <w:noWrap/>
            <w:vAlign w:val="bottom"/>
            <w:hideMark/>
          </w:tcPr>
          <w:p w14:paraId="47459F2A" w14:textId="7CD6C692" w:rsidR="00603E50" w:rsidRPr="00713FC8" w:rsidRDefault="00603E50" w:rsidP="00603E50">
            <w:pPr>
              <w:jc w:val="right"/>
              <w:rPr>
                <w:color w:val="0070C0"/>
                <w:sz w:val="18"/>
                <w:szCs w:val="18"/>
              </w:rPr>
            </w:pPr>
            <w:r>
              <w:rPr>
                <w:sz w:val="18"/>
                <w:szCs w:val="18"/>
              </w:rPr>
              <w:t>249,4%</w:t>
            </w:r>
          </w:p>
        </w:tc>
      </w:tr>
      <w:tr w:rsidR="00723E55" w:rsidRPr="00DB12BD" w14:paraId="207EC7A3" w14:textId="77777777" w:rsidTr="000406B2">
        <w:trPr>
          <w:trHeight w:val="255"/>
        </w:trPr>
        <w:tc>
          <w:tcPr>
            <w:tcW w:w="4263" w:type="dxa"/>
            <w:tcBorders>
              <w:top w:val="nil"/>
              <w:left w:val="single" w:sz="8" w:space="0" w:color="auto"/>
              <w:bottom w:val="nil"/>
              <w:right w:val="nil"/>
            </w:tcBorders>
            <w:shd w:val="clear" w:color="auto" w:fill="auto"/>
            <w:noWrap/>
            <w:vAlign w:val="bottom"/>
          </w:tcPr>
          <w:p w14:paraId="46FCE854" w14:textId="3B144268" w:rsidR="00723E55" w:rsidRPr="002C2F26" w:rsidRDefault="00723E55" w:rsidP="00723E55">
            <w:pPr>
              <w:rPr>
                <w:sz w:val="18"/>
                <w:szCs w:val="18"/>
              </w:rPr>
            </w:pPr>
            <w:r w:rsidRPr="002C2F26">
              <w:rPr>
                <w:sz w:val="18"/>
                <w:szCs w:val="18"/>
              </w:rPr>
              <w:t xml:space="preserve">    Капиталови</w:t>
            </w:r>
          </w:p>
        </w:tc>
        <w:tc>
          <w:tcPr>
            <w:tcW w:w="992" w:type="dxa"/>
            <w:tcBorders>
              <w:top w:val="nil"/>
              <w:left w:val="nil"/>
              <w:bottom w:val="nil"/>
              <w:right w:val="nil"/>
            </w:tcBorders>
            <w:shd w:val="clear" w:color="auto" w:fill="auto"/>
            <w:noWrap/>
            <w:vAlign w:val="bottom"/>
          </w:tcPr>
          <w:p w14:paraId="6F69C59D" w14:textId="1B5E54EE" w:rsidR="00723E55" w:rsidRPr="002C2F26" w:rsidRDefault="00723E55" w:rsidP="00723E55">
            <w:pPr>
              <w:jc w:val="right"/>
              <w:rPr>
                <w:color w:val="0070C0"/>
                <w:sz w:val="18"/>
                <w:szCs w:val="18"/>
              </w:rPr>
            </w:pPr>
            <w:r>
              <w:rPr>
                <w:sz w:val="18"/>
                <w:szCs w:val="18"/>
              </w:rPr>
              <w:t>8 400,1</w:t>
            </w:r>
          </w:p>
        </w:tc>
        <w:tc>
          <w:tcPr>
            <w:tcW w:w="1087" w:type="dxa"/>
            <w:tcBorders>
              <w:top w:val="nil"/>
              <w:left w:val="nil"/>
              <w:bottom w:val="nil"/>
              <w:right w:val="nil"/>
            </w:tcBorders>
            <w:shd w:val="clear" w:color="auto" w:fill="auto"/>
            <w:noWrap/>
            <w:vAlign w:val="bottom"/>
          </w:tcPr>
          <w:p w14:paraId="47CF15D7" w14:textId="7A5BFB0D" w:rsidR="00723E55" w:rsidRPr="002C2F26" w:rsidRDefault="00723E55" w:rsidP="00723E55">
            <w:pPr>
              <w:jc w:val="right"/>
              <w:rPr>
                <w:color w:val="0070C0"/>
                <w:sz w:val="18"/>
                <w:szCs w:val="18"/>
              </w:rPr>
            </w:pPr>
            <w:r>
              <w:rPr>
                <w:sz w:val="18"/>
                <w:szCs w:val="18"/>
              </w:rPr>
              <w:t>5 696,7</w:t>
            </w:r>
          </w:p>
        </w:tc>
        <w:tc>
          <w:tcPr>
            <w:tcW w:w="1252" w:type="dxa"/>
            <w:tcBorders>
              <w:top w:val="nil"/>
              <w:left w:val="nil"/>
              <w:bottom w:val="nil"/>
              <w:right w:val="nil"/>
            </w:tcBorders>
            <w:shd w:val="clear" w:color="auto" w:fill="auto"/>
            <w:noWrap/>
            <w:vAlign w:val="bottom"/>
          </w:tcPr>
          <w:p w14:paraId="6E85B20B" w14:textId="63CCD867" w:rsidR="00723E55" w:rsidRPr="002C2F26" w:rsidRDefault="00723E55" w:rsidP="00723E55">
            <w:pPr>
              <w:jc w:val="right"/>
              <w:rPr>
                <w:color w:val="0070C0"/>
                <w:sz w:val="18"/>
                <w:szCs w:val="18"/>
              </w:rPr>
            </w:pPr>
            <w:r>
              <w:rPr>
                <w:color w:val="000000"/>
                <w:sz w:val="18"/>
                <w:szCs w:val="18"/>
              </w:rPr>
              <w:t>3 896,5</w:t>
            </w:r>
          </w:p>
        </w:tc>
        <w:tc>
          <w:tcPr>
            <w:tcW w:w="1199" w:type="dxa"/>
            <w:tcBorders>
              <w:top w:val="nil"/>
              <w:left w:val="nil"/>
              <w:bottom w:val="nil"/>
              <w:right w:val="nil"/>
            </w:tcBorders>
            <w:shd w:val="clear" w:color="auto" w:fill="auto"/>
            <w:noWrap/>
            <w:vAlign w:val="bottom"/>
          </w:tcPr>
          <w:p w14:paraId="1A0C4124" w14:textId="67EDE239" w:rsidR="00723E55" w:rsidRPr="002C2F26" w:rsidRDefault="00723E55" w:rsidP="00723E55">
            <w:pPr>
              <w:jc w:val="right"/>
              <w:rPr>
                <w:color w:val="0070C0"/>
                <w:sz w:val="18"/>
                <w:szCs w:val="18"/>
              </w:rPr>
            </w:pPr>
            <w:r>
              <w:rPr>
                <w:color w:val="000000"/>
                <w:sz w:val="18"/>
                <w:szCs w:val="18"/>
              </w:rPr>
              <w:t>1 800,2</w:t>
            </w:r>
          </w:p>
        </w:tc>
        <w:tc>
          <w:tcPr>
            <w:tcW w:w="1300" w:type="dxa"/>
            <w:tcBorders>
              <w:top w:val="nil"/>
              <w:left w:val="nil"/>
              <w:bottom w:val="nil"/>
              <w:right w:val="single" w:sz="4" w:space="0" w:color="auto"/>
            </w:tcBorders>
            <w:shd w:val="clear" w:color="auto" w:fill="auto"/>
            <w:noWrap/>
            <w:vAlign w:val="bottom"/>
          </w:tcPr>
          <w:p w14:paraId="632BC057" w14:textId="785C5BA3" w:rsidR="00723E55" w:rsidRPr="00713FC8" w:rsidRDefault="00723E55" w:rsidP="00723E55">
            <w:pPr>
              <w:jc w:val="right"/>
              <w:rPr>
                <w:color w:val="0070C0"/>
                <w:sz w:val="18"/>
                <w:szCs w:val="18"/>
              </w:rPr>
            </w:pPr>
            <w:r>
              <w:rPr>
                <w:sz w:val="18"/>
                <w:szCs w:val="18"/>
              </w:rPr>
              <w:t>67,8%</w:t>
            </w:r>
          </w:p>
        </w:tc>
      </w:tr>
      <w:tr w:rsidR="00723E55" w:rsidRPr="00DB12BD" w14:paraId="3259E57D" w14:textId="77777777" w:rsidTr="000406B2">
        <w:trPr>
          <w:trHeight w:val="255"/>
        </w:trPr>
        <w:tc>
          <w:tcPr>
            <w:tcW w:w="4263" w:type="dxa"/>
            <w:tcBorders>
              <w:top w:val="nil"/>
              <w:left w:val="single" w:sz="8" w:space="0" w:color="auto"/>
              <w:bottom w:val="nil"/>
              <w:right w:val="nil"/>
            </w:tcBorders>
            <w:shd w:val="clear" w:color="auto" w:fill="auto"/>
            <w:noWrap/>
            <w:vAlign w:val="bottom"/>
            <w:hideMark/>
          </w:tcPr>
          <w:p w14:paraId="3ABD7F9F" w14:textId="16E1CEA9" w:rsidR="00723E55" w:rsidRPr="00DF3F70" w:rsidRDefault="00723E55" w:rsidP="00723E55">
            <w:pPr>
              <w:rPr>
                <w:sz w:val="18"/>
                <w:szCs w:val="18"/>
                <w:highlight w:val="yellow"/>
              </w:rPr>
            </w:pPr>
            <w:r w:rsidRPr="00133E02">
              <w:rPr>
                <w:sz w:val="18"/>
                <w:szCs w:val="18"/>
              </w:rPr>
              <w:t xml:space="preserve">           в т.ч. нетен прираст на държавния резерв</w:t>
            </w:r>
          </w:p>
        </w:tc>
        <w:tc>
          <w:tcPr>
            <w:tcW w:w="992" w:type="dxa"/>
            <w:tcBorders>
              <w:top w:val="nil"/>
              <w:left w:val="nil"/>
              <w:bottom w:val="nil"/>
              <w:right w:val="nil"/>
            </w:tcBorders>
            <w:shd w:val="clear" w:color="auto" w:fill="auto"/>
            <w:noWrap/>
            <w:vAlign w:val="bottom"/>
            <w:hideMark/>
          </w:tcPr>
          <w:p w14:paraId="12D5D493" w14:textId="1A708860" w:rsidR="00723E55" w:rsidRPr="00DF3F70" w:rsidRDefault="00723E55" w:rsidP="00723E55">
            <w:pPr>
              <w:jc w:val="right"/>
              <w:rPr>
                <w:color w:val="0070C0"/>
                <w:sz w:val="18"/>
                <w:szCs w:val="18"/>
                <w:highlight w:val="yellow"/>
              </w:rPr>
            </w:pPr>
            <w:r>
              <w:rPr>
                <w:sz w:val="18"/>
                <w:szCs w:val="18"/>
              </w:rPr>
              <w:t>31,3</w:t>
            </w:r>
          </w:p>
        </w:tc>
        <w:tc>
          <w:tcPr>
            <w:tcW w:w="1087" w:type="dxa"/>
            <w:tcBorders>
              <w:top w:val="nil"/>
              <w:left w:val="nil"/>
              <w:bottom w:val="nil"/>
              <w:right w:val="nil"/>
            </w:tcBorders>
            <w:shd w:val="clear" w:color="auto" w:fill="auto"/>
            <w:noWrap/>
            <w:vAlign w:val="bottom"/>
            <w:hideMark/>
          </w:tcPr>
          <w:p w14:paraId="3048CEC4" w14:textId="4C4502D6" w:rsidR="00723E55" w:rsidRPr="00DF3F70" w:rsidRDefault="00723E55" w:rsidP="00723E55">
            <w:pPr>
              <w:jc w:val="right"/>
              <w:rPr>
                <w:color w:val="0070C0"/>
                <w:sz w:val="18"/>
                <w:szCs w:val="18"/>
                <w:highlight w:val="yellow"/>
              </w:rPr>
            </w:pPr>
            <w:r>
              <w:rPr>
                <w:sz w:val="18"/>
                <w:szCs w:val="18"/>
              </w:rPr>
              <w:t>110,8</w:t>
            </w:r>
          </w:p>
        </w:tc>
        <w:tc>
          <w:tcPr>
            <w:tcW w:w="1252" w:type="dxa"/>
            <w:tcBorders>
              <w:top w:val="nil"/>
              <w:left w:val="nil"/>
              <w:bottom w:val="nil"/>
              <w:right w:val="nil"/>
            </w:tcBorders>
            <w:shd w:val="clear" w:color="auto" w:fill="auto"/>
            <w:noWrap/>
            <w:vAlign w:val="bottom"/>
            <w:hideMark/>
          </w:tcPr>
          <w:p w14:paraId="7430F3FD" w14:textId="771C0104" w:rsidR="00723E55" w:rsidRPr="00DF3F70" w:rsidRDefault="00723E55" w:rsidP="00723E55">
            <w:pPr>
              <w:jc w:val="right"/>
              <w:rPr>
                <w:color w:val="0070C0"/>
                <w:sz w:val="18"/>
                <w:szCs w:val="18"/>
                <w:highlight w:val="yellow"/>
              </w:rPr>
            </w:pPr>
            <w:r>
              <w:rPr>
                <w:color w:val="000000"/>
                <w:sz w:val="18"/>
                <w:szCs w:val="18"/>
              </w:rPr>
              <w:t>110,8</w:t>
            </w:r>
          </w:p>
        </w:tc>
        <w:tc>
          <w:tcPr>
            <w:tcW w:w="1199" w:type="dxa"/>
            <w:tcBorders>
              <w:top w:val="nil"/>
              <w:left w:val="nil"/>
              <w:bottom w:val="nil"/>
              <w:right w:val="nil"/>
            </w:tcBorders>
            <w:shd w:val="clear" w:color="auto" w:fill="auto"/>
            <w:noWrap/>
            <w:vAlign w:val="bottom"/>
            <w:hideMark/>
          </w:tcPr>
          <w:p w14:paraId="150D395C" w14:textId="32D0F813" w:rsidR="00723E55" w:rsidRPr="00DF3F70" w:rsidRDefault="00723E55" w:rsidP="00723E55">
            <w:pPr>
              <w:jc w:val="right"/>
              <w:rPr>
                <w:color w:val="0070C0"/>
                <w:sz w:val="18"/>
                <w:szCs w:val="18"/>
                <w:highlight w:val="yellow"/>
              </w:rPr>
            </w:pPr>
          </w:p>
        </w:tc>
        <w:tc>
          <w:tcPr>
            <w:tcW w:w="1300" w:type="dxa"/>
            <w:tcBorders>
              <w:top w:val="nil"/>
              <w:left w:val="nil"/>
              <w:bottom w:val="nil"/>
              <w:right w:val="single" w:sz="4" w:space="0" w:color="auto"/>
            </w:tcBorders>
            <w:shd w:val="clear" w:color="auto" w:fill="auto"/>
            <w:noWrap/>
            <w:vAlign w:val="bottom"/>
            <w:hideMark/>
          </w:tcPr>
          <w:p w14:paraId="375E290F" w14:textId="31A7B9EF" w:rsidR="00723E55" w:rsidRPr="00713FC8" w:rsidRDefault="00723E55" w:rsidP="00723E55">
            <w:pPr>
              <w:jc w:val="right"/>
              <w:rPr>
                <w:color w:val="0070C0"/>
                <w:sz w:val="18"/>
                <w:szCs w:val="18"/>
              </w:rPr>
            </w:pPr>
            <w:r>
              <w:rPr>
                <w:sz w:val="18"/>
                <w:szCs w:val="18"/>
              </w:rPr>
              <w:t>354,1%</w:t>
            </w:r>
          </w:p>
        </w:tc>
      </w:tr>
      <w:tr w:rsidR="00643420" w:rsidRPr="00DB12BD" w14:paraId="328649EE" w14:textId="77777777" w:rsidTr="000406B2">
        <w:trPr>
          <w:trHeight w:val="255"/>
        </w:trPr>
        <w:tc>
          <w:tcPr>
            <w:tcW w:w="4263" w:type="dxa"/>
            <w:tcBorders>
              <w:top w:val="nil"/>
              <w:left w:val="single" w:sz="8" w:space="0" w:color="auto"/>
              <w:bottom w:val="nil"/>
              <w:right w:val="nil"/>
            </w:tcBorders>
            <w:shd w:val="clear" w:color="auto" w:fill="auto"/>
            <w:noWrap/>
            <w:vAlign w:val="bottom"/>
            <w:hideMark/>
          </w:tcPr>
          <w:p w14:paraId="3DC5B95D" w14:textId="63558E5B" w:rsidR="00643420" w:rsidRPr="00133E02" w:rsidRDefault="00643420" w:rsidP="001A0204">
            <w:pPr>
              <w:rPr>
                <w:sz w:val="18"/>
                <w:szCs w:val="18"/>
              </w:rPr>
            </w:pPr>
            <w:r w:rsidRPr="00133E02">
              <w:rPr>
                <w:sz w:val="18"/>
                <w:szCs w:val="18"/>
                <w:lang w:val="en-US"/>
              </w:rPr>
              <w:t xml:space="preserve">   </w:t>
            </w:r>
            <w:r w:rsidRPr="00133E02">
              <w:rPr>
                <w:sz w:val="18"/>
                <w:szCs w:val="18"/>
              </w:rPr>
              <w:t>Еднократни извънредни разходи</w:t>
            </w:r>
          </w:p>
        </w:tc>
        <w:tc>
          <w:tcPr>
            <w:tcW w:w="992" w:type="dxa"/>
            <w:tcBorders>
              <w:top w:val="nil"/>
              <w:left w:val="nil"/>
              <w:bottom w:val="nil"/>
              <w:right w:val="nil"/>
            </w:tcBorders>
            <w:shd w:val="clear" w:color="auto" w:fill="auto"/>
            <w:noWrap/>
            <w:vAlign w:val="bottom"/>
            <w:hideMark/>
          </w:tcPr>
          <w:p w14:paraId="6564ED2A" w14:textId="644315D1" w:rsidR="00643420" w:rsidRPr="00DB12BD" w:rsidRDefault="00643420" w:rsidP="001A0204">
            <w:pPr>
              <w:jc w:val="right"/>
              <w:rPr>
                <w:color w:val="0070C0"/>
                <w:sz w:val="18"/>
                <w:szCs w:val="18"/>
              </w:rPr>
            </w:pPr>
          </w:p>
        </w:tc>
        <w:tc>
          <w:tcPr>
            <w:tcW w:w="1087" w:type="dxa"/>
            <w:tcBorders>
              <w:top w:val="nil"/>
              <w:left w:val="nil"/>
              <w:bottom w:val="nil"/>
              <w:right w:val="nil"/>
            </w:tcBorders>
            <w:shd w:val="clear" w:color="auto" w:fill="auto"/>
            <w:noWrap/>
            <w:vAlign w:val="bottom"/>
            <w:hideMark/>
          </w:tcPr>
          <w:p w14:paraId="6BEB4FED" w14:textId="77C65331" w:rsidR="00643420" w:rsidRPr="00DB12BD" w:rsidRDefault="00643420" w:rsidP="001A0204">
            <w:pPr>
              <w:jc w:val="right"/>
              <w:rPr>
                <w:color w:val="0070C0"/>
                <w:sz w:val="18"/>
                <w:szCs w:val="18"/>
              </w:rPr>
            </w:pPr>
            <w:r>
              <w:rPr>
                <w:sz w:val="18"/>
                <w:szCs w:val="18"/>
              </w:rPr>
              <w:t>3 181,0</w:t>
            </w:r>
          </w:p>
        </w:tc>
        <w:tc>
          <w:tcPr>
            <w:tcW w:w="1252" w:type="dxa"/>
            <w:tcBorders>
              <w:top w:val="nil"/>
              <w:left w:val="nil"/>
              <w:bottom w:val="nil"/>
              <w:right w:val="nil"/>
            </w:tcBorders>
            <w:shd w:val="clear" w:color="auto" w:fill="auto"/>
            <w:noWrap/>
            <w:vAlign w:val="bottom"/>
            <w:hideMark/>
          </w:tcPr>
          <w:p w14:paraId="3D6637FA" w14:textId="59F215F0" w:rsidR="00643420" w:rsidRPr="00DB12BD" w:rsidRDefault="00643420" w:rsidP="001A0204">
            <w:pPr>
              <w:jc w:val="right"/>
              <w:rPr>
                <w:color w:val="0070C0"/>
                <w:sz w:val="18"/>
                <w:szCs w:val="18"/>
              </w:rPr>
            </w:pPr>
            <w:r>
              <w:rPr>
                <w:color w:val="000000"/>
                <w:sz w:val="18"/>
                <w:szCs w:val="18"/>
              </w:rPr>
              <w:t>3 181,0</w:t>
            </w:r>
          </w:p>
        </w:tc>
        <w:tc>
          <w:tcPr>
            <w:tcW w:w="1199" w:type="dxa"/>
            <w:tcBorders>
              <w:top w:val="nil"/>
              <w:left w:val="nil"/>
              <w:bottom w:val="nil"/>
              <w:right w:val="nil"/>
            </w:tcBorders>
            <w:shd w:val="clear" w:color="auto" w:fill="auto"/>
            <w:noWrap/>
            <w:vAlign w:val="bottom"/>
          </w:tcPr>
          <w:p w14:paraId="157E357C" w14:textId="53D55F14" w:rsidR="00643420" w:rsidRPr="00DB12BD" w:rsidRDefault="00643420" w:rsidP="001A0204">
            <w:pPr>
              <w:jc w:val="right"/>
              <w:rPr>
                <w:color w:val="0070C0"/>
                <w:sz w:val="18"/>
                <w:szCs w:val="18"/>
              </w:rPr>
            </w:pPr>
          </w:p>
        </w:tc>
        <w:tc>
          <w:tcPr>
            <w:tcW w:w="1300" w:type="dxa"/>
            <w:tcBorders>
              <w:top w:val="nil"/>
              <w:left w:val="nil"/>
              <w:bottom w:val="nil"/>
              <w:right w:val="single" w:sz="4" w:space="0" w:color="auto"/>
            </w:tcBorders>
            <w:shd w:val="clear" w:color="auto" w:fill="auto"/>
            <w:noWrap/>
            <w:vAlign w:val="bottom"/>
          </w:tcPr>
          <w:p w14:paraId="25D68A59" w14:textId="3DA8709F" w:rsidR="00643420" w:rsidRPr="00713FC8" w:rsidRDefault="00643420" w:rsidP="001A0204">
            <w:pPr>
              <w:jc w:val="right"/>
              <w:rPr>
                <w:color w:val="0070C0"/>
                <w:sz w:val="18"/>
                <w:szCs w:val="18"/>
              </w:rPr>
            </w:pPr>
            <w:r w:rsidRPr="00713FC8">
              <w:rPr>
                <w:sz w:val="18"/>
                <w:szCs w:val="18"/>
              </w:rPr>
              <w:t> </w:t>
            </w:r>
          </w:p>
        </w:tc>
      </w:tr>
      <w:tr w:rsidR="00723E55" w:rsidRPr="00DB12BD" w14:paraId="10D30906" w14:textId="77777777" w:rsidTr="000406B2">
        <w:trPr>
          <w:trHeight w:val="255"/>
        </w:trPr>
        <w:tc>
          <w:tcPr>
            <w:tcW w:w="4263" w:type="dxa"/>
            <w:tcBorders>
              <w:top w:val="nil"/>
              <w:left w:val="single" w:sz="8" w:space="0" w:color="auto"/>
              <w:bottom w:val="nil"/>
              <w:right w:val="nil"/>
            </w:tcBorders>
            <w:shd w:val="clear" w:color="auto" w:fill="auto"/>
            <w:noWrap/>
            <w:vAlign w:val="bottom"/>
          </w:tcPr>
          <w:p w14:paraId="26D2E0B8" w14:textId="3CE9908F" w:rsidR="00723E55" w:rsidRPr="00133E02" w:rsidRDefault="00723E55" w:rsidP="00723E55">
            <w:pPr>
              <w:rPr>
                <w:sz w:val="18"/>
                <w:szCs w:val="18"/>
              </w:rPr>
            </w:pPr>
            <w:r w:rsidRPr="00133E02">
              <w:rPr>
                <w:sz w:val="18"/>
                <w:szCs w:val="18"/>
              </w:rPr>
              <w:t xml:space="preserve">  Лихвени</w:t>
            </w:r>
          </w:p>
        </w:tc>
        <w:tc>
          <w:tcPr>
            <w:tcW w:w="992" w:type="dxa"/>
            <w:tcBorders>
              <w:top w:val="nil"/>
              <w:left w:val="nil"/>
              <w:bottom w:val="nil"/>
              <w:right w:val="nil"/>
            </w:tcBorders>
            <w:shd w:val="clear" w:color="auto" w:fill="auto"/>
            <w:noWrap/>
            <w:vAlign w:val="bottom"/>
          </w:tcPr>
          <w:p w14:paraId="0303AA98" w14:textId="2EA55FB6" w:rsidR="00723E55" w:rsidRPr="00DB12BD" w:rsidRDefault="00723E55" w:rsidP="00723E55">
            <w:pPr>
              <w:jc w:val="right"/>
              <w:rPr>
                <w:color w:val="0070C0"/>
                <w:sz w:val="18"/>
                <w:szCs w:val="18"/>
              </w:rPr>
            </w:pPr>
            <w:r>
              <w:rPr>
                <w:sz w:val="18"/>
                <w:szCs w:val="18"/>
              </w:rPr>
              <w:t>664,3</w:t>
            </w:r>
          </w:p>
        </w:tc>
        <w:tc>
          <w:tcPr>
            <w:tcW w:w="1087" w:type="dxa"/>
            <w:tcBorders>
              <w:top w:val="nil"/>
              <w:left w:val="nil"/>
              <w:bottom w:val="nil"/>
              <w:right w:val="nil"/>
            </w:tcBorders>
            <w:shd w:val="clear" w:color="auto" w:fill="auto"/>
            <w:noWrap/>
            <w:vAlign w:val="bottom"/>
          </w:tcPr>
          <w:p w14:paraId="3EB44217" w14:textId="032E9BA4" w:rsidR="00723E55" w:rsidRPr="00ED66F9" w:rsidRDefault="00723E55" w:rsidP="00723E55">
            <w:pPr>
              <w:jc w:val="right"/>
              <w:rPr>
                <w:color w:val="0070C0"/>
                <w:sz w:val="18"/>
                <w:szCs w:val="18"/>
              </w:rPr>
            </w:pPr>
            <w:r>
              <w:rPr>
                <w:sz w:val="18"/>
                <w:szCs w:val="18"/>
              </w:rPr>
              <w:t>651,9</w:t>
            </w:r>
          </w:p>
        </w:tc>
        <w:tc>
          <w:tcPr>
            <w:tcW w:w="1252" w:type="dxa"/>
            <w:tcBorders>
              <w:top w:val="nil"/>
              <w:left w:val="nil"/>
              <w:bottom w:val="nil"/>
              <w:right w:val="nil"/>
            </w:tcBorders>
            <w:shd w:val="clear" w:color="auto" w:fill="auto"/>
            <w:noWrap/>
            <w:vAlign w:val="bottom"/>
          </w:tcPr>
          <w:p w14:paraId="24584107" w14:textId="0B8F5B42" w:rsidR="00723E55" w:rsidRPr="00ED66F9" w:rsidRDefault="00723E55" w:rsidP="00723E55">
            <w:pPr>
              <w:jc w:val="right"/>
              <w:rPr>
                <w:color w:val="0070C0"/>
                <w:sz w:val="18"/>
                <w:szCs w:val="18"/>
              </w:rPr>
            </w:pPr>
            <w:r>
              <w:rPr>
                <w:color w:val="000000"/>
                <w:sz w:val="18"/>
                <w:szCs w:val="18"/>
              </w:rPr>
              <w:t>651,9</w:t>
            </w:r>
          </w:p>
        </w:tc>
        <w:tc>
          <w:tcPr>
            <w:tcW w:w="1199" w:type="dxa"/>
            <w:tcBorders>
              <w:top w:val="nil"/>
              <w:left w:val="nil"/>
              <w:bottom w:val="nil"/>
              <w:right w:val="nil"/>
            </w:tcBorders>
            <w:shd w:val="clear" w:color="auto" w:fill="auto"/>
            <w:noWrap/>
            <w:vAlign w:val="bottom"/>
          </w:tcPr>
          <w:p w14:paraId="68C37DC3" w14:textId="1B2FC52D" w:rsidR="00723E55" w:rsidRPr="00DB12BD" w:rsidRDefault="00723E55" w:rsidP="00723E55">
            <w:pPr>
              <w:jc w:val="right"/>
              <w:rPr>
                <w:color w:val="0070C0"/>
                <w:sz w:val="18"/>
                <w:szCs w:val="18"/>
              </w:rPr>
            </w:pPr>
            <w:r>
              <w:rPr>
                <w:color w:val="000000"/>
                <w:sz w:val="18"/>
                <w:szCs w:val="18"/>
              </w:rPr>
              <w:t>0,007</w:t>
            </w:r>
          </w:p>
        </w:tc>
        <w:tc>
          <w:tcPr>
            <w:tcW w:w="1300" w:type="dxa"/>
            <w:tcBorders>
              <w:top w:val="nil"/>
              <w:left w:val="nil"/>
              <w:bottom w:val="nil"/>
              <w:right w:val="single" w:sz="4" w:space="0" w:color="auto"/>
            </w:tcBorders>
            <w:shd w:val="clear" w:color="auto" w:fill="auto"/>
            <w:noWrap/>
            <w:vAlign w:val="bottom"/>
          </w:tcPr>
          <w:p w14:paraId="2EBC81F9" w14:textId="7072F697" w:rsidR="00723E55" w:rsidRPr="00713FC8" w:rsidRDefault="00723E55" w:rsidP="00723E55">
            <w:pPr>
              <w:jc w:val="right"/>
              <w:rPr>
                <w:color w:val="0070C0"/>
                <w:sz w:val="18"/>
                <w:szCs w:val="18"/>
              </w:rPr>
            </w:pPr>
            <w:r>
              <w:rPr>
                <w:sz w:val="18"/>
                <w:szCs w:val="18"/>
              </w:rPr>
              <w:t>98,1%</w:t>
            </w:r>
          </w:p>
        </w:tc>
      </w:tr>
      <w:tr w:rsidR="00723E55" w:rsidRPr="00DB12BD" w14:paraId="5A2CD1E1" w14:textId="77777777" w:rsidTr="00BA14F1">
        <w:trPr>
          <w:trHeight w:val="255"/>
        </w:trPr>
        <w:tc>
          <w:tcPr>
            <w:tcW w:w="4263" w:type="dxa"/>
            <w:tcBorders>
              <w:top w:val="nil"/>
              <w:left w:val="single" w:sz="8" w:space="0" w:color="auto"/>
              <w:bottom w:val="nil"/>
              <w:right w:val="nil"/>
            </w:tcBorders>
            <w:shd w:val="clear" w:color="auto" w:fill="auto"/>
            <w:noWrap/>
            <w:vAlign w:val="bottom"/>
            <w:hideMark/>
          </w:tcPr>
          <w:p w14:paraId="64CF01E1" w14:textId="526C7F10" w:rsidR="00723E55" w:rsidRPr="00133E02" w:rsidRDefault="00723E55" w:rsidP="00723E55">
            <w:pPr>
              <w:rPr>
                <w:sz w:val="18"/>
                <w:szCs w:val="18"/>
              </w:rPr>
            </w:pPr>
            <w:r w:rsidRPr="00133E02">
              <w:rPr>
                <w:sz w:val="18"/>
                <w:szCs w:val="18"/>
              </w:rPr>
              <w:t xml:space="preserve">  Резерв за неотложни и непредвидени разходи</w:t>
            </w:r>
          </w:p>
        </w:tc>
        <w:tc>
          <w:tcPr>
            <w:tcW w:w="992" w:type="dxa"/>
            <w:tcBorders>
              <w:top w:val="nil"/>
              <w:left w:val="nil"/>
              <w:bottom w:val="nil"/>
              <w:right w:val="nil"/>
            </w:tcBorders>
            <w:shd w:val="clear" w:color="auto" w:fill="auto"/>
            <w:noWrap/>
            <w:vAlign w:val="bottom"/>
            <w:hideMark/>
          </w:tcPr>
          <w:p w14:paraId="74880D72" w14:textId="74E472E6" w:rsidR="00723E55" w:rsidRPr="00DB12BD" w:rsidRDefault="00723E55" w:rsidP="00723E55">
            <w:pPr>
              <w:jc w:val="right"/>
              <w:rPr>
                <w:color w:val="0070C0"/>
                <w:sz w:val="18"/>
                <w:szCs w:val="18"/>
              </w:rPr>
            </w:pPr>
            <w:r>
              <w:rPr>
                <w:sz w:val="18"/>
                <w:szCs w:val="18"/>
              </w:rPr>
              <w:t>258,8</w:t>
            </w:r>
          </w:p>
        </w:tc>
        <w:tc>
          <w:tcPr>
            <w:tcW w:w="1087" w:type="dxa"/>
            <w:tcBorders>
              <w:top w:val="nil"/>
              <w:left w:val="nil"/>
              <w:bottom w:val="nil"/>
              <w:right w:val="nil"/>
            </w:tcBorders>
            <w:shd w:val="clear" w:color="auto" w:fill="auto"/>
            <w:noWrap/>
            <w:vAlign w:val="bottom"/>
            <w:hideMark/>
          </w:tcPr>
          <w:p w14:paraId="2278C028" w14:textId="272BBDCE" w:rsidR="00723E55" w:rsidRPr="00DB12BD" w:rsidRDefault="00723E55" w:rsidP="00723E55">
            <w:pPr>
              <w:jc w:val="right"/>
              <w:rPr>
                <w:color w:val="0070C0"/>
                <w:sz w:val="18"/>
                <w:szCs w:val="18"/>
              </w:rPr>
            </w:pPr>
          </w:p>
        </w:tc>
        <w:tc>
          <w:tcPr>
            <w:tcW w:w="1252" w:type="dxa"/>
            <w:tcBorders>
              <w:top w:val="nil"/>
              <w:left w:val="nil"/>
              <w:bottom w:val="nil"/>
              <w:right w:val="nil"/>
            </w:tcBorders>
            <w:shd w:val="clear" w:color="auto" w:fill="auto"/>
            <w:noWrap/>
            <w:vAlign w:val="bottom"/>
            <w:hideMark/>
          </w:tcPr>
          <w:p w14:paraId="0D708E2F" w14:textId="541D4700" w:rsidR="00723E55" w:rsidRPr="00DB12BD" w:rsidRDefault="00723E55" w:rsidP="00723E55">
            <w:pPr>
              <w:jc w:val="right"/>
              <w:rPr>
                <w:color w:val="0070C0"/>
                <w:sz w:val="18"/>
                <w:szCs w:val="18"/>
              </w:rPr>
            </w:pPr>
          </w:p>
        </w:tc>
        <w:tc>
          <w:tcPr>
            <w:tcW w:w="1199" w:type="dxa"/>
            <w:tcBorders>
              <w:top w:val="nil"/>
              <w:left w:val="nil"/>
              <w:bottom w:val="nil"/>
              <w:right w:val="nil"/>
            </w:tcBorders>
            <w:shd w:val="clear" w:color="auto" w:fill="auto"/>
            <w:noWrap/>
            <w:vAlign w:val="bottom"/>
          </w:tcPr>
          <w:p w14:paraId="320B57C6" w14:textId="0239A990" w:rsidR="00723E55" w:rsidRPr="00DB12BD" w:rsidRDefault="00723E55" w:rsidP="00723E55">
            <w:pPr>
              <w:jc w:val="right"/>
              <w:rPr>
                <w:color w:val="0070C0"/>
                <w:sz w:val="18"/>
                <w:szCs w:val="18"/>
              </w:rPr>
            </w:pPr>
          </w:p>
        </w:tc>
        <w:tc>
          <w:tcPr>
            <w:tcW w:w="1300" w:type="dxa"/>
            <w:tcBorders>
              <w:top w:val="nil"/>
              <w:left w:val="nil"/>
              <w:bottom w:val="nil"/>
              <w:right w:val="single" w:sz="4" w:space="0" w:color="auto"/>
            </w:tcBorders>
            <w:shd w:val="clear" w:color="auto" w:fill="auto"/>
            <w:noWrap/>
            <w:vAlign w:val="bottom"/>
            <w:hideMark/>
          </w:tcPr>
          <w:p w14:paraId="78331155" w14:textId="05267AD1" w:rsidR="00723E55" w:rsidRPr="00713FC8" w:rsidRDefault="00723E55" w:rsidP="00723E55">
            <w:pPr>
              <w:jc w:val="right"/>
              <w:rPr>
                <w:color w:val="0070C0"/>
                <w:sz w:val="18"/>
                <w:szCs w:val="18"/>
              </w:rPr>
            </w:pPr>
            <w:r>
              <w:rPr>
                <w:sz w:val="18"/>
                <w:szCs w:val="18"/>
              </w:rPr>
              <w:t> </w:t>
            </w:r>
          </w:p>
        </w:tc>
      </w:tr>
      <w:tr w:rsidR="00723E55" w:rsidRPr="00DB12BD" w14:paraId="4E94AE1E" w14:textId="77777777" w:rsidTr="00723E55">
        <w:trPr>
          <w:trHeight w:val="255"/>
        </w:trPr>
        <w:tc>
          <w:tcPr>
            <w:tcW w:w="4263" w:type="dxa"/>
            <w:tcBorders>
              <w:top w:val="nil"/>
              <w:left w:val="single" w:sz="8" w:space="0" w:color="auto"/>
              <w:bottom w:val="single" w:sz="4" w:space="0" w:color="auto"/>
              <w:right w:val="nil"/>
            </w:tcBorders>
            <w:shd w:val="clear" w:color="auto" w:fill="auto"/>
            <w:noWrap/>
            <w:vAlign w:val="bottom"/>
            <w:hideMark/>
          </w:tcPr>
          <w:p w14:paraId="047C8314" w14:textId="7620BBB6" w:rsidR="00723E55" w:rsidRPr="00133E02" w:rsidRDefault="00723E55" w:rsidP="00723E55">
            <w:pPr>
              <w:rPr>
                <w:sz w:val="18"/>
                <w:szCs w:val="18"/>
              </w:rPr>
            </w:pPr>
            <w:r w:rsidRPr="00133E02">
              <w:rPr>
                <w:sz w:val="18"/>
                <w:szCs w:val="18"/>
              </w:rPr>
              <w:t xml:space="preserve">  Вноска за общия бюджет на ЕС</w:t>
            </w:r>
          </w:p>
        </w:tc>
        <w:tc>
          <w:tcPr>
            <w:tcW w:w="992" w:type="dxa"/>
            <w:tcBorders>
              <w:top w:val="nil"/>
              <w:left w:val="nil"/>
              <w:bottom w:val="single" w:sz="4" w:space="0" w:color="auto"/>
              <w:right w:val="nil"/>
            </w:tcBorders>
            <w:shd w:val="clear" w:color="auto" w:fill="auto"/>
            <w:noWrap/>
            <w:vAlign w:val="bottom"/>
            <w:hideMark/>
          </w:tcPr>
          <w:p w14:paraId="37BD3DAE" w14:textId="7A8D6E31" w:rsidR="00723E55" w:rsidRPr="00DB12BD" w:rsidRDefault="00723E55" w:rsidP="00723E55">
            <w:pPr>
              <w:jc w:val="right"/>
              <w:rPr>
                <w:color w:val="0070C0"/>
                <w:sz w:val="18"/>
                <w:szCs w:val="18"/>
              </w:rPr>
            </w:pPr>
            <w:r>
              <w:rPr>
                <w:sz w:val="18"/>
                <w:szCs w:val="18"/>
              </w:rPr>
              <w:t>1 839,9</w:t>
            </w:r>
          </w:p>
        </w:tc>
        <w:tc>
          <w:tcPr>
            <w:tcW w:w="1087" w:type="dxa"/>
            <w:tcBorders>
              <w:top w:val="nil"/>
              <w:left w:val="nil"/>
              <w:bottom w:val="single" w:sz="4" w:space="0" w:color="auto"/>
              <w:right w:val="nil"/>
            </w:tcBorders>
            <w:shd w:val="clear" w:color="auto" w:fill="auto"/>
            <w:noWrap/>
            <w:vAlign w:val="bottom"/>
            <w:hideMark/>
          </w:tcPr>
          <w:p w14:paraId="71F40484" w14:textId="2BEA8C4D" w:rsidR="00723E55" w:rsidRPr="00DB12BD" w:rsidRDefault="00723E55" w:rsidP="00723E55">
            <w:pPr>
              <w:jc w:val="right"/>
              <w:rPr>
                <w:color w:val="0070C0"/>
                <w:sz w:val="18"/>
                <w:szCs w:val="18"/>
              </w:rPr>
            </w:pPr>
            <w:r>
              <w:rPr>
                <w:sz w:val="18"/>
                <w:szCs w:val="18"/>
              </w:rPr>
              <w:t>1 705,0</w:t>
            </w:r>
          </w:p>
        </w:tc>
        <w:tc>
          <w:tcPr>
            <w:tcW w:w="1252" w:type="dxa"/>
            <w:tcBorders>
              <w:top w:val="nil"/>
              <w:left w:val="nil"/>
              <w:bottom w:val="single" w:sz="4" w:space="0" w:color="auto"/>
              <w:right w:val="nil"/>
            </w:tcBorders>
            <w:shd w:val="clear" w:color="auto" w:fill="auto"/>
            <w:noWrap/>
            <w:vAlign w:val="bottom"/>
            <w:hideMark/>
          </w:tcPr>
          <w:p w14:paraId="395E20A8" w14:textId="2852565A" w:rsidR="00723E55" w:rsidRPr="00DB12BD" w:rsidRDefault="00723E55" w:rsidP="00723E55">
            <w:pPr>
              <w:jc w:val="right"/>
              <w:rPr>
                <w:color w:val="0070C0"/>
                <w:sz w:val="20"/>
                <w:szCs w:val="20"/>
              </w:rPr>
            </w:pPr>
            <w:r>
              <w:rPr>
                <w:color w:val="000000"/>
                <w:sz w:val="18"/>
                <w:szCs w:val="18"/>
              </w:rPr>
              <w:t>1 705,0</w:t>
            </w:r>
          </w:p>
        </w:tc>
        <w:tc>
          <w:tcPr>
            <w:tcW w:w="1199" w:type="dxa"/>
            <w:tcBorders>
              <w:top w:val="nil"/>
              <w:left w:val="nil"/>
              <w:bottom w:val="single" w:sz="4" w:space="0" w:color="auto"/>
              <w:right w:val="nil"/>
            </w:tcBorders>
            <w:shd w:val="clear" w:color="auto" w:fill="auto"/>
            <w:noWrap/>
            <w:vAlign w:val="bottom"/>
          </w:tcPr>
          <w:p w14:paraId="6B17ABAA" w14:textId="77777777" w:rsidR="00723E55" w:rsidRPr="00DB12BD" w:rsidRDefault="00723E55" w:rsidP="00723E55">
            <w:pPr>
              <w:jc w:val="right"/>
              <w:rPr>
                <w:color w:val="0070C0"/>
                <w:sz w:val="20"/>
                <w:szCs w:val="20"/>
              </w:rPr>
            </w:pPr>
          </w:p>
        </w:tc>
        <w:tc>
          <w:tcPr>
            <w:tcW w:w="1300" w:type="dxa"/>
            <w:tcBorders>
              <w:top w:val="nil"/>
              <w:left w:val="nil"/>
              <w:bottom w:val="single" w:sz="4" w:space="0" w:color="auto"/>
              <w:right w:val="single" w:sz="4" w:space="0" w:color="auto"/>
            </w:tcBorders>
            <w:shd w:val="clear" w:color="auto" w:fill="auto"/>
            <w:noWrap/>
            <w:vAlign w:val="bottom"/>
            <w:hideMark/>
          </w:tcPr>
          <w:p w14:paraId="06218269" w14:textId="74E867FD" w:rsidR="00723E55" w:rsidRPr="00713FC8" w:rsidRDefault="00723E55" w:rsidP="00723E55">
            <w:pPr>
              <w:jc w:val="right"/>
              <w:rPr>
                <w:color w:val="0070C0"/>
                <w:sz w:val="18"/>
                <w:szCs w:val="18"/>
              </w:rPr>
            </w:pPr>
            <w:r>
              <w:rPr>
                <w:sz w:val="18"/>
                <w:szCs w:val="18"/>
              </w:rPr>
              <w:t>92,7%</w:t>
            </w:r>
          </w:p>
        </w:tc>
      </w:tr>
      <w:tr w:rsidR="00723E55" w:rsidRPr="00DB12BD" w14:paraId="0AA6AFD7" w14:textId="77777777" w:rsidTr="00723E55">
        <w:trPr>
          <w:trHeight w:val="255"/>
        </w:trPr>
        <w:tc>
          <w:tcPr>
            <w:tcW w:w="4263" w:type="dxa"/>
            <w:tcBorders>
              <w:top w:val="single" w:sz="4" w:space="0" w:color="auto"/>
              <w:left w:val="single" w:sz="8" w:space="0" w:color="auto"/>
              <w:bottom w:val="single" w:sz="4" w:space="0" w:color="auto"/>
              <w:right w:val="nil"/>
            </w:tcBorders>
            <w:shd w:val="clear" w:color="auto" w:fill="auto"/>
            <w:noWrap/>
            <w:vAlign w:val="bottom"/>
            <w:hideMark/>
          </w:tcPr>
          <w:p w14:paraId="38E882AD" w14:textId="24398E85" w:rsidR="00723E55" w:rsidRPr="00133E02" w:rsidRDefault="00723E55" w:rsidP="00723E55">
            <w:pPr>
              <w:rPr>
                <w:sz w:val="18"/>
                <w:szCs w:val="18"/>
              </w:rPr>
            </w:pPr>
            <w:r w:rsidRPr="00133E02">
              <w:rPr>
                <w:sz w:val="18"/>
                <w:szCs w:val="18"/>
              </w:rPr>
              <w:t>Трансфери</w:t>
            </w:r>
            <w:r w:rsidRPr="00133E02">
              <w:rPr>
                <w:sz w:val="18"/>
                <w:szCs w:val="18"/>
                <w:lang w:val="en-US"/>
              </w:rPr>
              <w:t xml:space="preserve"> </w:t>
            </w:r>
            <w:r w:rsidRPr="00133E02">
              <w:rPr>
                <w:sz w:val="18"/>
                <w:szCs w:val="18"/>
              </w:rPr>
              <w:t>-</w:t>
            </w:r>
            <w:r w:rsidRPr="00133E02">
              <w:rPr>
                <w:sz w:val="18"/>
                <w:szCs w:val="18"/>
                <w:lang w:val="en-US"/>
              </w:rPr>
              <w:t xml:space="preserve"> </w:t>
            </w:r>
            <w:r w:rsidRPr="00133E02">
              <w:rPr>
                <w:sz w:val="18"/>
                <w:szCs w:val="18"/>
              </w:rPr>
              <w:t>нето</w:t>
            </w:r>
          </w:p>
        </w:tc>
        <w:tc>
          <w:tcPr>
            <w:tcW w:w="992" w:type="dxa"/>
            <w:tcBorders>
              <w:top w:val="single" w:sz="4" w:space="0" w:color="auto"/>
              <w:left w:val="nil"/>
              <w:bottom w:val="single" w:sz="4" w:space="0" w:color="auto"/>
              <w:right w:val="nil"/>
            </w:tcBorders>
            <w:shd w:val="clear" w:color="auto" w:fill="auto"/>
            <w:noWrap/>
            <w:vAlign w:val="bottom"/>
            <w:hideMark/>
          </w:tcPr>
          <w:p w14:paraId="4AE9EF27" w14:textId="4F1D438E" w:rsidR="00723E55" w:rsidRPr="00DB12BD" w:rsidRDefault="00723E55" w:rsidP="00723E55">
            <w:pPr>
              <w:jc w:val="right"/>
              <w:rPr>
                <w:color w:val="0070C0"/>
                <w:sz w:val="18"/>
                <w:szCs w:val="18"/>
              </w:rPr>
            </w:pPr>
          </w:p>
        </w:tc>
        <w:tc>
          <w:tcPr>
            <w:tcW w:w="1087" w:type="dxa"/>
            <w:tcBorders>
              <w:top w:val="single" w:sz="4" w:space="0" w:color="auto"/>
              <w:left w:val="nil"/>
              <w:bottom w:val="single" w:sz="4" w:space="0" w:color="auto"/>
              <w:right w:val="nil"/>
            </w:tcBorders>
            <w:shd w:val="clear" w:color="auto" w:fill="auto"/>
            <w:noWrap/>
            <w:vAlign w:val="bottom"/>
            <w:hideMark/>
          </w:tcPr>
          <w:p w14:paraId="0B888FE0" w14:textId="3EF8F783" w:rsidR="00723E55" w:rsidRPr="008F0C3C" w:rsidRDefault="00723E55" w:rsidP="00723E55">
            <w:pPr>
              <w:jc w:val="right"/>
              <w:rPr>
                <w:color w:val="0070C0"/>
                <w:sz w:val="18"/>
                <w:szCs w:val="18"/>
              </w:rPr>
            </w:pPr>
            <w:r w:rsidRPr="008F0C3C">
              <w:rPr>
                <w:bCs/>
                <w:sz w:val="18"/>
                <w:szCs w:val="18"/>
              </w:rPr>
              <w:t>0,0</w:t>
            </w:r>
          </w:p>
        </w:tc>
        <w:tc>
          <w:tcPr>
            <w:tcW w:w="1252" w:type="dxa"/>
            <w:tcBorders>
              <w:top w:val="single" w:sz="4" w:space="0" w:color="auto"/>
              <w:left w:val="nil"/>
              <w:bottom w:val="single" w:sz="4" w:space="0" w:color="auto"/>
              <w:right w:val="nil"/>
            </w:tcBorders>
            <w:shd w:val="clear" w:color="auto" w:fill="auto"/>
            <w:noWrap/>
            <w:vAlign w:val="bottom"/>
            <w:hideMark/>
          </w:tcPr>
          <w:p w14:paraId="11043CA6" w14:textId="5079D1B6" w:rsidR="00723E55" w:rsidRPr="00DB12BD" w:rsidRDefault="00723E55" w:rsidP="00723E55">
            <w:pPr>
              <w:jc w:val="right"/>
              <w:rPr>
                <w:color w:val="0070C0"/>
                <w:sz w:val="18"/>
                <w:szCs w:val="18"/>
              </w:rPr>
            </w:pPr>
            <w:r>
              <w:rPr>
                <w:color w:val="000000"/>
                <w:sz w:val="18"/>
                <w:szCs w:val="18"/>
              </w:rPr>
              <w:t>-1 069,8</w:t>
            </w:r>
          </w:p>
        </w:tc>
        <w:tc>
          <w:tcPr>
            <w:tcW w:w="1199" w:type="dxa"/>
            <w:tcBorders>
              <w:top w:val="single" w:sz="4" w:space="0" w:color="auto"/>
              <w:left w:val="nil"/>
              <w:bottom w:val="single" w:sz="4" w:space="0" w:color="auto"/>
              <w:right w:val="nil"/>
            </w:tcBorders>
            <w:shd w:val="clear" w:color="auto" w:fill="auto"/>
            <w:noWrap/>
            <w:vAlign w:val="bottom"/>
          </w:tcPr>
          <w:p w14:paraId="6A976F97" w14:textId="7B8A6216" w:rsidR="00723E55" w:rsidRPr="00DB12BD" w:rsidRDefault="00723E55" w:rsidP="00723E55">
            <w:pPr>
              <w:jc w:val="right"/>
              <w:rPr>
                <w:color w:val="0070C0"/>
                <w:sz w:val="18"/>
                <w:szCs w:val="18"/>
              </w:rPr>
            </w:pPr>
            <w:r>
              <w:rPr>
                <w:color w:val="000000"/>
                <w:sz w:val="18"/>
                <w:szCs w:val="18"/>
              </w:rPr>
              <w:t>1 069,8</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4EA0D20A" w14:textId="2262E842" w:rsidR="00723E55" w:rsidRPr="00713FC8" w:rsidRDefault="00723E55" w:rsidP="00723E55">
            <w:pPr>
              <w:jc w:val="right"/>
              <w:rPr>
                <w:color w:val="0070C0"/>
                <w:sz w:val="18"/>
                <w:szCs w:val="18"/>
              </w:rPr>
            </w:pPr>
            <w:r>
              <w:rPr>
                <w:b/>
                <w:bCs/>
                <w:sz w:val="18"/>
                <w:szCs w:val="18"/>
              </w:rPr>
              <w:t> </w:t>
            </w:r>
          </w:p>
        </w:tc>
      </w:tr>
      <w:tr w:rsidR="00723E55" w:rsidRPr="00DB12BD" w14:paraId="24A861A5" w14:textId="77777777" w:rsidTr="00723E55">
        <w:trPr>
          <w:trHeight w:val="255"/>
        </w:trPr>
        <w:tc>
          <w:tcPr>
            <w:tcW w:w="4263" w:type="dxa"/>
            <w:tcBorders>
              <w:top w:val="single" w:sz="4" w:space="0" w:color="auto"/>
              <w:left w:val="single" w:sz="8" w:space="0" w:color="auto"/>
              <w:bottom w:val="single" w:sz="8" w:space="0" w:color="auto"/>
              <w:right w:val="nil"/>
            </w:tcBorders>
            <w:shd w:val="clear" w:color="000000" w:fill="D9D9D9"/>
            <w:noWrap/>
            <w:vAlign w:val="bottom"/>
            <w:hideMark/>
          </w:tcPr>
          <w:p w14:paraId="37B4754A" w14:textId="08DB3B89" w:rsidR="00723E55" w:rsidRPr="00133E02" w:rsidRDefault="00723E55" w:rsidP="00723E55">
            <w:pPr>
              <w:rPr>
                <w:sz w:val="18"/>
                <w:szCs w:val="18"/>
              </w:rPr>
            </w:pPr>
            <w:r w:rsidRPr="00133E02">
              <w:rPr>
                <w:b/>
                <w:bCs/>
                <w:sz w:val="18"/>
                <w:szCs w:val="18"/>
              </w:rPr>
              <w:t>БЮДЖЕТНО САЛДО</w:t>
            </w:r>
          </w:p>
        </w:tc>
        <w:tc>
          <w:tcPr>
            <w:tcW w:w="992" w:type="dxa"/>
            <w:tcBorders>
              <w:top w:val="single" w:sz="4" w:space="0" w:color="auto"/>
              <w:left w:val="nil"/>
              <w:bottom w:val="single" w:sz="4" w:space="0" w:color="auto"/>
              <w:right w:val="nil"/>
            </w:tcBorders>
            <w:shd w:val="clear" w:color="auto" w:fill="auto"/>
            <w:noWrap/>
            <w:vAlign w:val="bottom"/>
            <w:hideMark/>
          </w:tcPr>
          <w:p w14:paraId="21047BD7" w14:textId="6E11243E" w:rsidR="00723E55" w:rsidRPr="00DB12BD" w:rsidRDefault="00723E55" w:rsidP="00723E55">
            <w:pPr>
              <w:jc w:val="right"/>
              <w:rPr>
                <w:color w:val="0070C0"/>
                <w:sz w:val="18"/>
                <w:szCs w:val="18"/>
              </w:rPr>
            </w:pPr>
            <w:r>
              <w:rPr>
                <w:b/>
                <w:bCs/>
                <w:sz w:val="18"/>
                <w:szCs w:val="18"/>
              </w:rPr>
              <w:t>-6 228,4</w:t>
            </w:r>
          </w:p>
        </w:tc>
        <w:tc>
          <w:tcPr>
            <w:tcW w:w="1087" w:type="dxa"/>
            <w:tcBorders>
              <w:top w:val="single" w:sz="4" w:space="0" w:color="auto"/>
              <w:left w:val="nil"/>
              <w:bottom w:val="single" w:sz="4" w:space="0" w:color="auto"/>
              <w:right w:val="nil"/>
            </w:tcBorders>
            <w:shd w:val="clear" w:color="auto" w:fill="auto"/>
            <w:noWrap/>
            <w:vAlign w:val="bottom"/>
            <w:hideMark/>
          </w:tcPr>
          <w:p w14:paraId="440FA66C" w14:textId="3032B826" w:rsidR="00723E55" w:rsidRPr="00DB12BD" w:rsidRDefault="00723E55" w:rsidP="00723E55">
            <w:pPr>
              <w:jc w:val="right"/>
              <w:rPr>
                <w:b/>
                <w:bCs/>
                <w:color w:val="0070C0"/>
                <w:sz w:val="18"/>
                <w:szCs w:val="18"/>
              </w:rPr>
            </w:pPr>
            <w:r>
              <w:rPr>
                <w:b/>
                <w:bCs/>
                <w:sz w:val="18"/>
                <w:szCs w:val="18"/>
              </w:rPr>
              <w:t>-1 347,3</w:t>
            </w:r>
          </w:p>
        </w:tc>
        <w:tc>
          <w:tcPr>
            <w:tcW w:w="1252" w:type="dxa"/>
            <w:tcBorders>
              <w:top w:val="single" w:sz="4" w:space="0" w:color="auto"/>
              <w:left w:val="nil"/>
              <w:bottom w:val="single" w:sz="4" w:space="0" w:color="auto"/>
              <w:right w:val="nil"/>
            </w:tcBorders>
            <w:shd w:val="clear" w:color="auto" w:fill="auto"/>
            <w:noWrap/>
            <w:vAlign w:val="bottom"/>
            <w:hideMark/>
          </w:tcPr>
          <w:p w14:paraId="2770435E" w14:textId="41B033D0" w:rsidR="00723E55" w:rsidRPr="00DB12BD" w:rsidRDefault="00723E55" w:rsidP="00723E55">
            <w:pPr>
              <w:jc w:val="right"/>
              <w:rPr>
                <w:color w:val="0070C0"/>
                <w:sz w:val="18"/>
                <w:szCs w:val="18"/>
              </w:rPr>
            </w:pPr>
            <w:r>
              <w:rPr>
                <w:b/>
                <w:bCs/>
                <w:color w:val="000000"/>
                <w:sz w:val="18"/>
                <w:szCs w:val="18"/>
              </w:rPr>
              <w:t>-5 087,2</w:t>
            </w:r>
          </w:p>
        </w:tc>
        <w:tc>
          <w:tcPr>
            <w:tcW w:w="1199" w:type="dxa"/>
            <w:tcBorders>
              <w:top w:val="single" w:sz="4" w:space="0" w:color="auto"/>
              <w:left w:val="nil"/>
              <w:bottom w:val="single" w:sz="4" w:space="0" w:color="auto"/>
              <w:right w:val="nil"/>
            </w:tcBorders>
            <w:shd w:val="clear" w:color="auto" w:fill="auto"/>
            <w:noWrap/>
            <w:vAlign w:val="bottom"/>
            <w:hideMark/>
          </w:tcPr>
          <w:p w14:paraId="18D54797" w14:textId="3A6C6ADB" w:rsidR="00723E55" w:rsidRPr="00DB12BD" w:rsidRDefault="00723E55" w:rsidP="00723E55">
            <w:pPr>
              <w:jc w:val="right"/>
              <w:rPr>
                <w:color w:val="0070C0"/>
                <w:sz w:val="18"/>
                <w:szCs w:val="18"/>
              </w:rPr>
            </w:pPr>
            <w:r>
              <w:rPr>
                <w:b/>
                <w:bCs/>
                <w:color w:val="000000"/>
                <w:sz w:val="18"/>
                <w:szCs w:val="18"/>
              </w:rPr>
              <w:t>3 739,9</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4928288C" w14:textId="408D9E34" w:rsidR="00723E55" w:rsidRPr="00DB12BD" w:rsidRDefault="00723E55" w:rsidP="00723E55">
            <w:pPr>
              <w:rPr>
                <w:b/>
                <w:bCs/>
                <w:color w:val="0070C0"/>
                <w:sz w:val="18"/>
                <w:szCs w:val="18"/>
              </w:rPr>
            </w:pPr>
            <w:r>
              <w:rPr>
                <w:b/>
                <w:bCs/>
                <w:sz w:val="18"/>
                <w:szCs w:val="18"/>
              </w:rPr>
              <w:t> </w:t>
            </w:r>
          </w:p>
        </w:tc>
      </w:tr>
    </w:tbl>
    <w:p w14:paraId="31EE46AE" w14:textId="77777777" w:rsidR="00222173" w:rsidRPr="00DB12BD" w:rsidRDefault="00222173" w:rsidP="00222173">
      <w:pPr>
        <w:ind w:left="360"/>
        <w:jc w:val="both"/>
        <w:rPr>
          <w:color w:val="0070C0"/>
          <w:sz w:val="22"/>
        </w:rPr>
      </w:pPr>
    </w:p>
    <w:p w14:paraId="1D1A4EEA" w14:textId="2931EBF1" w:rsidR="00222173" w:rsidRPr="00DB12BD" w:rsidRDefault="00222173" w:rsidP="00ED2B9A">
      <w:pPr>
        <w:numPr>
          <w:ilvl w:val="1"/>
          <w:numId w:val="10"/>
        </w:numPr>
        <w:tabs>
          <w:tab w:val="num" w:pos="426"/>
        </w:tabs>
        <w:ind w:left="0" w:firstLine="0"/>
        <w:jc w:val="both"/>
        <w:rPr>
          <w:rFonts w:eastAsia="Calibri"/>
          <w:color w:val="0070C0"/>
        </w:rPr>
      </w:pPr>
      <w:r w:rsidRPr="00CC0E66">
        <w:rPr>
          <w:b/>
        </w:rPr>
        <w:lastRenderedPageBreak/>
        <w:t xml:space="preserve">Приходите, </w:t>
      </w:r>
      <w:r w:rsidR="00872B75" w:rsidRPr="00806FDF">
        <w:rPr>
          <w:rFonts w:eastAsiaTheme="minorHAnsi"/>
          <w:b/>
        </w:rPr>
        <w:t>помощите и даренията</w:t>
      </w:r>
      <w:r w:rsidR="00872B75">
        <w:rPr>
          <w:rFonts w:eastAsiaTheme="minorHAnsi"/>
          <w:b/>
        </w:rPr>
        <w:t>,</w:t>
      </w:r>
      <w:r w:rsidR="00872B75" w:rsidRPr="00806FDF">
        <w:rPr>
          <w:rFonts w:eastAsiaTheme="minorHAnsi"/>
          <w:b/>
        </w:rPr>
        <w:t xml:space="preserve"> </w:t>
      </w:r>
      <w:r w:rsidR="00872B75" w:rsidRPr="00A03536">
        <w:rPr>
          <w:rFonts w:eastAsiaTheme="minorHAnsi"/>
        </w:rPr>
        <w:t>отчетени</w:t>
      </w:r>
      <w:r w:rsidR="00872B75" w:rsidRPr="00806FDF">
        <w:rPr>
          <w:rFonts w:eastAsiaTheme="minorHAnsi"/>
          <w:b/>
        </w:rPr>
        <w:t xml:space="preserve"> </w:t>
      </w:r>
      <w:r w:rsidR="00872B75" w:rsidRPr="00396EB0">
        <w:rPr>
          <w:rFonts w:eastAsiaTheme="minorHAnsi"/>
        </w:rPr>
        <w:t>по консолидираната фискална програма (КФП) за 2022</w:t>
      </w:r>
      <w:r w:rsidR="00872B75">
        <w:rPr>
          <w:rFonts w:eastAsiaTheme="minorHAnsi"/>
        </w:rPr>
        <w:t> </w:t>
      </w:r>
      <w:r w:rsidR="00872B75" w:rsidRPr="00396EB0">
        <w:rPr>
          <w:rFonts w:eastAsiaTheme="minorHAnsi"/>
        </w:rPr>
        <w:t>г.</w:t>
      </w:r>
      <w:r w:rsidR="00872B75">
        <w:rPr>
          <w:rFonts w:eastAsiaTheme="minorHAnsi"/>
        </w:rPr>
        <w:t xml:space="preserve">, </w:t>
      </w:r>
      <w:r w:rsidR="00872B75" w:rsidRPr="00396EB0">
        <w:rPr>
          <w:rFonts w:eastAsiaTheme="minorHAnsi"/>
        </w:rPr>
        <w:t>са в размер на</w:t>
      </w:r>
      <w:r w:rsidR="00872B75" w:rsidRPr="00806FDF">
        <w:rPr>
          <w:rFonts w:eastAsiaTheme="minorHAnsi"/>
          <w:b/>
        </w:rPr>
        <w:t xml:space="preserve"> 64</w:t>
      </w:r>
      <w:r w:rsidR="00872B75" w:rsidRPr="003728B5">
        <w:rPr>
          <w:rFonts w:eastAsiaTheme="minorHAnsi"/>
          <w:b/>
        </w:rPr>
        <w:t xml:space="preserve"> 765</w:t>
      </w:r>
      <w:r w:rsidR="00872B75" w:rsidRPr="00806FDF">
        <w:rPr>
          <w:rFonts w:eastAsiaTheme="minorHAnsi"/>
          <w:b/>
        </w:rPr>
        <w:t>,</w:t>
      </w:r>
      <w:r w:rsidR="00872B75" w:rsidRPr="003728B5">
        <w:rPr>
          <w:rFonts w:eastAsiaTheme="minorHAnsi"/>
          <w:b/>
        </w:rPr>
        <w:t>4</w:t>
      </w:r>
      <w:r w:rsidR="00872B75" w:rsidRPr="00806FDF">
        <w:rPr>
          <w:rFonts w:eastAsiaTheme="minorHAnsi"/>
          <w:b/>
        </w:rPr>
        <w:t xml:space="preserve"> </w:t>
      </w:r>
      <w:r w:rsidR="00872B75" w:rsidRPr="003728B5">
        <w:rPr>
          <w:rFonts w:eastAsiaTheme="minorHAnsi"/>
          <w:b/>
        </w:rPr>
        <w:t>млн</w:t>
      </w:r>
      <w:r w:rsidR="00872B75" w:rsidRPr="00806FDF">
        <w:rPr>
          <w:rFonts w:eastAsiaTheme="minorHAnsi"/>
          <w:b/>
        </w:rPr>
        <w:t xml:space="preserve">. лв., вкл. </w:t>
      </w:r>
      <w:r w:rsidR="00872B75" w:rsidRPr="003668E3">
        <w:rPr>
          <w:rFonts w:eastAsiaTheme="minorHAnsi"/>
          <w:b/>
        </w:rPr>
        <w:t xml:space="preserve">3 </w:t>
      </w:r>
      <w:r w:rsidR="00872B75">
        <w:rPr>
          <w:rFonts w:eastAsiaTheme="minorHAnsi"/>
          <w:b/>
        </w:rPr>
        <w:t>181</w:t>
      </w:r>
      <w:r w:rsidR="00872B75" w:rsidRPr="003668E3">
        <w:rPr>
          <w:rFonts w:eastAsiaTheme="minorHAnsi"/>
          <w:b/>
        </w:rPr>
        <w:t>,0</w:t>
      </w:r>
      <w:r w:rsidR="00872B75" w:rsidRPr="00806FDF">
        <w:rPr>
          <w:rFonts w:eastAsiaTheme="minorHAnsi"/>
          <w:b/>
        </w:rPr>
        <w:t xml:space="preserve"> </w:t>
      </w:r>
      <w:r w:rsidR="00872B75" w:rsidRPr="003728B5">
        <w:rPr>
          <w:rFonts w:eastAsiaTheme="minorHAnsi"/>
          <w:b/>
        </w:rPr>
        <w:t>млн</w:t>
      </w:r>
      <w:r w:rsidR="00872B75" w:rsidRPr="00806FDF">
        <w:rPr>
          <w:rFonts w:eastAsiaTheme="minorHAnsi"/>
          <w:b/>
        </w:rPr>
        <w:t>. лв. приходи с еднократен извънреден характер</w:t>
      </w:r>
      <w:r w:rsidR="00872B75">
        <w:rPr>
          <w:rStyle w:val="FootnoteReference"/>
          <w:rFonts w:eastAsiaTheme="minorHAnsi"/>
        </w:rPr>
        <w:footnoteReference w:id="5"/>
      </w:r>
      <w:r w:rsidR="00872B75" w:rsidRPr="00806FDF">
        <w:rPr>
          <w:rFonts w:eastAsiaTheme="minorHAnsi"/>
          <w:b/>
        </w:rPr>
        <w:t xml:space="preserve">, </w:t>
      </w:r>
      <w:r w:rsidR="00872B75" w:rsidRPr="00396EB0">
        <w:rPr>
          <w:rFonts w:eastAsiaTheme="minorHAnsi"/>
        </w:rPr>
        <w:t xml:space="preserve">които не са включени в разчетите към ЗДБРБ за 2022 г. </w:t>
      </w:r>
      <w:r w:rsidR="00872B75">
        <w:rPr>
          <w:rFonts w:eastAsiaTheme="minorHAnsi"/>
        </w:rPr>
        <w:t>С оглед съпоставимост на данните спрямо годишните разчети към ЗДБРБ за 2022 г., влиянието на посочените еднократни приходи, респективно разходи, следва да бъде елиминирано. Н</w:t>
      </w:r>
      <w:r w:rsidR="00872B75" w:rsidRPr="00396EB0">
        <w:rPr>
          <w:rFonts w:eastAsiaTheme="minorHAnsi"/>
        </w:rPr>
        <w:t xml:space="preserve">а съпоставима база с разчетите към ЗДБРБ за 2022 г. приходите, помощите и даренията по КФП за 2022 г. са в размер на </w:t>
      </w:r>
      <w:r w:rsidR="00872B75" w:rsidRPr="00AD575E">
        <w:rPr>
          <w:rFonts w:eastAsiaTheme="minorHAnsi"/>
          <w:b/>
        </w:rPr>
        <w:t>61 5</w:t>
      </w:r>
      <w:r w:rsidR="00872B75">
        <w:rPr>
          <w:rFonts w:eastAsiaTheme="minorHAnsi"/>
          <w:b/>
        </w:rPr>
        <w:t>84</w:t>
      </w:r>
      <w:r w:rsidR="00872B75" w:rsidRPr="00AD575E">
        <w:rPr>
          <w:rFonts w:eastAsiaTheme="minorHAnsi"/>
          <w:b/>
        </w:rPr>
        <w:t>,3 млн. лв., което представлява превишение на разчетите към ЗДБРБ за 2022 г. с 3,</w:t>
      </w:r>
      <w:r w:rsidR="00872B75">
        <w:rPr>
          <w:rFonts w:eastAsiaTheme="minorHAnsi"/>
          <w:b/>
        </w:rPr>
        <w:t>2</w:t>
      </w:r>
      <w:r w:rsidR="00872B75" w:rsidRPr="00AD575E">
        <w:rPr>
          <w:rFonts w:eastAsiaTheme="minorHAnsi"/>
          <w:b/>
        </w:rPr>
        <w:t xml:space="preserve"> на сто</w:t>
      </w:r>
      <w:r w:rsidR="00BD7C4E">
        <w:rPr>
          <w:rFonts w:eastAsiaTheme="minorHAnsi"/>
          <w:b/>
        </w:rPr>
        <w:t>.</w:t>
      </w:r>
    </w:p>
    <w:p w14:paraId="15522859" w14:textId="58DF6A31" w:rsidR="00222173" w:rsidRPr="00DB12BD" w:rsidRDefault="006F2FE6" w:rsidP="00222173">
      <w:pPr>
        <w:spacing w:before="120"/>
        <w:jc w:val="both"/>
        <w:rPr>
          <w:color w:val="0070C0"/>
        </w:rPr>
      </w:pPr>
      <w:r w:rsidRPr="0093794F">
        <w:rPr>
          <w:rFonts w:eastAsiaTheme="minorHAnsi"/>
          <w:b/>
          <w:szCs w:val="23"/>
        </w:rPr>
        <w:t>Данъчно-осигурителните приходи</w:t>
      </w:r>
      <w:r>
        <w:rPr>
          <w:rFonts w:eastAsiaTheme="minorHAnsi"/>
          <w:b/>
          <w:szCs w:val="23"/>
        </w:rPr>
        <w:t>,</w:t>
      </w:r>
      <w:r w:rsidRPr="0093794F">
        <w:rPr>
          <w:rFonts w:eastAsiaTheme="minorHAnsi"/>
          <w:szCs w:val="23"/>
        </w:rPr>
        <w:t xml:space="preserve"> </w:t>
      </w:r>
      <w:r>
        <w:rPr>
          <w:rFonts w:eastAsiaTheme="minorHAnsi"/>
          <w:szCs w:val="23"/>
        </w:rPr>
        <w:t xml:space="preserve">отчетени по КФП </w:t>
      </w:r>
      <w:r w:rsidRPr="0093794F">
        <w:rPr>
          <w:rFonts w:eastAsiaTheme="minorHAnsi"/>
          <w:szCs w:val="23"/>
        </w:rPr>
        <w:t xml:space="preserve">са в размер на </w:t>
      </w:r>
      <w:r w:rsidRPr="005A3C86">
        <w:rPr>
          <w:rFonts w:eastAsiaTheme="minorHAnsi"/>
          <w:b/>
          <w:szCs w:val="23"/>
        </w:rPr>
        <w:t xml:space="preserve">46 794,6 млн. лв., </w:t>
      </w:r>
      <w:r w:rsidRPr="00396EB0">
        <w:rPr>
          <w:rFonts w:eastAsiaTheme="minorHAnsi"/>
          <w:szCs w:val="23"/>
        </w:rPr>
        <w:t>което е с 1,5 на сто или 672,0 млн. лв. над заложеното в разчетите към ЗДБРБ за 2022</w:t>
      </w:r>
      <w:r>
        <w:rPr>
          <w:rFonts w:eastAsiaTheme="minorHAnsi"/>
          <w:szCs w:val="23"/>
        </w:rPr>
        <w:t> </w:t>
      </w:r>
      <w:r w:rsidRPr="00396EB0">
        <w:rPr>
          <w:rFonts w:eastAsiaTheme="minorHAnsi"/>
          <w:szCs w:val="23"/>
        </w:rPr>
        <w:t>г.,</w:t>
      </w:r>
      <w:r w:rsidRPr="0093794F">
        <w:rPr>
          <w:rFonts w:eastAsiaTheme="minorHAnsi"/>
          <w:szCs w:val="23"/>
        </w:rPr>
        <w:t xml:space="preserve"> в т.ч. 352,9</w:t>
      </w:r>
      <w:r w:rsidR="00B460A5">
        <w:rPr>
          <w:rFonts w:eastAsiaTheme="minorHAnsi"/>
          <w:szCs w:val="23"/>
        </w:rPr>
        <w:t> </w:t>
      </w:r>
      <w:r w:rsidRPr="00341022">
        <w:rPr>
          <w:rFonts w:eastAsiaTheme="minorHAnsi"/>
          <w:szCs w:val="23"/>
        </w:rPr>
        <w:t xml:space="preserve">млн. лв. превишение на разчета при постъпленията от социални и здравноосигурителни вноски, 221,7 млн. лв. по-високи данъчни приходи по държавния бюджет (от които 72 млн. лв. </w:t>
      </w:r>
      <w:r w:rsidR="0066539E" w:rsidRPr="00341022">
        <w:rPr>
          <w:rFonts w:eastAsiaTheme="minorHAnsi"/>
          <w:szCs w:val="23"/>
        </w:rPr>
        <w:t xml:space="preserve">авансова </w:t>
      </w:r>
      <w:r w:rsidRPr="00341022">
        <w:rPr>
          <w:rFonts w:eastAsiaTheme="minorHAnsi"/>
          <w:szCs w:val="23"/>
        </w:rPr>
        <w:t>солидарна вноска</w:t>
      </w:r>
      <w:r w:rsidRPr="00341022">
        <w:rPr>
          <w:rStyle w:val="FootnoteReference"/>
          <w:rFonts w:eastAsiaTheme="minorHAnsi"/>
          <w:szCs w:val="23"/>
        </w:rPr>
        <w:footnoteReference w:id="6"/>
      </w:r>
      <w:r w:rsidRPr="00341022">
        <w:rPr>
          <w:rFonts w:eastAsiaTheme="minorHAnsi"/>
          <w:szCs w:val="23"/>
        </w:rPr>
        <w:t xml:space="preserve"> от „Лукойл България“) и </w:t>
      </w:r>
      <w:r w:rsidR="006F429D">
        <w:rPr>
          <w:rFonts w:eastAsiaTheme="minorHAnsi"/>
          <w:szCs w:val="23"/>
        </w:rPr>
        <w:t>97</w:t>
      </w:r>
      <w:r w:rsidRPr="00341022">
        <w:rPr>
          <w:rFonts w:eastAsiaTheme="minorHAnsi"/>
          <w:szCs w:val="23"/>
        </w:rPr>
        <w:t>,</w:t>
      </w:r>
      <w:r w:rsidR="006F429D">
        <w:rPr>
          <w:rFonts w:eastAsiaTheme="minorHAnsi"/>
          <w:szCs w:val="23"/>
        </w:rPr>
        <w:t>4</w:t>
      </w:r>
      <w:r w:rsidRPr="00341022">
        <w:rPr>
          <w:rFonts w:eastAsiaTheme="minorHAnsi"/>
          <w:szCs w:val="23"/>
        </w:rPr>
        <w:t xml:space="preserve"> млн. лв. над разчета </w:t>
      </w:r>
      <w:r w:rsidR="00AB17CE" w:rsidRPr="00111E70">
        <w:rPr>
          <w:rFonts w:eastAsiaTheme="minorHAnsi"/>
          <w:szCs w:val="23"/>
        </w:rPr>
        <w:t xml:space="preserve">основно </w:t>
      </w:r>
      <w:r w:rsidRPr="00341022">
        <w:rPr>
          <w:rFonts w:eastAsiaTheme="minorHAnsi"/>
          <w:szCs w:val="23"/>
        </w:rPr>
        <w:t>имуществени данъци</w:t>
      </w:r>
      <w:r w:rsidRPr="00111E70">
        <w:rPr>
          <w:rFonts w:eastAsiaTheme="minorHAnsi"/>
          <w:szCs w:val="23"/>
        </w:rPr>
        <w:t xml:space="preserve"> по общинските бюджети. В частта на данъчните</w:t>
      </w:r>
      <w:r>
        <w:rPr>
          <w:rFonts w:eastAsiaTheme="minorHAnsi"/>
          <w:szCs w:val="23"/>
        </w:rPr>
        <w:t xml:space="preserve"> приходи по държавния бюджет п</w:t>
      </w:r>
      <w:r w:rsidRPr="0093794F">
        <w:rPr>
          <w:rFonts w:eastAsiaTheme="minorHAnsi"/>
          <w:szCs w:val="23"/>
        </w:rPr>
        <w:t>реизпълнение има при корпоративните данъци</w:t>
      </w:r>
      <w:r>
        <w:rPr>
          <w:rFonts w:eastAsiaTheme="minorHAnsi"/>
          <w:szCs w:val="23"/>
        </w:rPr>
        <w:t>,</w:t>
      </w:r>
      <w:r w:rsidRPr="0093794F">
        <w:rPr>
          <w:rFonts w:eastAsiaTheme="minorHAnsi"/>
          <w:szCs w:val="23"/>
        </w:rPr>
        <w:t xml:space="preserve"> ДДФЛ</w:t>
      </w:r>
      <w:r>
        <w:rPr>
          <w:rFonts w:eastAsiaTheme="minorHAnsi"/>
          <w:szCs w:val="23"/>
        </w:rPr>
        <w:t xml:space="preserve"> и митата</w:t>
      </w:r>
      <w:r w:rsidRPr="0093794F">
        <w:rPr>
          <w:rFonts w:eastAsiaTheme="minorHAnsi"/>
          <w:szCs w:val="23"/>
        </w:rPr>
        <w:t xml:space="preserve">, а приходите от </w:t>
      </w:r>
      <w:r>
        <w:rPr>
          <w:rFonts w:eastAsiaTheme="minorHAnsi"/>
          <w:szCs w:val="23"/>
        </w:rPr>
        <w:t>ДДС и акцизи</w:t>
      </w:r>
      <w:r w:rsidRPr="0093794F">
        <w:rPr>
          <w:rFonts w:eastAsiaTheme="minorHAnsi"/>
          <w:szCs w:val="23"/>
        </w:rPr>
        <w:t xml:space="preserve"> са по-ниски от планираните за годината. При приходите от ДДС данните показват, че съпоставено с разчетите към ЗДБРБ за 2022 г. постъпленията за годината са с 688,7 млн. лв. по ниски от планираните. </w:t>
      </w:r>
      <w:r w:rsidRPr="00B704F8">
        <w:rPr>
          <w:rFonts w:eastAsiaTheme="minorHAnsi"/>
          <w:szCs w:val="23"/>
        </w:rPr>
        <w:t xml:space="preserve">Параметрите по изпълнението при този данък са близки до предложените разчети от Министерството на финансите в първоначалния проект на ЗИД на ЗДБРБ за 2022 г. от юни, които в </w:t>
      </w:r>
      <w:r w:rsidRPr="000A5786">
        <w:rPr>
          <w:rFonts w:eastAsiaTheme="minorHAnsi"/>
          <w:szCs w:val="23"/>
        </w:rPr>
        <w:t>последствие при обсъждането и гласуването на законопроекта в Народното събрание бяха допълнително увеличени със 760,0 млн. лв. в окончателно гласуваните текстове. По отношение на приходите от акцизи следва да се отбележи, че</w:t>
      </w:r>
      <w:r w:rsidRPr="000A5786">
        <w:t xml:space="preserve"> през 2022 г. Народното събрание не прие предложените от Министерството на финансите промени за въвеждане на акцизен календар за тютюневите изделия през 2022 г., като същевременно не беше извършено съответното намаление на прогнозния размер на постъпленията от акцизи с ефекта от мярката в размер на 100 млн. лв., включени в ЗДБРБ за 2022 г</w:t>
      </w:r>
      <w:r w:rsidR="006F429D">
        <w:t>.</w:t>
      </w:r>
      <w:r w:rsidRPr="000A5786">
        <w:t>, колкото приблизително е неизпълнението на разчета за годината. Мярката ще влезе в сила от 01.03.2023 година</w:t>
      </w:r>
      <w:r w:rsidR="00222173" w:rsidRPr="00DB12BD">
        <w:rPr>
          <w:color w:val="0070C0"/>
        </w:rPr>
        <w:t xml:space="preserve">. </w:t>
      </w:r>
    </w:p>
    <w:p w14:paraId="0BE2A0CC" w14:textId="2BEB4484" w:rsidR="00222173" w:rsidRPr="008C7859" w:rsidRDefault="00301C2C" w:rsidP="00222173">
      <w:pPr>
        <w:spacing w:before="120"/>
        <w:jc w:val="both"/>
      </w:pPr>
      <w:r w:rsidRPr="00CA0642">
        <w:t xml:space="preserve">Приходите в частта на </w:t>
      </w:r>
      <w:r w:rsidRPr="00CC0DAD">
        <w:rPr>
          <w:i/>
        </w:rPr>
        <w:t xml:space="preserve">преките данъци </w:t>
      </w:r>
      <w:r w:rsidRPr="00CC0DAD">
        <w:t xml:space="preserve">възлизат на 9 926,4 млн. лв., което представлява 109,7 % спрямо разчета за 2022 г. Приходите от </w:t>
      </w:r>
      <w:r w:rsidRPr="00CC0DAD">
        <w:rPr>
          <w:i/>
        </w:rPr>
        <w:t>косвени данъци</w:t>
      </w:r>
      <w:r w:rsidRPr="00CC0DAD">
        <w:t xml:space="preserve"> са в размер на 21 541,5 </w:t>
      </w:r>
      <w:r w:rsidRPr="00CC0DAD">
        <w:rPr>
          <w:rFonts w:eastAsia="Calibri"/>
          <w:bCs/>
          <w:iCs/>
        </w:rPr>
        <w:t xml:space="preserve">млн. лв., </w:t>
      </w:r>
      <w:r w:rsidRPr="00CC0DAD">
        <w:rPr>
          <w:rFonts w:eastAsia="Calibri"/>
        </w:rPr>
        <w:t xml:space="preserve"> </w:t>
      </w:r>
      <w:r w:rsidRPr="00CC0DAD">
        <w:t xml:space="preserve">което представлява 96,7 % от предвидените в ЗДБРБ за 2022 г. Постъпленията от </w:t>
      </w:r>
      <w:r w:rsidRPr="00CC0DAD">
        <w:rPr>
          <w:i/>
        </w:rPr>
        <w:t>други данъци</w:t>
      </w:r>
      <w:r w:rsidRPr="00CC0DAD">
        <w:t xml:space="preserve"> (включват други данъци по ЗКПО, имуществени и др. данъци) са в размер на </w:t>
      </w:r>
      <w:r w:rsidRPr="00CC0DAD">
        <w:rPr>
          <w:lang w:val="ru-RU"/>
        </w:rPr>
        <w:t>1 580,0</w:t>
      </w:r>
      <w:r w:rsidRPr="00CC0DAD">
        <w:t xml:space="preserve"> млн. лв. </w:t>
      </w:r>
      <w:r w:rsidRPr="00CC0DAD">
        <w:rPr>
          <w:lang w:val="ru-RU"/>
        </w:rPr>
        <w:t>(вкл. 72,0 млн. лв. временна солидарна</w:t>
      </w:r>
      <w:r w:rsidRPr="00CC0DAD">
        <w:t xml:space="preserve"> вноска от </w:t>
      </w:r>
      <w:r w:rsidRPr="00CC0DAD">
        <w:rPr>
          <w:lang w:val="ru-RU"/>
        </w:rPr>
        <w:t>„Лукойл България“)</w:t>
      </w:r>
      <w:r w:rsidRPr="00CC0DAD">
        <w:t>, което представлява 112,7 % спрямо годишния разчет</w:t>
      </w:r>
      <w:r w:rsidRPr="00CC0DAD">
        <w:rPr>
          <w:lang w:val="ru-RU"/>
        </w:rPr>
        <w:t xml:space="preserve">. </w:t>
      </w:r>
      <w:r w:rsidRPr="00CC0DAD">
        <w:t xml:space="preserve">Приходите от </w:t>
      </w:r>
      <w:r w:rsidRPr="00CC0DAD">
        <w:rPr>
          <w:i/>
        </w:rPr>
        <w:t>социални и здравноосигурителни вноски</w:t>
      </w:r>
      <w:r w:rsidRPr="00CC0DAD">
        <w:t xml:space="preserve"> са в размер на 13 746,7 млн. лв. или 102,6 % </w:t>
      </w:r>
      <w:r w:rsidR="00B61B0C">
        <w:t>спрямо</w:t>
      </w:r>
      <w:r w:rsidRPr="00CC0DAD">
        <w:t xml:space="preserve"> разчета за</w:t>
      </w:r>
      <w:r w:rsidRPr="00CA0642">
        <w:t xml:space="preserve"> 2022 </w:t>
      </w:r>
      <w:r w:rsidRPr="00301C2C">
        <w:t>година</w:t>
      </w:r>
      <w:r w:rsidR="00222173" w:rsidRPr="00301C2C">
        <w:t>.</w:t>
      </w:r>
      <w:r w:rsidR="00222173" w:rsidRPr="008C7859">
        <w:t xml:space="preserve"> </w:t>
      </w:r>
    </w:p>
    <w:p w14:paraId="3E7C2C7E" w14:textId="77777777" w:rsidR="005F0B8E" w:rsidRDefault="005F0B8E" w:rsidP="005F0B8E">
      <w:pPr>
        <w:spacing w:before="120" w:after="120"/>
        <w:jc w:val="both"/>
        <w:rPr>
          <w:noProof/>
          <w:color w:val="0070C0"/>
        </w:rPr>
      </w:pPr>
      <w:r w:rsidRPr="005A4B41">
        <w:rPr>
          <w:rFonts w:eastAsiaTheme="minorHAnsi"/>
          <w:b/>
          <w:szCs w:val="23"/>
        </w:rPr>
        <w:t>Неданъчните приходи</w:t>
      </w:r>
      <w:r w:rsidRPr="00126521">
        <w:rPr>
          <w:rFonts w:eastAsiaTheme="minorHAnsi"/>
          <w:szCs w:val="23"/>
        </w:rPr>
        <w:t xml:space="preserve"> са в размер </w:t>
      </w:r>
      <w:r w:rsidRPr="00676D0A">
        <w:rPr>
          <w:rFonts w:eastAsiaTheme="minorHAnsi"/>
          <w:szCs w:val="23"/>
        </w:rPr>
        <w:t xml:space="preserve">на </w:t>
      </w:r>
      <w:r w:rsidRPr="00676D0A">
        <w:rPr>
          <w:rFonts w:eastAsiaTheme="minorHAnsi"/>
          <w:b/>
          <w:szCs w:val="23"/>
        </w:rPr>
        <w:t>11 976,9 млн. лв.</w:t>
      </w:r>
      <w:r w:rsidRPr="00676D0A">
        <w:rPr>
          <w:rFonts w:eastAsiaTheme="minorHAnsi"/>
          <w:szCs w:val="23"/>
        </w:rPr>
        <w:t xml:space="preserve"> (вкл. 3 </w:t>
      </w:r>
      <w:r>
        <w:rPr>
          <w:rFonts w:eastAsiaTheme="minorHAnsi"/>
          <w:szCs w:val="23"/>
        </w:rPr>
        <w:t>181</w:t>
      </w:r>
      <w:r w:rsidRPr="00676D0A">
        <w:rPr>
          <w:rFonts w:eastAsiaTheme="minorHAnsi"/>
          <w:szCs w:val="23"/>
        </w:rPr>
        <w:t>,0</w:t>
      </w:r>
      <w:r w:rsidRPr="00126521">
        <w:rPr>
          <w:rFonts w:eastAsiaTheme="minorHAnsi"/>
          <w:szCs w:val="23"/>
        </w:rPr>
        <w:t xml:space="preserve"> млн. лв. еднократни извънредни приходи)</w:t>
      </w:r>
      <w:r>
        <w:rPr>
          <w:rFonts w:eastAsiaTheme="minorHAnsi"/>
          <w:szCs w:val="23"/>
        </w:rPr>
        <w:t>.</w:t>
      </w:r>
      <w:r w:rsidRPr="00126521">
        <w:rPr>
          <w:rFonts w:eastAsiaTheme="minorHAnsi"/>
          <w:szCs w:val="23"/>
        </w:rPr>
        <w:t xml:space="preserve"> </w:t>
      </w:r>
      <w:r w:rsidRPr="0068416D">
        <w:rPr>
          <w:rFonts w:eastAsiaTheme="minorHAnsi"/>
          <w:szCs w:val="23"/>
        </w:rPr>
        <w:t xml:space="preserve">На съпоставима база, при елиминиране на въздействието на еднократни извънредни приходи, неданъчните приходи по КФП за 2022 г. са в размер на </w:t>
      </w:r>
      <w:r w:rsidRPr="00354950">
        <w:rPr>
          <w:rFonts w:eastAsiaTheme="minorHAnsi"/>
          <w:b/>
          <w:szCs w:val="23"/>
        </w:rPr>
        <w:t>8 795,9 млн. лв., което представлява преизпълнение на годишния разчет с 19,8 на сто (1</w:t>
      </w:r>
      <w:r>
        <w:rPr>
          <w:rFonts w:eastAsiaTheme="minorHAnsi"/>
          <w:b/>
          <w:szCs w:val="23"/>
        </w:rPr>
        <w:t> </w:t>
      </w:r>
      <w:r w:rsidRPr="00354950">
        <w:rPr>
          <w:rFonts w:eastAsiaTheme="minorHAnsi"/>
          <w:b/>
          <w:szCs w:val="23"/>
        </w:rPr>
        <w:t>452,6 млн. лв</w:t>
      </w:r>
      <w:r w:rsidRPr="00E26EC3">
        <w:rPr>
          <w:rFonts w:eastAsiaTheme="minorHAnsi"/>
          <w:szCs w:val="23"/>
        </w:rPr>
        <w:t>.)</w:t>
      </w:r>
      <w:r>
        <w:rPr>
          <w:rFonts w:eastAsiaTheme="minorHAnsi"/>
          <w:szCs w:val="23"/>
        </w:rPr>
        <w:t>.</w:t>
      </w:r>
      <w:r w:rsidRPr="00E26EC3">
        <w:rPr>
          <w:rFonts w:eastAsiaTheme="minorHAnsi"/>
          <w:szCs w:val="23"/>
        </w:rPr>
        <w:t xml:space="preserve"> Неданъчните приходи </w:t>
      </w:r>
      <w:r w:rsidRPr="00126521">
        <w:rPr>
          <w:rFonts w:eastAsiaTheme="minorHAnsi"/>
          <w:szCs w:val="23"/>
        </w:rPr>
        <w:t xml:space="preserve">се формират основно от приходи от държавни, общински и съдебни такси, приходи и доходи от собственост, вкл. вноски от приходи от държавни и общински предприятия, приходи от концесии, приходи от продажба на квоти за емисии на парникови газове и други. </w:t>
      </w:r>
      <w:r>
        <w:rPr>
          <w:rFonts w:eastAsiaTheme="minorHAnsi"/>
          <w:szCs w:val="23"/>
        </w:rPr>
        <w:t>В частта на</w:t>
      </w:r>
      <w:r w:rsidRPr="00AA60F7">
        <w:rPr>
          <w:rFonts w:eastAsiaTheme="minorHAnsi"/>
          <w:szCs w:val="23"/>
        </w:rPr>
        <w:t xml:space="preserve"> неданъчните приходи </w:t>
      </w:r>
      <w:r>
        <w:rPr>
          <w:rFonts w:eastAsiaTheme="minorHAnsi"/>
          <w:szCs w:val="23"/>
        </w:rPr>
        <w:t>най-значително преизпълнение на разчетите има при</w:t>
      </w:r>
      <w:r w:rsidRPr="00AA60F7">
        <w:rPr>
          <w:rFonts w:eastAsiaTheme="minorHAnsi"/>
          <w:szCs w:val="23"/>
        </w:rPr>
        <w:t xml:space="preserve"> отчисленията от АЕЦ „Козлодуй“ за двата т. нар. „ядрени“ фонда – Фонд „Радиоактивни отпадъци“ и Фонд „Извеждане от експлоатация на ядрени съоръжения“</w:t>
      </w:r>
      <w:r>
        <w:rPr>
          <w:rFonts w:eastAsiaTheme="minorHAnsi"/>
          <w:szCs w:val="23"/>
        </w:rPr>
        <w:t xml:space="preserve">. Отчисленията за двата фонда </w:t>
      </w:r>
      <w:r w:rsidRPr="00AA60F7">
        <w:rPr>
          <w:rFonts w:eastAsiaTheme="minorHAnsi"/>
          <w:szCs w:val="23"/>
        </w:rPr>
        <w:t xml:space="preserve">са с </w:t>
      </w:r>
      <w:r w:rsidRPr="00EC384E">
        <w:rPr>
          <w:rFonts w:eastAsiaTheme="minorHAnsi"/>
          <w:szCs w:val="23"/>
          <w:lang w:val="ru-RU"/>
        </w:rPr>
        <w:t>511</w:t>
      </w:r>
      <w:r w:rsidRPr="00AA60F7">
        <w:rPr>
          <w:rFonts w:eastAsiaTheme="minorHAnsi"/>
          <w:szCs w:val="23"/>
        </w:rPr>
        <w:t>,6 млн. лв. по-високи от планираните, което се дължи на високите цени на електроенергията на свободния пазар</w:t>
      </w:r>
      <w:r w:rsidRPr="00354950">
        <w:rPr>
          <w:rFonts w:eastAsiaTheme="minorHAnsi"/>
          <w:szCs w:val="23"/>
        </w:rPr>
        <w:t xml:space="preserve">. </w:t>
      </w:r>
      <w:r>
        <w:rPr>
          <w:rFonts w:eastAsiaTheme="minorHAnsi"/>
          <w:szCs w:val="23"/>
        </w:rPr>
        <w:t xml:space="preserve">Подобна е и ситуацията с приходите </w:t>
      </w:r>
      <w:r>
        <w:rPr>
          <w:rFonts w:eastAsiaTheme="minorHAnsi"/>
          <w:szCs w:val="23"/>
        </w:rPr>
        <w:lastRenderedPageBreak/>
        <w:t xml:space="preserve">от продажба на квоти за парникови газове, които са със 163,3 млн. лв. над заложените в годишния разчет и отново са свързани с </w:t>
      </w:r>
      <w:proofErr w:type="spellStart"/>
      <w:r>
        <w:rPr>
          <w:rFonts w:eastAsiaTheme="minorHAnsi"/>
          <w:szCs w:val="23"/>
        </w:rPr>
        <w:t>волатилните</w:t>
      </w:r>
      <w:proofErr w:type="spellEnd"/>
      <w:r>
        <w:rPr>
          <w:rFonts w:eastAsiaTheme="minorHAnsi"/>
          <w:szCs w:val="23"/>
        </w:rPr>
        <w:t xml:space="preserve"> условия на свободния пазар на електричество</w:t>
      </w:r>
      <w:r w:rsidRPr="00A6627F">
        <w:rPr>
          <w:rFonts w:eastAsiaTheme="minorHAnsi"/>
          <w:b/>
          <w:szCs w:val="23"/>
        </w:rPr>
        <w:t>.</w:t>
      </w:r>
    </w:p>
    <w:p w14:paraId="3CC3BB0F" w14:textId="77777777" w:rsidR="005F0B8E" w:rsidRPr="00C649D7" w:rsidRDefault="005F0B8E" w:rsidP="005F0B8E">
      <w:pPr>
        <w:spacing w:before="120" w:after="120"/>
        <w:jc w:val="both"/>
      </w:pPr>
      <w:r w:rsidRPr="00D415A9">
        <w:t xml:space="preserve">Приходите от </w:t>
      </w:r>
      <w:r w:rsidRPr="00C649D7">
        <w:rPr>
          <w:b/>
        </w:rPr>
        <w:t>помощи</w:t>
      </w:r>
      <w:r w:rsidRPr="00C649D7">
        <w:t xml:space="preserve"> </w:t>
      </w:r>
      <w:r w:rsidRPr="00C649D7">
        <w:rPr>
          <w:b/>
        </w:rPr>
        <w:t>и дарения</w:t>
      </w:r>
      <w:r w:rsidRPr="00D415A9">
        <w:t xml:space="preserve"> за 2022 г. са в размер на </w:t>
      </w:r>
      <w:r w:rsidRPr="00C649D7">
        <w:rPr>
          <w:b/>
        </w:rPr>
        <w:t>5 993,8 млн. лева.</w:t>
      </w:r>
      <w:r w:rsidRPr="00C649D7">
        <w:t xml:space="preserve"> </w:t>
      </w:r>
      <w:r w:rsidRPr="0068416D">
        <w:rPr>
          <w:rFonts w:eastAsiaTheme="minorHAnsi"/>
        </w:rPr>
        <w:t>Постъпленията са по-ниски от разчетените със ЗДБРБ за 2022 г. със 198,9 млн. лв., ко</w:t>
      </w:r>
      <w:r w:rsidRPr="00E1667D">
        <w:rPr>
          <w:rFonts w:eastAsiaTheme="minorHAnsi"/>
        </w:rPr>
        <w:t xml:space="preserve">ето се дължи на по-ниското усвояване на разходите по сметките за средства от ЕС, респективно по-ниския размер на възстановените </w:t>
      </w:r>
      <w:r>
        <w:rPr>
          <w:rFonts w:eastAsiaTheme="minorHAnsi"/>
        </w:rPr>
        <w:t>средства</w:t>
      </w:r>
      <w:r w:rsidRPr="00E1667D">
        <w:rPr>
          <w:rFonts w:eastAsiaTheme="minorHAnsi"/>
        </w:rPr>
        <w:t xml:space="preserve"> от ЕК</w:t>
      </w:r>
      <w:r>
        <w:rPr>
          <w:rFonts w:eastAsiaTheme="minorHAnsi"/>
        </w:rPr>
        <w:t>.</w:t>
      </w:r>
    </w:p>
    <w:p w14:paraId="3BEC0DC2" w14:textId="77777777" w:rsidR="005F0B8E" w:rsidRPr="00D415A9" w:rsidRDefault="005F0B8E" w:rsidP="005F0B8E">
      <w:pPr>
        <w:spacing w:before="120" w:after="120"/>
        <w:jc w:val="both"/>
      </w:pPr>
    </w:p>
    <w:p w14:paraId="69D8A71D" w14:textId="77777777" w:rsidR="005F0B8E" w:rsidRPr="00754DEA" w:rsidRDefault="005F0B8E" w:rsidP="005F0B8E">
      <w:pPr>
        <w:spacing w:before="120"/>
        <w:jc w:val="both"/>
        <w:rPr>
          <w:color w:val="0070C0"/>
          <w:sz w:val="12"/>
        </w:rPr>
      </w:pPr>
    </w:p>
    <w:p w14:paraId="378FE2FF" w14:textId="77777777" w:rsidR="005F0B8E" w:rsidRPr="00754DEA" w:rsidRDefault="005F0B8E" w:rsidP="005F0B8E">
      <w:pPr>
        <w:spacing w:after="120"/>
        <w:jc w:val="both"/>
        <w:rPr>
          <w:color w:val="0070C0"/>
        </w:rPr>
      </w:pPr>
      <w:r w:rsidRPr="00754DEA">
        <w:rPr>
          <w:rFonts w:eastAsia="Calibri"/>
          <w:noProof/>
          <w:color w:val="0070C0"/>
          <w:lang w:eastAsia="bg-BG"/>
        </w:rPr>
        <w:drawing>
          <wp:inline distT="0" distB="0" distL="0" distR="0" wp14:anchorId="59D1F235" wp14:editId="6645BD8F">
            <wp:extent cx="5844540" cy="2682240"/>
            <wp:effectExtent l="0" t="0" r="3810" b="3810"/>
            <wp:docPr id="6" name="Chart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60413D9" w14:textId="77777777" w:rsidR="005F0B8E" w:rsidRPr="00754DEA" w:rsidRDefault="005F0B8E" w:rsidP="005F0B8E">
      <w:pPr>
        <w:spacing w:after="120"/>
        <w:jc w:val="both"/>
        <w:rPr>
          <w:color w:val="0070C0"/>
          <w:sz w:val="2"/>
        </w:rPr>
      </w:pPr>
    </w:p>
    <w:p w14:paraId="057A430D" w14:textId="77777777" w:rsidR="005F0B8E" w:rsidRPr="005B5D34" w:rsidRDefault="005F0B8E" w:rsidP="005B5D34">
      <w:pPr>
        <w:pStyle w:val="ListParagraph"/>
        <w:numPr>
          <w:ilvl w:val="0"/>
          <w:numId w:val="37"/>
        </w:numPr>
        <w:tabs>
          <w:tab w:val="left" w:pos="426"/>
        </w:tabs>
        <w:spacing w:line="240" w:lineRule="auto"/>
        <w:ind w:left="0" w:firstLine="0"/>
        <w:rPr>
          <w:rFonts w:ascii="Times New Roman" w:eastAsia="Calibri" w:hAnsi="Times New Roman"/>
          <w:color w:val="0070C0"/>
        </w:rPr>
      </w:pPr>
      <w:bookmarkStart w:id="17" w:name="_MON_1562495641"/>
      <w:bookmarkStart w:id="18" w:name="_MON_1562495680"/>
      <w:bookmarkStart w:id="19" w:name="_MON_1562495725"/>
      <w:bookmarkStart w:id="20" w:name="_MON_1562495759"/>
      <w:bookmarkStart w:id="21" w:name="_MON_1562495782"/>
      <w:bookmarkStart w:id="22" w:name="_MON_1562495848"/>
      <w:bookmarkStart w:id="23" w:name="_MON_1562495926"/>
      <w:bookmarkStart w:id="24" w:name="_MON_1562495995"/>
      <w:bookmarkStart w:id="25" w:name="_MON_1562496100"/>
      <w:bookmarkStart w:id="26" w:name="_MON_1562496172"/>
      <w:bookmarkStart w:id="27" w:name="_MON_1562496201"/>
      <w:bookmarkStart w:id="28" w:name="_MON_1562496223"/>
      <w:bookmarkStart w:id="29" w:name="_MON_1562496546"/>
      <w:bookmarkStart w:id="30" w:name="_MON_1562494801"/>
      <w:bookmarkStart w:id="31" w:name="_MON_1562575628"/>
      <w:bookmarkStart w:id="32" w:name="_MON_1562575824"/>
      <w:bookmarkStart w:id="33" w:name="_MON_1562575867"/>
      <w:bookmarkStart w:id="34" w:name="_MON_1562494914"/>
      <w:bookmarkStart w:id="35" w:name="_MON_1562495064"/>
      <w:bookmarkStart w:id="36" w:name="_MON_1562495152"/>
      <w:bookmarkStart w:id="37" w:name="_MON_1562495221"/>
      <w:bookmarkStart w:id="38" w:name="_MON_1562495389"/>
      <w:bookmarkStart w:id="39" w:name="_MON_1522508180"/>
      <w:bookmarkStart w:id="40" w:name="_MON_1522508239"/>
      <w:bookmarkStart w:id="41" w:name="_MON_1522508269"/>
      <w:bookmarkStart w:id="42" w:name="_MON_1522508157"/>
      <w:bookmarkStart w:id="43" w:name="_MON_1549360449"/>
      <w:bookmarkStart w:id="44" w:name="_MON_1549360548"/>
      <w:bookmarkStart w:id="45" w:name="_MON_1549360567"/>
      <w:bookmarkStart w:id="46" w:name="_MON_1562165742"/>
      <w:bookmarkStart w:id="47" w:name="_MON_1562165832"/>
      <w:bookmarkStart w:id="48" w:name="_MON_1562165842"/>
      <w:bookmarkStart w:id="49" w:name="_MON_1562166008"/>
      <w:bookmarkStart w:id="50" w:name="_MON_1562166044"/>
      <w:bookmarkStart w:id="51" w:name="_MON_1522569064"/>
      <w:bookmarkStart w:id="52" w:name="_MON_1522569263"/>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5B5D34">
        <w:rPr>
          <w:rFonts w:ascii="Times New Roman" w:hAnsi="Times New Roman"/>
          <w:b/>
        </w:rPr>
        <w:t xml:space="preserve">Разходите, отчетени по КФП (вкл. вноската на Република България в бюджета на ЕС) </w:t>
      </w:r>
      <w:r w:rsidRPr="005B5D34">
        <w:rPr>
          <w:rFonts w:ascii="Times New Roman" w:hAnsi="Times New Roman"/>
        </w:rPr>
        <w:t>за</w:t>
      </w:r>
      <w:r w:rsidRPr="005B5D34">
        <w:rPr>
          <w:rFonts w:ascii="Times New Roman" w:eastAsia="Calibri" w:hAnsi="Times New Roman"/>
        </w:rPr>
        <w:t xml:space="preserve"> 2022 г., са в размер на </w:t>
      </w:r>
      <w:r w:rsidRPr="005B5D34">
        <w:rPr>
          <w:rFonts w:ascii="Times New Roman" w:eastAsia="Calibri" w:hAnsi="Times New Roman"/>
          <w:b/>
        </w:rPr>
        <w:t>66 112,6 млн. лв.</w:t>
      </w:r>
      <w:r w:rsidRPr="005B5D34">
        <w:rPr>
          <w:rFonts w:ascii="Times New Roman" w:eastAsia="Calibri" w:hAnsi="Times New Roman"/>
        </w:rPr>
        <w:t xml:space="preserve">, </w:t>
      </w:r>
      <w:r w:rsidRPr="005B5D34">
        <w:rPr>
          <w:rFonts w:ascii="Times New Roman" w:eastAsiaTheme="minorHAnsi" w:hAnsi="Times New Roman"/>
          <w:b/>
          <w:szCs w:val="23"/>
        </w:rPr>
        <w:t>вкл. 3 181,0 млн. лв. разходи с еднократен извънреден характер, които не са включени в разчетите към ЗДБРБ за 2022 г.</w:t>
      </w:r>
      <w:r w:rsidRPr="005B5D34">
        <w:rPr>
          <w:rFonts w:ascii="Times New Roman" w:eastAsia="Calibri" w:hAnsi="Times New Roman"/>
          <w:szCs w:val="22"/>
        </w:rPr>
        <w:t xml:space="preserve"> </w:t>
      </w:r>
      <w:r w:rsidRPr="005B5D34">
        <w:rPr>
          <w:rFonts w:ascii="Times New Roman" w:eastAsiaTheme="minorHAnsi" w:hAnsi="Times New Roman"/>
          <w:bCs/>
          <w:szCs w:val="22"/>
        </w:rPr>
        <w:t xml:space="preserve">На съпоставима база с разчетите към ЗДБРБ за 2022 г. разходите по КФП са в размер на </w:t>
      </w:r>
      <w:r w:rsidRPr="005B5D34">
        <w:rPr>
          <w:rFonts w:ascii="Times New Roman" w:eastAsiaTheme="minorHAnsi" w:hAnsi="Times New Roman"/>
          <w:b/>
          <w:bCs/>
          <w:szCs w:val="22"/>
        </w:rPr>
        <w:t>62 931,6 млн. лв., което представлява</w:t>
      </w:r>
      <w:r w:rsidRPr="005B5D34">
        <w:rPr>
          <w:rFonts w:ascii="Times New Roman" w:eastAsiaTheme="minorHAnsi" w:hAnsi="Times New Roman"/>
          <w:bCs/>
          <w:szCs w:val="22"/>
        </w:rPr>
        <w:t xml:space="preserve"> </w:t>
      </w:r>
      <w:r w:rsidRPr="005B5D34">
        <w:rPr>
          <w:rFonts w:ascii="Times New Roman" w:eastAsiaTheme="minorHAnsi" w:hAnsi="Times New Roman"/>
          <w:b/>
          <w:bCs/>
          <w:szCs w:val="22"/>
        </w:rPr>
        <w:t>95,5 % от разчета към ЗДБРБ за 2022 г</w:t>
      </w:r>
      <w:r w:rsidRPr="005B5D34">
        <w:rPr>
          <w:rFonts w:ascii="Times New Roman" w:hAnsi="Times New Roman"/>
          <w:bCs/>
          <w:color w:val="0070C0"/>
        </w:rPr>
        <w:t>.</w:t>
      </w:r>
    </w:p>
    <w:p w14:paraId="3E6B0DAF" w14:textId="77777777" w:rsidR="005F0B8E" w:rsidRPr="00340A4C" w:rsidRDefault="005F0B8E" w:rsidP="005F0B8E">
      <w:pPr>
        <w:spacing w:after="120"/>
        <w:jc w:val="both"/>
        <w:rPr>
          <w:rFonts w:eastAsia="Calibri"/>
          <w:bCs/>
        </w:rPr>
      </w:pPr>
      <w:r>
        <w:rPr>
          <w:rFonts w:eastAsia="Calibri"/>
          <w:bCs/>
        </w:rPr>
        <w:t>Р</w:t>
      </w:r>
      <w:r w:rsidRPr="00EE4EE2">
        <w:rPr>
          <w:rFonts w:eastAsia="Calibri"/>
          <w:bCs/>
        </w:rPr>
        <w:t>азходите по КФП са по-ниски от планираните, като най-съществено забавяне при усвояването има при разходите по сметките за средства от ЕС. Основн</w:t>
      </w:r>
      <w:r>
        <w:rPr>
          <w:rFonts w:eastAsia="Calibri"/>
          <w:bCs/>
        </w:rPr>
        <w:t>а</w:t>
      </w:r>
      <w:r w:rsidRPr="00EE4EE2">
        <w:rPr>
          <w:rFonts w:eastAsia="Calibri"/>
          <w:bCs/>
        </w:rPr>
        <w:t xml:space="preserve"> причина за това </w:t>
      </w:r>
      <w:r>
        <w:rPr>
          <w:rFonts w:eastAsia="Calibri"/>
          <w:bCs/>
        </w:rPr>
        <w:t>е</w:t>
      </w:r>
      <w:r w:rsidRPr="00EE4EE2">
        <w:rPr>
          <w:rFonts w:eastAsia="Calibri"/>
          <w:bCs/>
        </w:rPr>
        <w:t xml:space="preserve"> ниското усвояване на разходите по Плана за възстановяване и устойчивост (ПВУ) и някои оперативни програми от програмния период 2021-2027 г., като по-ниски от планираните са и разходите и предоставените трансфери по държавния бюджет. </w:t>
      </w:r>
      <w:r w:rsidRPr="00340A4C">
        <w:rPr>
          <w:rFonts w:eastAsia="Calibri"/>
          <w:bCs/>
        </w:rPr>
        <w:t>По-ниско от планираното е и усвояването на капиталовите разходи по държавния бюджет. Забавянето при изпълнението на проектите и програмите измества голяма част от планираните за 2022 г. разходи в 2023 г. и следващите години, което от една страна подобрява касовото салдо за 2022 г., но от друга води до натиск върху бюджета за 2023 г</w:t>
      </w:r>
      <w:r>
        <w:rPr>
          <w:rFonts w:eastAsia="Calibri"/>
          <w:bCs/>
        </w:rPr>
        <w:t>одина</w:t>
      </w:r>
      <w:r w:rsidRPr="00340A4C">
        <w:rPr>
          <w:rFonts w:eastAsia="Calibri"/>
          <w:bCs/>
        </w:rPr>
        <w:t>.</w:t>
      </w:r>
    </w:p>
    <w:p w14:paraId="2BF8C2C0" w14:textId="4B43436D" w:rsidR="005F0B8E" w:rsidRPr="00754DEA" w:rsidRDefault="005F0B8E" w:rsidP="005F0B8E">
      <w:pPr>
        <w:spacing w:after="120"/>
        <w:jc w:val="both"/>
        <w:rPr>
          <w:color w:val="0070C0"/>
        </w:rPr>
      </w:pPr>
      <w:r w:rsidRPr="00455EBF">
        <w:rPr>
          <w:b/>
          <w:i/>
        </w:rPr>
        <w:t>Нелихвените разходи</w:t>
      </w:r>
      <w:r w:rsidRPr="00455EBF">
        <w:t xml:space="preserve"> за 2022 г. са в размер на </w:t>
      </w:r>
      <w:r w:rsidR="0049736C">
        <w:rPr>
          <w:lang w:val="ru-RU"/>
        </w:rPr>
        <w:t>63 755,7</w:t>
      </w:r>
      <w:r w:rsidR="0049736C" w:rsidRPr="00455EBF">
        <w:rPr>
          <w:lang w:val="ru-RU"/>
        </w:rPr>
        <w:t xml:space="preserve"> </w:t>
      </w:r>
      <w:r w:rsidR="0049736C" w:rsidRPr="00455EBF">
        <w:t>млн. лв.</w:t>
      </w:r>
      <w:r w:rsidR="0049736C" w:rsidRPr="00455EBF">
        <w:rPr>
          <w:rFonts w:eastAsia="Calibri"/>
          <w:bCs/>
        </w:rPr>
        <w:t xml:space="preserve">, </w:t>
      </w:r>
      <w:r w:rsidR="006F429D" w:rsidRPr="006F429D">
        <w:rPr>
          <w:rFonts w:eastAsiaTheme="minorHAnsi"/>
          <w:szCs w:val="23"/>
        </w:rPr>
        <w:t>вкл. разходи</w:t>
      </w:r>
      <w:r w:rsidR="00ED3398">
        <w:rPr>
          <w:rFonts w:eastAsiaTheme="minorHAnsi"/>
          <w:szCs w:val="23"/>
        </w:rPr>
        <w:t>те</w:t>
      </w:r>
      <w:bookmarkStart w:id="53" w:name="_GoBack"/>
      <w:bookmarkEnd w:id="53"/>
      <w:r w:rsidR="006F429D" w:rsidRPr="006F429D">
        <w:rPr>
          <w:rFonts w:eastAsiaTheme="minorHAnsi"/>
          <w:szCs w:val="23"/>
        </w:rPr>
        <w:t xml:space="preserve"> с еднократен извънреден характер, които не са включени в разчетите към ЗДБРБ за 2022 г</w:t>
      </w:r>
      <w:r w:rsidR="006F429D">
        <w:t>.</w:t>
      </w:r>
      <w:r w:rsidR="006F429D" w:rsidRPr="006F429D">
        <w:rPr>
          <w:rFonts w:eastAsiaTheme="minorHAnsi"/>
          <w:bCs/>
          <w:szCs w:val="22"/>
        </w:rPr>
        <w:t xml:space="preserve"> </w:t>
      </w:r>
      <w:r w:rsidR="006F429D" w:rsidRPr="005B5D34">
        <w:rPr>
          <w:rFonts w:eastAsiaTheme="minorHAnsi"/>
          <w:bCs/>
          <w:szCs w:val="22"/>
        </w:rPr>
        <w:t xml:space="preserve">На съпоставима база с разчетите към ЗДБРБ за 2022 г. </w:t>
      </w:r>
      <w:r w:rsidR="006F429D">
        <w:rPr>
          <w:rFonts w:eastAsiaTheme="minorHAnsi"/>
          <w:bCs/>
          <w:szCs w:val="22"/>
        </w:rPr>
        <w:t xml:space="preserve">нелихвените </w:t>
      </w:r>
      <w:r w:rsidR="006F429D" w:rsidRPr="005B5D34">
        <w:rPr>
          <w:rFonts w:eastAsiaTheme="minorHAnsi"/>
          <w:bCs/>
          <w:szCs w:val="22"/>
        </w:rPr>
        <w:t>разходи</w:t>
      </w:r>
      <w:r w:rsidR="006F429D">
        <w:rPr>
          <w:rFonts w:eastAsiaTheme="minorHAnsi"/>
          <w:bCs/>
          <w:szCs w:val="22"/>
        </w:rPr>
        <w:t xml:space="preserve"> </w:t>
      </w:r>
      <w:r w:rsidR="006F429D" w:rsidRPr="005B5D34">
        <w:rPr>
          <w:rFonts w:eastAsiaTheme="minorHAnsi"/>
          <w:bCs/>
          <w:szCs w:val="22"/>
        </w:rPr>
        <w:t>са в размер на</w:t>
      </w:r>
      <w:r w:rsidR="006F429D" w:rsidRPr="005B5D34">
        <w:rPr>
          <w:rFonts w:eastAsiaTheme="minorHAnsi"/>
          <w:b/>
          <w:bCs/>
          <w:szCs w:val="22"/>
        </w:rPr>
        <w:t xml:space="preserve"> </w:t>
      </w:r>
      <w:r w:rsidR="006F429D" w:rsidRPr="006F429D">
        <w:rPr>
          <w:rFonts w:eastAsiaTheme="minorHAnsi"/>
          <w:bCs/>
          <w:szCs w:val="22"/>
        </w:rPr>
        <w:t>6</w:t>
      </w:r>
      <w:r w:rsidR="006F429D">
        <w:rPr>
          <w:rFonts w:eastAsiaTheme="minorHAnsi"/>
          <w:bCs/>
          <w:szCs w:val="22"/>
        </w:rPr>
        <w:t>0</w:t>
      </w:r>
      <w:r w:rsidR="006F429D" w:rsidRPr="006F429D">
        <w:rPr>
          <w:rFonts w:eastAsiaTheme="minorHAnsi"/>
          <w:bCs/>
          <w:szCs w:val="22"/>
        </w:rPr>
        <w:t> </w:t>
      </w:r>
      <w:r w:rsidR="006F429D">
        <w:rPr>
          <w:rFonts w:eastAsiaTheme="minorHAnsi"/>
          <w:bCs/>
          <w:szCs w:val="22"/>
        </w:rPr>
        <w:t>574</w:t>
      </w:r>
      <w:r w:rsidR="006F429D" w:rsidRPr="006F429D">
        <w:rPr>
          <w:rFonts w:eastAsiaTheme="minorHAnsi"/>
          <w:bCs/>
          <w:szCs w:val="22"/>
        </w:rPr>
        <w:t>,</w:t>
      </w:r>
      <w:r w:rsidR="006F429D">
        <w:rPr>
          <w:rFonts w:eastAsiaTheme="minorHAnsi"/>
          <w:bCs/>
          <w:szCs w:val="22"/>
        </w:rPr>
        <w:t>7</w:t>
      </w:r>
      <w:r w:rsidR="006F429D" w:rsidRPr="006F429D">
        <w:rPr>
          <w:rFonts w:eastAsiaTheme="minorHAnsi"/>
          <w:bCs/>
          <w:szCs w:val="22"/>
        </w:rPr>
        <w:t> млн</w:t>
      </w:r>
      <w:r w:rsidR="006F429D">
        <w:rPr>
          <w:rFonts w:eastAsiaTheme="minorHAnsi"/>
          <w:bCs/>
          <w:szCs w:val="22"/>
        </w:rPr>
        <w:t>.</w:t>
      </w:r>
      <w:r w:rsidR="006F429D" w:rsidRPr="006F429D">
        <w:rPr>
          <w:rFonts w:eastAsiaTheme="minorHAnsi"/>
          <w:bCs/>
          <w:szCs w:val="22"/>
        </w:rPr>
        <w:t xml:space="preserve"> лв.,</w:t>
      </w:r>
      <w:r w:rsidR="006F429D" w:rsidRPr="00455EBF">
        <w:t xml:space="preserve"> </w:t>
      </w:r>
      <w:r w:rsidR="0049736C" w:rsidRPr="00455EBF">
        <w:t xml:space="preserve">което представлява </w:t>
      </w:r>
      <w:r w:rsidR="006F429D">
        <w:t>96</w:t>
      </w:r>
      <w:r w:rsidR="0049736C" w:rsidRPr="00455EBF">
        <w:t xml:space="preserve">,0 % </w:t>
      </w:r>
      <w:r w:rsidR="006F429D">
        <w:t>от</w:t>
      </w:r>
      <w:r w:rsidR="0049736C" w:rsidRPr="00B03F7D">
        <w:t xml:space="preserve"> годишния разчет</w:t>
      </w:r>
      <w:r w:rsidR="0049736C" w:rsidRPr="00B03F7D">
        <w:rPr>
          <w:rFonts w:eastAsia="Calibri"/>
          <w:bCs/>
        </w:rPr>
        <w:t>.</w:t>
      </w:r>
      <w:r w:rsidRPr="00B03F7D">
        <w:t xml:space="preserve"> </w:t>
      </w:r>
      <w:r w:rsidRPr="00B03F7D">
        <w:rPr>
          <w:i/>
        </w:rPr>
        <w:t>Текущите нелихвени разходи</w:t>
      </w:r>
      <w:r w:rsidRPr="00B03F7D">
        <w:t xml:space="preserve"> </w:t>
      </w:r>
      <w:r>
        <w:t xml:space="preserve">(намалени с разходите с еднократен извънреден характер) </w:t>
      </w:r>
      <w:r w:rsidRPr="00B03F7D">
        <w:t xml:space="preserve">са в размер </w:t>
      </w:r>
      <w:r w:rsidRPr="00631193">
        <w:t>на 54 830,4 млн. лева.</w:t>
      </w:r>
      <w:r w:rsidRPr="00B03F7D">
        <w:t xml:space="preserve"> </w:t>
      </w:r>
      <w:r w:rsidRPr="00B03F7D">
        <w:rPr>
          <w:i/>
        </w:rPr>
        <w:t>Капиталовите разходи</w:t>
      </w:r>
      <w:r w:rsidRPr="00B03F7D">
        <w:t xml:space="preserve"> (вкл. нетния прираст на държавния резерв) възлизат на 5 696,7 млн. лева. </w:t>
      </w:r>
      <w:r w:rsidRPr="00B03F7D">
        <w:rPr>
          <w:i/>
        </w:rPr>
        <w:t>Предоставените текущи и капиталови трансфери за чужбина</w:t>
      </w:r>
      <w:r w:rsidRPr="00B03F7D">
        <w:t xml:space="preserve"> са в размер на 47,6 млн. лева. </w:t>
      </w:r>
      <w:r w:rsidRPr="00B03F7D">
        <w:rPr>
          <w:b/>
          <w:i/>
        </w:rPr>
        <w:t>Лихвените плащания</w:t>
      </w:r>
      <w:r w:rsidRPr="00B03F7D">
        <w:t xml:space="preserve"> са в размер на 651,9 млн. лв. </w:t>
      </w:r>
      <w:r w:rsidRPr="00B03F7D">
        <w:rPr>
          <w:rFonts w:eastAsia="Calibri"/>
          <w:bCs/>
        </w:rPr>
        <w:t>(98,1 % от планираните за 2022 г</w:t>
      </w:r>
      <w:r w:rsidR="00FC500C">
        <w:rPr>
          <w:rFonts w:eastAsia="Calibri"/>
          <w:bCs/>
        </w:rPr>
        <w:t>.</w:t>
      </w:r>
      <w:r w:rsidRPr="00B03F7D">
        <w:rPr>
          <w:rFonts w:eastAsia="Calibri"/>
          <w:bCs/>
        </w:rPr>
        <w:t>)</w:t>
      </w:r>
      <w:r w:rsidRPr="00B03F7D">
        <w:t>.</w:t>
      </w:r>
    </w:p>
    <w:p w14:paraId="015400DE" w14:textId="77777777" w:rsidR="005F0B8E" w:rsidRPr="00664FA1" w:rsidRDefault="005F0B8E" w:rsidP="005F0B8E">
      <w:pPr>
        <w:spacing w:after="120"/>
        <w:jc w:val="both"/>
      </w:pPr>
      <w:r w:rsidRPr="00664FA1">
        <w:t>Отчетените разходи по основните разходни групи за 2021 г. и 2022 г. са представени на следната графика:</w:t>
      </w:r>
    </w:p>
    <w:p w14:paraId="0EB1F235" w14:textId="77777777" w:rsidR="005F0B8E" w:rsidRPr="00754DEA" w:rsidRDefault="005F0B8E" w:rsidP="005F0B8E">
      <w:pPr>
        <w:spacing w:after="120"/>
        <w:jc w:val="both"/>
        <w:rPr>
          <w:color w:val="0070C0"/>
        </w:rPr>
      </w:pPr>
    </w:p>
    <w:p w14:paraId="5BA59F83" w14:textId="77777777" w:rsidR="005F0B8E" w:rsidRPr="00754DEA" w:rsidRDefault="005F0B8E" w:rsidP="005F0B8E">
      <w:pPr>
        <w:spacing w:after="120"/>
        <w:jc w:val="both"/>
        <w:rPr>
          <w:color w:val="0070C0"/>
          <w:lang w:val="en-US"/>
        </w:rPr>
      </w:pPr>
      <w:r w:rsidRPr="00754DEA">
        <w:rPr>
          <w:noProof/>
          <w:color w:val="0070C0"/>
          <w:lang w:eastAsia="bg-BG"/>
        </w:rPr>
        <w:lastRenderedPageBreak/>
        <w:drawing>
          <wp:inline distT="0" distB="0" distL="0" distR="0" wp14:anchorId="1C85FCC7" wp14:editId="5B3F325C">
            <wp:extent cx="6057900" cy="2867025"/>
            <wp:effectExtent l="0" t="0" r="0" b="9525"/>
            <wp:docPr id="5" name="Char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BE55C22" w14:textId="77777777" w:rsidR="005F0B8E" w:rsidRPr="00810A3F" w:rsidRDefault="005F0B8E" w:rsidP="005F0B8E">
      <w:pPr>
        <w:ind w:left="360"/>
        <w:jc w:val="both"/>
        <w:rPr>
          <w:sz w:val="16"/>
          <w:szCs w:val="16"/>
        </w:rPr>
      </w:pPr>
      <w:bookmarkStart w:id="54" w:name="_MON_1549378791"/>
      <w:bookmarkStart w:id="55" w:name="_MON_1522508435"/>
      <w:bookmarkStart w:id="56" w:name="_MON_1522508500"/>
      <w:bookmarkStart w:id="57" w:name="_MON_1522508578"/>
      <w:bookmarkStart w:id="58" w:name="_MON_1522508396"/>
      <w:bookmarkStart w:id="59" w:name="_MON_1562166431"/>
      <w:bookmarkStart w:id="60" w:name="_MON_1562166533"/>
      <w:bookmarkStart w:id="61" w:name="_MON_1562166556"/>
      <w:bookmarkStart w:id="62" w:name="_MON_1562166578"/>
      <w:bookmarkStart w:id="63" w:name="_MON_1522569336"/>
      <w:bookmarkStart w:id="64" w:name="_MON_1541257307"/>
      <w:bookmarkStart w:id="65" w:name="_MON_1541257332"/>
      <w:bookmarkStart w:id="66" w:name="_MON_1522569451"/>
      <w:bookmarkStart w:id="67" w:name="_MON_1522569507"/>
      <w:bookmarkStart w:id="68" w:name="_MON_1549376308"/>
      <w:bookmarkStart w:id="69" w:name="_MON_1549378514"/>
      <w:bookmarkStart w:id="70" w:name="_MON_1549378678"/>
      <w:bookmarkStart w:id="71" w:name="_MON_1549378721"/>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810A3F">
        <w:rPr>
          <w:sz w:val="18"/>
          <w:szCs w:val="16"/>
          <w:lang w:val="ru-RU"/>
        </w:rPr>
        <w:t>*</w:t>
      </w:r>
      <w:r w:rsidRPr="00810A3F">
        <w:rPr>
          <w:sz w:val="16"/>
          <w:szCs w:val="16"/>
          <w:lang w:val="ru-RU"/>
        </w:rPr>
        <w:t xml:space="preserve">  </w:t>
      </w:r>
      <w:r w:rsidRPr="00810A3F">
        <w:rPr>
          <w:sz w:val="18"/>
          <w:szCs w:val="16"/>
        </w:rPr>
        <w:t>Вкл. нетния прираст на държавния резерв</w:t>
      </w:r>
    </w:p>
    <w:p w14:paraId="290C9052" w14:textId="77777777" w:rsidR="005F0B8E" w:rsidRPr="00754DEA" w:rsidRDefault="005F0B8E" w:rsidP="005F0B8E">
      <w:pPr>
        <w:spacing w:after="120"/>
        <w:jc w:val="both"/>
        <w:rPr>
          <w:color w:val="0070C0"/>
          <w:sz w:val="2"/>
          <w:szCs w:val="2"/>
        </w:rPr>
      </w:pPr>
    </w:p>
    <w:p w14:paraId="620958F4" w14:textId="77777777" w:rsidR="005F0B8E" w:rsidRPr="00754DEA" w:rsidRDefault="005F0B8E" w:rsidP="005F0B8E">
      <w:pPr>
        <w:jc w:val="both"/>
        <w:rPr>
          <w:color w:val="0070C0"/>
          <w:sz w:val="2"/>
          <w:szCs w:val="2"/>
        </w:rPr>
      </w:pPr>
    </w:p>
    <w:p w14:paraId="1BA66734" w14:textId="16CB0638" w:rsidR="005F0B8E" w:rsidRPr="006F0DA4" w:rsidRDefault="006F0DA4" w:rsidP="006F0DA4">
      <w:pPr>
        <w:pStyle w:val="ListParagraph"/>
        <w:numPr>
          <w:ilvl w:val="0"/>
          <w:numId w:val="36"/>
        </w:numPr>
        <w:tabs>
          <w:tab w:val="left" w:pos="426"/>
        </w:tabs>
        <w:spacing w:line="240" w:lineRule="auto"/>
        <w:ind w:left="0" w:firstLine="0"/>
        <w:rPr>
          <w:rFonts w:ascii="Times New Roman" w:eastAsia="Calibri" w:hAnsi="Times New Roman"/>
          <w:bCs/>
          <w:lang w:val="ru-RU"/>
        </w:rPr>
      </w:pPr>
      <w:r w:rsidRPr="006F0DA4">
        <w:rPr>
          <w:rFonts w:ascii="Times New Roman" w:eastAsia="Calibri" w:hAnsi="Times New Roman"/>
          <w:b/>
          <w:bCs/>
        </w:rPr>
        <w:t>Вноската на Република България в бюджета на ЕС</w:t>
      </w:r>
      <w:r w:rsidRPr="006F0DA4">
        <w:rPr>
          <w:rFonts w:ascii="Times New Roman" w:eastAsia="Calibri" w:hAnsi="Times New Roman"/>
          <w:bCs/>
        </w:rPr>
        <w:t xml:space="preserve">, изплатена  към </w:t>
      </w:r>
      <w:r w:rsidRPr="006F0DA4">
        <w:rPr>
          <w:rFonts w:ascii="Times New Roman" w:eastAsia="Calibri" w:hAnsi="Times New Roman"/>
        </w:rPr>
        <w:t xml:space="preserve">31 декември 2022 г. </w:t>
      </w:r>
      <w:r w:rsidRPr="006F0DA4">
        <w:rPr>
          <w:rFonts w:ascii="Times New Roman" w:eastAsia="Calibri" w:hAnsi="Times New Roman"/>
          <w:bCs/>
        </w:rPr>
        <w:t xml:space="preserve">от централния бюджет, възлиза на </w:t>
      </w:r>
      <w:r w:rsidRPr="006F0DA4">
        <w:rPr>
          <w:rFonts w:ascii="Times New Roman" w:eastAsia="Calibri" w:hAnsi="Times New Roman"/>
          <w:b/>
          <w:bCs/>
        </w:rPr>
        <w:t>1 705,0 млн. лв.</w:t>
      </w:r>
      <w:r w:rsidRPr="006F0DA4">
        <w:rPr>
          <w:rFonts w:ascii="Times New Roman" w:eastAsia="Calibri" w:hAnsi="Times New Roman"/>
          <w:bCs/>
        </w:rPr>
        <w:t>, което е в изпълнение на действащото към момента законодателство в областта на собствените ресурси на ЕС</w:t>
      </w:r>
      <w:r w:rsidR="005F0B8E" w:rsidRPr="006F0DA4">
        <w:rPr>
          <w:rFonts w:ascii="Times New Roman" w:eastAsia="Calibri" w:hAnsi="Times New Roman"/>
          <w:bCs/>
          <w:lang w:val="ru-RU"/>
        </w:rPr>
        <w:t>.</w:t>
      </w:r>
    </w:p>
    <w:p w14:paraId="2DA8EEFB" w14:textId="77777777" w:rsidR="00CD7858" w:rsidRPr="00FF6505" w:rsidRDefault="00CD7858" w:rsidP="00AF0DEC">
      <w:pPr>
        <w:pStyle w:val="ListParagraph"/>
        <w:numPr>
          <w:ilvl w:val="0"/>
          <w:numId w:val="36"/>
        </w:numPr>
        <w:tabs>
          <w:tab w:val="left" w:pos="0"/>
          <w:tab w:val="left" w:pos="426"/>
        </w:tabs>
        <w:spacing w:before="240" w:line="240" w:lineRule="auto"/>
        <w:ind w:left="0" w:firstLine="0"/>
        <w:contextualSpacing w:val="0"/>
        <w:rPr>
          <w:rFonts w:ascii="Times New Roman" w:eastAsia="Calibri" w:hAnsi="Times New Roman"/>
        </w:rPr>
      </w:pPr>
      <w:r w:rsidRPr="00FF6505">
        <w:rPr>
          <w:rFonts w:ascii="Times New Roman" w:hAnsi="Times New Roman"/>
          <w:b/>
        </w:rPr>
        <w:t>Бюджетното салдо</w:t>
      </w:r>
      <w:r w:rsidRPr="00FF6505">
        <w:rPr>
          <w:rFonts w:ascii="Times New Roman" w:hAnsi="Times New Roman"/>
          <w:bCs/>
        </w:rPr>
        <w:t xml:space="preserve"> по консолидираната фискална програма </w:t>
      </w:r>
      <w:r w:rsidRPr="00FF6505">
        <w:rPr>
          <w:rFonts w:ascii="Times New Roman" w:hAnsi="Times New Roman"/>
        </w:rPr>
        <w:t>за 2022</w:t>
      </w:r>
      <w:r w:rsidRPr="00FF6505">
        <w:rPr>
          <w:rFonts w:ascii="Times New Roman" w:hAnsi="Times New Roman"/>
          <w:bCs/>
        </w:rPr>
        <w:t xml:space="preserve"> г. е </w:t>
      </w:r>
      <w:r w:rsidRPr="00FF6505">
        <w:rPr>
          <w:rFonts w:ascii="Times New Roman" w:hAnsi="Times New Roman"/>
          <w:b/>
          <w:bCs/>
        </w:rPr>
        <w:t xml:space="preserve">отрицателно </w:t>
      </w:r>
      <w:r w:rsidRPr="00FF6505">
        <w:rPr>
          <w:rFonts w:ascii="Times New Roman" w:hAnsi="Times New Roman"/>
          <w:bCs/>
        </w:rPr>
        <w:t xml:space="preserve">в размер на </w:t>
      </w:r>
      <w:r w:rsidRPr="00FF6505">
        <w:rPr>
          <w:rFonts w:ascii="Times New Roman" w:hAnsi="Times New Roman"/>
          <w:b/>
          <w:bCs/>
          <w:lang w:val="ru-RU"/>
        </w:rPr>
        <w:t>1 347,3</w:t>
      </w:r>
      <w:r w:rsidRPr="00FF6505">
        <w:rPr>
          <w:rFonts w:ascii="Times New Roman" w:hAnsi="Times New Roman"/>
          <w:b/>
          <w:bCs/>
        </w:rPr>
        <w:t xml:space="preserve"> </w:t>
      </w:r>
      <w:r w:rsidRPr="00FF6505">
        <w:rPr>
          <w:rFonts w:ascii="Times New Roman" w:hAnsi="Times New Roman"/>
          <w:b/>
        </w:rPr>
        <w:t>млн. лв.</w:t>
      </w:r>
      <w:r w:rsidRPr="00FF6505">
        <w:rPr>
          <w:rFonts w:ascii="Times New Roman" w:hAnsi="Times New Roman"/>
        </w:rPr>
        <w:t xml:space="preserve"> (0,8 % от прогнозния БВП) и се формира от дефицит по националния бюджет в размер на 5 087,2 млн. лв. и превишение на приходите над разходите по европейските средства в размер на 3 739,9 млн. лева</w:t>
      </w:r>
      <w:r w:rsidRPr="00FF6505">
        <w:rPr>
          <w:rFonts w:ascii="Times New Roman" w:eastAsia="Calibri" w:hAnsi="Times New Roman"/>
        </w:rPr>
        <w:t xml:space="preserve">. </w:t>
      </w:r>
    </w:p>
    <w:p w14:paraId="5D1C870B" w14:textId="1589F558" w:rsidR="00222173" w:rsidRPr="00941DFF" w:rsidRDefault="00222173" w:rsidP="00DB1FA4">
      <w:pPr>
        <w:numPr>
          <w:ilvl w:val="0"/>
          <w:numId w:val="8"/>
        </w:numPr>
        <w:tabs>
          <w:tab w:val="num" w:pos="0"/>
          <w:tab w:val="left" w:pos="426"/>
          <w:tab w:val="left" w:pos="720"/>
        </w:tabs>
        <w:spacing w:before="120" w:after="60"/>
        <w:ind w:left="0" w:firstLine="0"/>
        <w:jc w:val="both"/>
        <w:rPr>
          <w:sz w:val="22"/>
        </w:rPr>
      </w:pPr>
      <w:r w:rsidRPr="00941DFF">
        <w:rPr>
          <w:b/>
          <w:szCs w:val="28"/>
        </w:rPr>
        <w:t>Общият размер</w:t>
      </w:r>
      <w:r w:rsidRPr="00941DFF">
        <w:rPr>
          <w:bCs/>
          <w:sz w:val="22"/>
        </w:rPr>
        <w:t xml:space="preserve"> </w:t>
      </w:r>
      <w:r w:rsidRPr="00941DFF">
        <w:rPr>
          <w:b/>
          <w:bCs/>
          <w:szCs w:val="28"/>
        </w:rPr>
        <w:t>на касовите постъпления от ЕС</w:t>
      </w:r>
      <w:r w:rsidRPr="00941DFF">
        <w:rPr>
          <w:bCs/>
          <w:szCs w:val="28"/>
        </w:rPr>
        <w:t xml:space="preserve"> (от Структурните и Кохезионния фондове, от</w:t>
      </w:r>
      <w:r w:rsidRPr="00941DFF">
        <w:rPr>
          <w:szCs w:val="28"/>
        </w:rPr>
        <w:t xml:space="preserve"> ЕЗФРСР и </w:t>
      </w:r>
      <w:r w:rsidR="0080444A" w:rsidRPr="00941DFF">
        <w:rPr>
          <w:szCs w:val="28"/>
        </w:rPr>
        <w:t>ЕФМДР</w:t>
      </w:r>
      <w:r w:rsidRPr="00941DFF">
        <w:rPr>
          <w:bCs/>
          <w:szCs w:val="28"/>
        </w:rPr>
        <w:t xml:space="preserve">, от средства за директни плащания към земеделските производители и плащания по пазарни мерки и др.) за </w:t>
      </w:r>
      <w:r w:rsidRPr="00941DFF">
        <w:rPr>
          <w:szCs w:val="28"/>
        </w:rPr>
        <w:t>2022</w:t>
      </w:r>
      <w:r w:rsidRPr="00941DFF">
        <w:rPr>
          <w:bCs/>
          <w:szCs w:val="28"/>
        </w:rPr>
        <w:t xml:space="preserve"> г. е </w:t>
      </w:r>
      <w:r w:rsidR="00941DFF" w:rsidRPr="00941DFF">
        <w:rPr>
          <w:b/>
          <w:bCs/>
          <w:szCs w:val="28"/>
        </w:rPr>
        <w:t>7 578,6</w:t>
      </w:r>
      <w:r w:rsidRPr="00941DFF">
        <w:rPr>
          <w:b/>
          <w:bCs/>
          <w:szCs w:val="28"/>
        </w:rPr>
        <w:t> млн. лв.</w:t>
      </w:r>
      <w:r w:rsidRPr="00941DFF">
        <w:rPr>
          <w:b/>
          <w:szCs w:val="28"/>
        </w:rPr>
        <w:t xml:space="preserve"> </w:t>
      </w:r>
      <w:r w:rsidRPr="00941DFF">
        <w:rPr>
          <w:b/>
          <w:bCs/>
          <w:szCs w:val="28"/>
        </w:rPr>
        <w:t xml:space="preserve">Нетните постъпления от ЕС към </w:t>
      </w:r>
      <w:r w:rsidR="00EA622B" w:rsidRPr="00941DFF">
        <w:rPr>
          <w:b/>
          <w:bCs/>
          <w:szCs w:val="28"/>
        </w:rPr>
        <w:t>31</w:t>
      </w:r>
      <w:r w:rsidRPr="00941DFF">
        <w:rPr>
          <w:b/>
          <w:bCs/>
          <w:szCs w:val="28"/>
        </w:rPr>
        <w:t>.</w:t>
      </w:r>
      <w:r w:rsidR="00EA622B" w:rsidRPr="00941DFF">
        <w:rPr>
          <w:b/>
          <w:bCs/>
          <w:szCs w:val="28"/>
        </w:rPr>
        <w:t>12</w:t>
      </w:r>
      <w:r w:rsidRPr="00941DFF">
        <w:rPr>
          <w:b/>
          <w:bCs/>
          <w:szCs w:val="28"/>
        </w:rPr>
        <w:t xml:space="preserve">.2022 г. </w:t>
      </w:r>
      <w:r w:rsidRPr="00941DFF">
        <w:rPr>
          <w:bCs/>
          <w:szCs w:val="28"/>
        </w:rPr>
        <w:t xml:space="preserve">(касови постъпления от ЕС, намалени с вноската в общия бюджет на ЕС) са положителни в размер на </w:t>
      </w:r>
      <w:r w:rsidR="00941DFF" w:rsidRPr="00941DFF">
        <w:rPr>
          <w:b/>
          <w:bCs/>
          <w:szCs w:val="28"/>
        </w:rPr>
        <w:t>5 873,6</w:t>
      </w:r>
      <w:r w:rsidRPr="00941DFF">
        <w:rPr>
          <w:b/>
          <w:bCs/>
          <w:szCs w:val="28"/>
        </w:rPr>
        <w:t xml:space="preserve"> млн. лева</w:t>
      </w:r>
      <w:r w:rsidRPr="00941DFF">
        <w:rPr>
          <w:sz w:val="22"/>
        </w:rPr>
        <w:t>.</w:t>
      </w:r>
    </w:p>
    <w:p w14:paraId="2A7597B9" w14:textId="7F2E2666" w:rsidR="00222173" w:rsidRPr="00850B58" w:rsidRDefault="00222173" w:rsidP="00ED2B9A">
      <w:pPr>
        <w:numPr>
          <w:ilvl w:val="2"/>
          <w:numId w:val="14"/>
        </w:numPr>
        <w:tabs>
          <w:tab w:val="left" w:pos="426"/>
        </w:tabs>
        <w:spacing w:before="120" w:after="240"/>
        <w:ind w:left="0" w:firstLine="0"/>
        <w:jc w:val="both"/>
        <w:rPr>
          <w:sz w:val="8"/>
          <w:szCs w:val="8"/>
        </w:rPr>
      </w:pPr>
      <w:r w:rsidRPr="00850B58">
        <w:rPr>
          <w:b/>
        </w:rPr>
        <w:t>Фискалният резерв</w:t>
      </w:r>
      <w:r w:rsidRPr="00850B58">
        <w:rPr>
          <w:b/>
          <w:bCs/>
          <w:vertAlign w:val="superscript"/>
          <w:lang w:eastAsia="bg-BG"/>
        </w:rPr>
        <w:footnoteReference w:id="7"/>
      </w:r>
      <w:r w:rsidRPr="00850B58">
        <w:rPr>
          <w:bCs/>
          <w:lang w:eastAsia="bg-BG"/>
        </w:rPr>
        <w:t xml:space="preserve"> към </w:t>
      </w:r>
      <w:r w:rsidR="00850B58" w:rsidRPr="00850B58">
        <w:rPr>
          <w:bCs/>
          <w:lang w:val="ru-RU"/>
        </w:rPr>
        <w:t>31</w:t>
      </w:r>
      <w:r w:rsidRPr="00850B58">
        <w:rPr>
          <w:bCs/>
          <w:lang w:val="ru-RU"/>
        </w:rPr>
        <w:t>.</w:t>
      </w:r>
      <w:r w:rsidR="00850B58" w:rsidRPr="00850B58">
        <w:rPr>
          <w:bCs/>
          <w:lang w:val="ru-RU"/>
        </w:rPr>
        <w:t>12</w:t>
      </w:r>
      <w:r w:rsidRPr="00850B58">
        <w:rPr>
          <w:bCs/>
          <w:lang w:val="ru-RU"/>
        </w:rPr>
        <w:t>.2022</w:t>
      </w:r>
      <w:r w:rsidRPr="00850B58">
        <w:rPr>
          <w:rFonts w:eastAsia="Calibri"/>
          <w:lang w:val="ru-RU"/>
        </w:rPr>
        <w:t xml:space="preserve"> г. </w:t>
      </w:r>
      <w:r w:rsidR="00850B58" w:rsidRPr="00850B58">
        <w:rPr>
          <w:bCs/>
          <w:lang w:val="ru-RU"/>
        </w:rPr>
        <w:t>е 13,4 млрд. лв., в т.ч. 12,1 млрд. лв. депозити на фискалния резерв в БНБ и банки и 1,3 млрд. лв. вземания от фондовете на Европейския съюз за сертифицирани разходи, аванси и други</w:t>
      </w:r>
      <w:r w:rsidRPr="00850B58">
        <w:rPr>
          <w:bCs/>
          <w:lang w:eastAsia="bg-BG"/>
        </w:rPr>
        <w:t>.</w:t>
      </w:r>
      <w:r w:rsidRPr="00850B58">
        <w:rPr>
          <w:bCs/>
        </w:rPr>
        <w:t xml:space="preserve"> </w:t>
      </w:r>
    </w:p>
    <w:p w14:paraId="7C4A6F2B" w14:textId="77777777" w:rsidR="00222173" w:rsidRPr="00DB12BD" w:rsidRDefault="00222173" w:rsidP="00222173">
      <w:pPr>
        <w:tabs>
          <w:tab w:val="left" w:pos="426"/>
        </w:tabs>
        <w:spacing w:before="120" w:after="120"/>
        <w:jc w:val="both"/>
        <w:rPr>
          <w:color w:val="0070C0"/>
          <w:sz w:val="8"/>
          <w:szCs w:val="8"/>
        </w:rPr>
      </w:pPr>
    </w:p>
    <w:p w14:paraId="4E97B217" w14:textId="77777777" w:rsidR="00222173" w:rsidRPr="00DB12BD" w:rsidRDefault="00222173" w:rsidP="00222173">
      <w:pPr>
        <w:tabs>
          <w:tab w:val="left" w:pos="426"/>
        </w:tabs>
        <w:spacing w:before="120" w:after="120"/>
        <w:jc w:val="both"/>
        <w:rPr>
          <w:color w:val="0070C0"/>
          <w:sz w:val="8"/>
          <w:szCs w:val="8"/>
        </w:rPr>
      </w:pPr>
    </w:p>
    <w:p w14:paraId="34001E21" w14:textId="77777777" w:rsidR="00222173" w:rsidRPr="00DB12BD" w:rsidRDefault="00222173" w:rsidP="00222173">
      <w:pPr>
        <w:rPr>
          <w:color w:val="0070C0"/>
          <w:sz w:val="8"/>
          <w:szCs w:val="8"/>
        </w:rPr>
      </w:pPr>
      <w:r w:rsidRPr="00DB12BD">
        <w:rPr>
          <w:color w:val="0070C0"/>
          <w:sz w:val="8"/>
          <w:szCs w:val="8"/>
        </w:rPr>
        <w:br w:type="page"/>
      </w:r>
    </w:p>
    <w:p w14:paraId="0390A219" w14:textId="7EDA488E" w:rsidR="00222173" w:rsidRPr="00416173" w:rsidRDefault="00222173" w:rsidP="00ED2B9A">
      <w:pPr>
        <w:keepNext/>
        <w:numPr>
          <w:ilvl w:val="0"/>
          <w:numId w:val="9"/>
        </w:numPr>
        <w:ind w:right="-108"/>
        <w:jc w:val="both"/>
        <w:outlineLvl w:val="0"/>
        <w:rPr>
          <w:b/>
          <w:bCs/>
        </w:rPr>
      </w:pPr>
      <w:r w:rsidRPr="00416173">
        <w:rPr>
          <w:b/>
          <w:bCs/>
        </w:rPr>
        <w:lastRenderedPageBreak/>
        <w:t>Изпълнение на държавния бюджет</w:t>
      </w:r>
      <w:r w:rsidRPr="00416173">
        <w:rPr>
          <w:b/>
          <w:sz w:val="20"/>
          <w:szCs w:val="20"/>
          <w:vertAlign w:val="superscript"/>
        </w:rPr>
        <w:footnoteReference w:id="8"/>
      </w:r>
      <w:r w:rsidRPr="00416173">
        <w:rPr>
          <w:b/>
          <w:bCs/>
        </w:rPr>
        <w:t xml:space="preserve"> за 2022 г.</w:t>
      </w:r>
    </w:p>
    <w:p w14:paraId="341BF6C7" w14:textId="77777777" w:rsidR="00A25A63" w:rsidRPr="00A25A63" w:rsidRDefault="00A25A63" w:rsidP="00A25A63">
      <w:pPr>
        <w:tabs>
          <w:tab w:val="left" w:pos="1080"/>
        </w:tabs>
        <w:spacing w:before="120"/>
        <w:jc w:val="both"/>
      </w:pPr>
      <w:r w:rsidRPr="00A25A63">
        <w:t>Изпълнението на основните показатели по държавния бюджет, на база месечните отчети на първостепенните разпоредители с бюджет е, както следва:</w:t>
      </w:r>
    </w:p>
    <w:p w14:paraId="2FD6FD9F" w14:textId="77777777" w:rsidR="00A25A63" w:rsidRPr="00A25A63" w:rsidRDefault="00A25A63" w:rsidP="00A25A63">
      <w:pPr>
        <w:tabs>
          <w:tab w:val="left" w:pos="1080"/>
        </w:tabs>
        <w:spacing w:before="120"/>
        <w:jc w:val="both"/>
        <w:rPr>
          <w:sz w:val="6"/>
        </w:rPr>
      </w:pPr>
    </w:p>
    <w:p w14:paraId="65CC819E" w14:textId="77777777" w:rsidR="00A25A63" w:rsidRPr="00A25A63" w:rsidRDefault="00A25A63" w:rsidP="00A25A63">
      <w:pPr>
        <w:ind w:right="-242"/>
        <w:rPr>
          <w:b/>
          <w:bCs/>
          <w:sz w:val="20"/>
          <w:szCs w:val="20"/>
          <w:lang w:eastAsia="bg-BG"/>
        </w:rPr>
      </w:pPr>
      <w:r w:rsidRPr="00A25A63">
        <w:rPr>
          <w:b/>
          <w:bCs/>
          <w:sz w:val="20"/>
          <w:szCs w:val="20"/>
          <w:lang w:eastAsia="bg-BG"/>
        </w:rPr>
        <w:t xml:space="preserve">            Таблица</w:t>
      </w:r>
      <w:r w:rsidRPr="00A25A63">
        <w:rPr>
          <w:vertAlign w:val="superscript"/>
          <w:lang w:eastAsia="bg-BG"/>
        </w:rPr>
        <w:footnoteReference w:id="9"/>
      </w:r>
      <w:r w:rsidRPr="00A25A63">
        <w:rPr>
          <w:b/>
          <w:bCs/>
          <w:sz w:val="20"/>
          <w:szCs w:val="20"/>
          <w:lang w:eastAsia="bg-BG"/>
        </w:rPr>
        <w:t xml:space="preserve">  №1      </w:t>
      </w:r>
      <w:r w:rsidRPr="00A25A63">
        <w:rPr>
          <w:b/>
          <w:bCs/>
          <w:sz w:val="20"/>
          <w:szCs w:val="20"/>
          <w:lang w:eastAsia="bg-BG"/>
        </w:rPr>
        <w:tab/>
      </w:r>
      <w:r w:rsidRPr="00A25A63">
        <w:rPr>
          <w:b/>
          <w:bCs/>
          <w:sz w:val="20"/>
          <w:szCs w:val="20"/>
          <w:lang w:eastAsia="bg-BG"/>
        </w:rPr>
        <w:tab/>
        <w:t xml:space="preserve">                                          </w:t>
      </w:r>
      <w:r w:rsidRPr="00A25A63">
        <w:rPr>
          <w:b/>
          <w:bCs/>
          <w:sz w:val="20"/>
          <w:szCs w:val="20"/>
          <w:lang w:eastAsia="bg-BG"/>
        </w:rPr>
        <w:tab/>
      </w:r>
      <w:r w:rsidRPr="00A25A63">
        <w:rPr>
          <w:b/>
          <w:bCs/>
          <w:sz w:val="20"/>
          <w:szCs w:val="20"/>
          <w:lang w:eastAsia="bg-BG"/>
        </w:rPr>
        <w:tab/>
      </w:r>
      <w:r w:rsidRPr="00A25A63">
        <w:rPr>
          <w:b/>
          <w:bCs/>
          <w:sz w:val="20"/>
          <w:szCs w:val="20"/>
          <w:lang w:eastAsia="bg-BG"/>
        </w:rPr>
        <w:tab/>
      </w:r>
      <w:r w:rsidRPr="00A25A63">
        <w:rPr>
          <w:b/>
          <w:bCs/>
          <w:sz w:val="20"/>
          <w:szCs w:val="20"/>
          <w:lang w:eastAsia="bg-BG"/>
        </w:rPr>
        <w:tab/>
        <w:t xml:space="preserve">  (млн. лв.)</w:t>
      </w:r>
    </w:p>
    <w:p w14:paraId="719587D3" w14:textId="77777777" w:rsidR="00A25A63" w:rsidRPr="00A25A63" w:rsidRDefault="00A25A63" w:rsidP="00A25A63">
      <w:pPr>
        <w:ind w:right="-242"/>
        <w:rPr>
          <w:b/>
          <w:bCs/>
          <w:color w:val="0070C0"/>
          <w:sz w:val="6"/>
          <w:szCs w:val="6"/>
          <w:lang w:eastAsia="bg-BG"/>
        </w:rPr>
      </w:pPr>
    </w:p>
    <w:tbl>
      <w:tblPr>
        <w:tblW w:w="9050" w:type="dxa"/>
        <w:jc w:val="center"/>
        <w:tblCellMar>
          <w:left w:w="70" w:type="dxa"/>
          <w:right w:w="70" w:type="dxa"/>
        </w:tblCellMar>
        <w:tblLook w:val="0000" w:firstRow="0" w:lastRow="0" w:firstColumn="0" w:lastColumn="0" w:noHBand="0" w:noVBand="0"/>
      </w:tblPr>
      <w:tblGrid>
        <w:gridCol w:w="4854"/>
        <w:gridCol w:w="1276"/>
        <w:gridCol w:w="1616"/>
        <w:gridCol w:w="1304"/>
      </w:tblGrid>
      <w:tr w:rsidR="00A25A63" w:rsidRPr="00A25A63" w14:paraId="3AADC2F0" w14:textId="77777777" w:rsidTr="00BA14F1">
        <w:trPr>
          <w:trHeight w:val="520"/>
          <w:jc w:val="center"/>
        </w:trPr>
        <w:tc>
          <w:tcPr>
            <w:tcW w:w="4854" w:type="dxa"/>
            <w:tcBorders>
              <w:top w:val="single" w:sz="8" w:space="0" w:color="auto"/>
              <w:left w:val="single" w:sz="8" w:space="0" w:color="auto"/>
              <w:bottom w:val="nil"/>
              <w:right w:val="single" w:sz="8" w:space="0" w:color="auto"/>
            </w:tcBorders>
            <w:shd w:val="clear" w:color="auto" w:fill="auto"/>
            <w:noWrap/>
            <w:vAlign w:val="center"/>
          </w:tcPr>
          <w:p w14:paraId="1088AC68" w14:textId="77777777" w:rsidR="00A25A63" w:rsidRPr="00A25A63" w:rsidRDefault="00A25A63" w:rsidP="00A25A63">
            <w:pPr>
              <w:jc w:val="center"/>
              <w:rPr>
                <w:b/>
                <w:bCs/>
                <w:sz w:val="18"/>
                <w:szCs w:val="18"/>
                <w:lang w:eastAsia="bg-BG"/>
              </w:rPr>
            </w:pPr>
            <w:r w:rsidRPr="00A25A63">
              <w:rPr>
                <w:b/>
                <w:bCs/>
                <w:sz w:val="18"/>
                <w:szCs w:val="18"/>
                <w:lang w:eastAsia="bg-BG"/>
              </w:rPr>
              <w:t>ПОКАЗАТЕЛИ</w:t>
            </w:r>
          </w:p>
        </w:tc>
        <w:tc>
          <w:tcPr>
            <w:tcW w:w="1276" w:type="dxa"/>
            <w:tcBorders>
              <w:top w:val="single" w:sz="8" w:space="0" w:color="auto"/>
              <w:left w:val="nil"/>
              <w:bottom w:val="single" w:sz="4" w:space="0" w:color="auto"/>
              <w:right w:val="nil"/>
            </w:tcBorders>
            <w:shd w:val="clear" w:color="auto" w:fill="auto"/>
            <w:vAlign w:val="center"/>
          </w:tcPr>
          <w:p w14:paraId="664AC3E8" w14:textId="77777777" w:rsidR="00A25A63" w:rsidRPr="00A25A63" w:rsidRDefault="00A25A63" w:rsidP="00A25A63">
            <w:pPr>
              <w:jc w:val="center"/>
              <w:rPr>
                <w:b/>
                <w:bCs/>
                <w:sz w:val="18"/>
                <w:szCs w:val="18"/>
                <w:lang w:eastAsia="bg-BG"/>
              </w:rPr>
            </w:pPr>
            <w:r w:rsidRPr="00A25A63">
              <w:rPr>
                <w:b/>
                <w:bCs/>
                <w:sz w:val="18"/>
                <w:szCs w:val="18"/>
                <w:lang w:eastAsia="bg-BG"/>
              </w:rPr>
              <w:t xml:space="preserve">ЗДБРБ    </w:t>
            </w:r>
            <w:r w:rsidRPr="00A25A63">
              <w:rPr>
                <w:b/>
                <w:bCs/>
                <w:sz w:val="18"/>
                <w:szCs w:val="18"/>
                <w:highlight w:val="yellow"/>
                <w:lang w:eastAsia="bg-BG"/>
              </w:rPr>
              <w:t xml:space="preserve"> </w:t>
            </w:r>
            <w:r w:rsidRPr="00A25A63">
              <w:rPr>
                <w:b/>
                <w:bCs/>
                <w:sz w:val="18"/>
                <w:szCs w:val="18"/>
                <w:lang w:eastAsia="bg-BG"/>
              </w:rPr>
              <w:t>2022 г.</w:t>
            </w:r>
            <w:r w:rsidRPr="00A25A63">
              <w:rPr>
                <w:b/>
                <w:bCs/>
                <w:sz w:val="18"/>
                <w:szCs w:val="18"/>
                <w:vertAlign w:val="superscript"/>
                <w:lang w:eastAsia="bg-BG"/>
              </w:rPr>
              <w:footnoteReference w:id="10"/>
            </w:r>
          </w:p>
        </w:tc>
        <w:tc>
          <w:tcPr>
            <w:tcW w:w="1616" w:type="dxa"/>
            <w:tcBorders>
              <w:top w:val="single" w:sz="8" w:space="0" w:color="auto"/>
              <w:left w:val="nil"/>
              <w:bottom w:val="single" w:sz="4" w:space="0" w:color="auto"/>
              <w:right w:val="nil"/>
            </w:tcBorders>
            <w:shd w:val="clear" w:color="auto" w:fill="auto"/>
            <w:vAlign w:val="center"/>
          </w:tcPr>
          <w:p w14:paraId="5D4A88FA" w14:textId="77777777" w:rsidR="00A25A63" w:rsidRPr="00A25A63" w:rsidRDefault="00A25A63" w:rsidP="00A25A63">
            <w:pPr>
              <w:jc w:val="center"/>
              <w:rPr>
                <w:b/>
                <w:bCs/>
                <w:sz w:val="18"/>
                <w:szCs w:val="18"/>
                <w:lang w:eastAsia="bg-BG"/>
              </w:rPr>
            </w:pPr>
            <w:r w:rsidRPr="00A25A63">
              <w:rPr>
                <w:b/>
                <w:bCs/>
                <w:sz w:val="18"/>
                <w:szCs w:val="18"/>
                <w:lang w:eastAsia="bg-BG"/>
              </w:rPr>
              <w:t xml:space="preserve">Отчет </w:t>
            </w:r>
          </w:p>
          <w:p w14:paraId="0F75B5AA" w14:textId="77777777" w:rsidR="00A25A63" w:rsidRPr="00A25A63" w:rsidRDefault="00A25A63" w:rsidP="00A25A63">
            <w:pPr>
              <w:jc w:val="center"/>
              <w:rPr>
                <w:b/>
                <w:bCs/>
                <w:sz w:val="18"/>
                <w:szCs w:val="18"/>
                <w:lang w:eastAsia="bg-BG"/>
              </w:rPr>
            </w:pPr>
            <w:r w:rsidRPr="00A25A63">
              <w:rPr>
                <w:b/>
                <w:bCs/>
                <w:sz w:val="18"/>
                <w:szCs w:val="18"/>
                <w:lang w:eastAsia="bg-BG"/>
              </w:rPr>
              <w:t>2022 г.</w:t>
            </w:r>
          </w:p>
        </w:tc>
        <w:tc>
          <w:tcPr>
            <w:tcW w:w="1304" w:type="dxa"/>
            <w:tcBorders>
              <w:top w:val="single" w:sz="8" w:space="0" w:color="auto"/>
              <w:left w:val="nil"/>
              <w:bottom w:val="single" w:sz="4" w:space="0" w:color="auto"/>
              <w:right w:val="single" w:sz="8" w:space="0" w:color="auto"/>
            </w:tcBorders>
            <w:shd w:val="clear" w:color="auto" w:fill="auto"/>
            <w:vAlign w:val="center"/>
          </w:tcPr>
          <w:p w14:paraId="31C7023E" w14:textId="77777777" w:rsidR="00A25A63" w:rsidRPr="00A25A63" w:rsidRDefault="00A25A63" w:rsidP="00A25A63">
            <w:pPr>
              <w:jc w:val="center"/>
              <w:rPr>
                <w:b/>
                <w:bCs/>
                <w:sz w:val="18"/>
                <w:szCs w:val="18"/>
                <w:lang w:eastAsia="bg-BG"/>
              </w:rPr>
            </w:pPr>
            <w:r w:rsidRPr="00A25A63">
              <w:rPr>
                <w:b/>
                <w:bCs/>
                <w:sz w:val="18"/>
                <w:szCs w:val="18"/>
                <w:lang w:eastAsia="bg-BG"/>
              </w:rPr>
              <w:t>Изпълнение спрямо    закон 2022 г.</w:t>
            </w:r>
          </w:p>
        </w:tc>
      </w:tr>
      <w:tr w:rsidR="00A25A63" w:rsidRPr="00A25A63" w14:paraId="1DA17559" w14:textId="77777777" w:rsidTr="00BA14F1">
        <w:trPr>
          <w:trHeight w:val="92"/>
          <w:jc w:val="center"/>
        </w:trPr>
        <w:tc>
          <w:tcPr>
            <w:tcW w:w="4854" w:type="dxa"/>
            <w:tcBorders>
              <w:top w:val="single" w:sz="4" w:space="0" w:color="auto"/>
              <w:left w:val="single" w:sz="8" w:space="0" w:color="auto"/>
              <w:bottom w:val="single" w:sz="4" w:space="0" w:color="auto"/>
              <w:right w:val="single" w:sz="8" w:space="0" w:color="auto"/>
            </w:tcBorders>
            <w:shd w:val="clear" w:color="auto" w:fill="auto"/>
            <w:noWrap/>
            <w:vAlign w:val="bottom"/>
          </w:tcPr>
          <w:p w14:paraId="371C56CB" w14:textId="77777777" w:rsidR="00A25A63" w:rsidRPr="00A25A63" w:rsidRDefault="00A25A63" w:rsidP="00A25A63">
            <w:pPr>
              <w:rPr>
                <w:b/>
                <w:bCs/>
                <w:sz w:val="18"/>
                <w:szCs w:val="18"/>
                <w:lang w:eastAsia="bg-BG"/>
              </w:rPr>
            </w:pPr>
            <w:r w:rsidRPr="00A25A63">
              <w:rPr>
                <w:b/>
                <w:bCs/>
                <w:sz w:val="18"/>
                <w:szCs w:val="18"/>
                <w:lang w:eastAsia="bg-BG"/>
              </w:rPr>
              <w:t>Приходи, помощи и дарения</w:t>
            </w:r>
          </w:p>
        </w:tc>
        <w:tc>
          <w:tcPr>
            <w:tcW w:w="1276" w:type="dxa"/>
            <w:tcBorders>
              <w:top w:val="single" w:sz="4" w:space="0" w:color="auto"/>
              <w:left w:val="nil"/>
              <w:bottom w:val="single" w:sz="4" w:space="0" w:color="auto"/>
              <w:right w:val="nil"/>
            </w:tcBorders>
            <w:shd w:val="clear" w:color="auto" w:fill="auto"/>
            <w:noWrap/>
          </w:tcPr>
          <w:p w14:paraId="553A68E9" w14:textId="77777777" w:rsidR="00A25A63" w:rsidRPr="00A25A63" w:rsidRDefault="00A25A63" w:rsidP="00A25A63">
            <w:pPr>
              <w:jc w:val="right"/>
              <w:rPr>
                <w:b/>
                <w:sz w:val="18"/>
                <w:szCs w:val="18"/>
                <w:lang w:eastAsia="bg-BG"/>
              </w:rPr>
            </w:pPr>
            <w:r w:rsidRPr="00A25A63">
              <w:rPr>
                <w:b/>
                <w:sz w:val="18"/>
                <w:szCs w:val="18"/>
                <w:lang w:eastAsia="bg-BG"/>
              </w:rPr>
              <w:t>34 112,5</w:t>
            </w:r>
          </w:p>
        </w:tc>
        <w:tc>
          <w:tcPr>
            <w:tcW w:w="1616" w:type="dxa"/>
            <w:tcBorders>
              <w:top w:val="single" w:sz="4" w:space="0" w:color="auto"/>
              <w:left w:val="nil"/>
              <w:bottom w:val="single" w:sz="4" w:space="0" w:color="auto"/>
            </w:tcBorders>
            <w:shd w:val="clear" w:color="auto" w:fill="auto"/>
            <w:noWrap/>
            <w:vAlign w:val="bottom"/>
          </w:tcPr>
          <w:p w14:paraId="3CD79134" w14:textId="77777777" w:rsidR="00A25A63" w:rsidRPr="00A25A63" w:rsidRDefault="00A25A63" w:rsidP="00A25A63">
            <w:pPr>
              <w:jc w:val="right"/>
              <w:rPr>
                <w:b/>
                <w:bCs/>
                <w:color w:val="0070C0"/>
                <w:sz w:val="18"/>
                <w:szCs w:val="18"/>
                <w:lang w:eastAsia="bg-BG"/>
              </w:rPr>
            </w:pPr>
            <w:r w:rsidRPr="00A25A63">
              <w:rPr>
                <w:b/>
                <w:bCs/>
                <w:sz w:val="18"/>
                <w:szCs w:val="18"/>
                <w:lang w:eastAsia="bg-BG"/>
              </w:rPr>
              <w:t>34 947,8</w:t>
            </w:r>
          </w:p>
        </w:tc>
        <w:tc>
          <w:tcPr>
            <w:tcW w:w="1304" w:type="dxa"/>
            <w:tcBorders>
              <w:top w:val="single" w:sz="4" w:space="0" w:color="auto"/>
              <w:bottom w:val="single" w:sz="4" w:space="0" w:color="auto"/>
              <w:right w:val="single" w:sz="4" w:space="0" w:color="auto"/>
            </w:tcBorders>
            <w:shd w:val="clear" w:color="auto" w:fill="auto"/>
            <w:noWrap/>
            <w:vAlign w:val="bottom"/>
          </w:tcPr>
          <w:p w14:paraId="34EA5A92" w14:textId="77777777" w:rsidR="00A25A63" w:rsidRPr="00A25A63" w:rsidRDefault="00A25A63" w:rsidP="00A25A63">
            <w:pPr>
              <w:jc w:val="right"/>
              <w:rPr>
                <w:b/>
                <w:bCs/>
                <w:color w:val="0070C0"/>
                <w:sz w:val="18"/>
                <w:szCs w:val="18"/>
                <w:lang w:eastAsia="bg-BG"/>
              </w:rPr>
            </w:pPr>
            <w:r w:rsidRPr="00A25A63">
              <w:rPr>
                <w:b/>
                <w:bCs/>
                <w:sz w:val="18"/>
                <w:szCs w:val="18"/>
                <w:lang w:eastAsia="bg-BG"/>
              </w:rPr>
              <w:t>102,4%</w:t>
            </w:r>
          </w:p>
        </w:tc>
      </w:tr>
      <w:tr w:rsidR="00A25A63" w:rsidRPr="00A25A63" w14:paraId="6ED485BB" w14:textId="77777777" w:rsidTr="00BA14F1">
        <w:trPr>
          <w:trHeight w:val="80"/>
          <w:jc w:val="center"/>
        </w:trPr>
        <w:tc>
          <w:tcPr>
            <w:tcW w:w="4854" w:type="dxa"/>
            <w:tcBorders>
              <w:top w:val="single" w:sz="4" w:space="0" w:color="auto"/>
              <w:left w:val="single" w:sz="8" w:space="0" w:color="auto"/>
              <w:bottom w:val="nil"/>
              <w:right w:val="single" w:sz="8" w:space="0" w:color="auto"/>
            </w:tcBorders>
            <w:shd w:val="clear" w:color="auto" w:fill="auto"/>
            <w:noWrap/>
            <w:vAlign w:val="bottom"/>
          </w:tcPr>
          <w:p w14:paraId="561F96CC" w14:textId="77777777" w:rsidR="00A25A63" w:rsidRPr="00A25A63" w:rsidRDefault="00A25A63" w:rsidP="00A25A63">
            <w:pPr>
              <w:rPr>
                <w:sz w:val="18"/>
                <w:szCs w:val="18"/>
                <w:lang w:eastAsia="bg-BG"/>
              </w:rPr>
            </w:pPr>
            <w:r w:rsidRPr="00A25A63">
              <w:rPr>
                <w:sz w:val="18"/>
                <w:szCs w:val="18"/>
                <w:lang w:eastAsia="bg-BG"/>
              </w:rPr>
              <w:t xml:space="preserve">   -Данъчни приходи</w:t>
            </w:r>
          </w:p>
        </w:tc>
        <w:tc>
          <w:tcPr>
            <w:tcW w:w="1276" w:type="dxa"/>
            <w:tcBorders>
              <w:top w:val="single" w:sz="4" w:space="0" w:color="auto"/>
              <w:left w:val="nil"/>
              <w:right w:val="nil"/>
            </w:tcBorders>
            <w:shd w:val="clear" w:color="auto" w:fill="auto"/>
            <w:noWrap/>
          </w:tcPr>
          <w:p w14:paraId="14E8E42F" w14:textId="77777777" w:rsidR="00A25A63" w:rsidRPr="00A25A63" w:rsidRDefault="00A25A63" w:rsidP="00A25A63">
            <w:pPr>
              <w:jc w:val="right"/>
              <w:rPr>
                <w:sz w:val="18"/>
                <w:szCs w:val="18"/>
                <w:lang w:eastAsia="bg-BG"/>
              </w:rPr>
            </w:pPr>
            <w:r w:rsidRPr="00A25A63">
              <w:rPr>
                <w:sz w:val="18"/>
                <w:szCs w:val="18"/>
                <w:lang w:eastAsia="bg-BG"/>
              </w:rPr>
              <w:t>31 460,1</w:t>
            </w:r>
          </w:p>
        </w:tc>
        <w:tc>
          <w:tcPr>
            <w:tcW w:w="1616" w:type="dxa"/>
            <w:tcBorders>
              <w:top w:val="single" w:sz="4" w:space="0" w:color="auto"/>
              <w:left w:val="nil"/>
              <w:bottom w:val="nil"/>
            </w:tcBorders>
            <w:shd w:val="clear" w:color="auto" w:fill="auto"/>
            <w:noWrap/>
            <w:vAlign w:val="bottom"/>
          </w:tcPr>
          <w:p w14:paraId="45868AE8" w14:textId="77777777" w:rsidR="00A25A63" w:rsidRPr="00A25A63" w:rsidRDefault="00A25A63" w:rsidP="00A25A63">
            <w:pPr>
              <w:jc w:val="right"/>
              <w:rPr>
                <w:bCs/>
                <w:color w:val="0070C0"/>
                <w:sz w:val="18"/>
                <w:szCs w:val="18"/>
                <w:lang w:eastAsia="bg-BG"/>
              </w:rPr>
            </w:pPr>
            <w:r w:rsidRPr="00A25A63">
              <w:rPr>
                <w:sz w:val="18"/>
                <w:szCs w:val="18"/>
                <w:lang w:eastAsia="bg-BG"/>
              </w:rPr>
              <w:t>31 681,8</w:t>
            </w:r>
          </w:p>
        </w:tc>
        <w:tc>
          <w:tcPr>
            <w:tcW w:w="1304" w:type="dxa"/>
            <w:tcBorders>
              <w:top w:val="single" w:sz="4" w:space="0" w:color="auto"/>
              <w:right w:val="single" w:sz="4" w:space="0" w:color="auto"/>
            </w:tcBorders>
            <w:shd w:val="clear" w:color="auto" w:fill="auto"/>
            <w:noWrap/>
            <w:vAlign w:val="bottom"/>
          </w:tcPr>
          <w:p w14:paraId="558BCA16" w14:textId="77777777" w:rsidR="00A25A63" w:rsidRPr="00A25A63" w:rsidRDefault="00A25A63" w:rsidP="00A25A63">
            <w:pPr>
              <w:jc w:val="right"/>
              <w:rPr>
                <w:bCs/>
                <w:color w:val="0070C0"/>
                <w:sz w:val="18"/>
                <w:szCs w:val="18"/>
                <w:lang w:eastAsia="bg-BG"/>
              </w:rPr>
            </w:pPr>
            <w:r w:rsidRPr="00A25A63">
              <w:rPr>
                <w:sz w:val="18"/>
                <w:szCs w:val="18"/>
                <w:lang w:eastAsia="bg-BG"/>
              </w:rPr>
              <w:t>100,7%</w:t>
            </w:r>
          </w:p>
        </w:tc>
      </w:tr>
      <w:tr w:rsidR="00A25A63" w:rsidRPr="00A25A63" w14:paraId="0F0D7039" w14:textId="77777777" w:rsidTr="00BA14F1">
        <w:trPr>
          <w:trHeight w:val="80"/>
          <w:jc w:val="center"/>
        </w:trPr>
        <w:tc>
          <w:tcPr>
            <w:tcW w:w="4854" w:type="dxa"/>
            <w:tcBorders>
              <w:left w:val="single" w:sz="8" w:space="0" w:color="auto"/>
              <w:right w:val="single" w:sz="8" w:space="0" w:color="auto"/>
            </w:tcBorders>
            <w:shd w:val="clear" w:color="auto" w:fill="auto"/>
            <w:noWrap/>
            <w:vAlign w:val="bottom"/>
          </w:tcPr>
          <w:p w14:paraId="6A1B4BAB" w14:textId="77777777" w:rsidR="00A25A63" w:rsidRPr="00A25A63" w:rsidRDefault="00A25A63" w:rsidP="00A25A63">
            <w:pPr>
              <w:rPr>
                <w:sz w:val="18"/>
                <w:szCs w:val="18"/>
                <w:lang w:eastAsia="bg-BG"/>
              </w:rPr>
            </w:pPr>
            <w:r w:rsidRPr="00A25A63">
              <w:rPr>
                <w:sz w:val="18"/>
                <w:szCs w:val="18"/>
                <w:lang w:eastAsia="bg-BG"/>
              </w:rPr>
              <w:t xml:space="preserve">      Корпоративни данъци</w:t>
            </w:r>
          </w:p>
        </w:tc>
        <w:tc>
          <w:tcPr>
            <w:tcW w:w="1276" w:type="dxa"/>
            <w:tcBorders>
              <w:left w:val="nil"/>
              <w:bottom w:val="nil"/>
              <w:right w:val="nil"/>
            </w:tcBorders>
            <w:shd w:val="clear" w:color="auto" w:fill="auto"/>
            <w:noWrap/>
          </w:tcPr>
          <w:p w14:paraId="3432DF53" w14:textId="77777777" w:rsidR="00A25A63" w:rsidRPr="00A25A63" w:rsidRDefault="00A25A63" w:rsidP="00A25A63">
            <w:pPr>
              <w:jc w:val="right"/>
              <w:rPr>
                <w:sz w:val="18"/>
                <w:szCs w:val="18"/>
                <w:lang w:eastAsia="bg-BG"/>
              </w:rPr>
            </w:pPr>
            <w:r w:rsidRPr="00A25A63">
              <w:rPr>
                <w:sz w:val="18"/>
                <w:szCs w:val="18"/>
                <w:lang w:eastAsia="bg-BG"/>
              </w:rPr>
              <w:t>4 020,0</w:t>
            </w:r>
          </w:p>
        </w:tc>
        <w:tc>
          <w:tcPr>
            <w:tcW w:w="1616" w:type="dxa"/>
            <w:tcBorders>
              <w:left w:val="nil"/>
              <w:bottom w:val="nil"/>
            </w:tcBorders>
            <w:shd w:val="clear" w:color="auto" w:fill="auto"/>
            <w:noWrap/>
            <w:vAlign w:val="bottom"/>
          </w:tcPr>
          <w:p w14:paraId="1EAE44D4" w14:textId="77777777" w:rsidR="00A25A63" w:rsidRPr="00A25A63" w:rsidRDefault="00A25A63" w:rsidP="00A25A63">
            <w:pPr>
              <w:jc w:val="right"/>
              <w:rPr>
                <w:color w:val="0070C0"/>
                <w:sz w:val="18"/>
                <w:szCs w:val="18"/>
                <w:lang w:eastAsia="bg-BG"/>
              </w:rPr>
            </w:pPr>
            <w:r w:rsidRPr="00A25A63">
              <w:rPr>
                <w:sz w:val="18"/>
                <w:szCs w:val="18"/>
                <w:lang w:eastAsia="bg-BG"/>
              </w:rPr>
              <w:t>4 592,6</w:t>
            </w:r>
          </w:p>
        </w:tc>
        <w:tc>
          <w:tcPr>
            <w:tcW w:w="1304" w:type="dxa"/>
            <w:tcBorders>
              <w:right w:val="single" w:sz="4" w:space="0" w:color="auto"/>
            </w:tcBorders>
            <w:shd w:val="clear" w:color="auto" w:fill="auto"/>
            <w:noWrap/>
            <w:vAlign w:val="bottom"/>
          </w:tcPr>
          <w:p w14:paraId="1E932C0B" w14:textId="77777777" w:rsidR="00A25A63" w:rsidRPr="00A25A63" w:rsidRDefault="00A25A63" w:rsidP="00A25A63">
            <w:pPr>
              <w:jc w:val="right"/>
              <w:rPr>
                <w:color w:val="0070C0"/>
                <w:sz w:val="18"/>
                <w:szCs w:val="18"/>
                <w:lang w:eastAsia="bg-BG"/>
              </w:rPr>
            </w:pPr>
            <w:r w:rsidRPr="00A25A63">
              <w:rPr>
                <w:sz w:val="18"/>
                <w:szCs w:val="18"/>
                <w:lang w:eastAsia="bg-BG"/>
              </w:rPr>
              <w:t>114,2%</w:t>
            </w:r>
          </w:p>
        </w:tc>
      </w:tr>
      <w:tr w:rsidR="00A25A63" w:rsidRPr="00A25A63" w14:paraId="5F523F9F" w14:textId="77777777" w:rsidTr="00BA14F1">
        <w:trPr>
          <w:trHeight w:val="165"/>
          <w:jc w:val="center"/>
        </w:trPr>
        <w:tc>
          <w:tcPr>
            <w:tcW w:w="4854" w:type="dxa"/>
            <w:tcBorders>
              <w:left w:val="single" w:sz="8" w:space="0" w:color="auto"/>
              <w:right w:val="single" w:sz="8" w:space="0" w:color="auto"/>
            </w:tcBorders>
            <w:shd w:val="clear" w:color="auto" w:fill="auto"/>
            <w:noWrap/>
            <w:vAlign w:val="bottom"/>
          </w:tcPr>
          <w:p w14:paraId="11970676" w14:textId="77777777" w:rsidR="00A25A63" w:rsidRPr="00A25A63" w:rsidRDefault="00A25A63" w:rsidP="00A25A63">
            <w:pPr>
              <w:rPr>
                <w:sz w:val="18"/>
                <w:szCs w:val="18"/>
                <w:lang w:eastAsia="bg-BG"/>
              </w:rPr>
            </w:pPr>
            <w:r w:rsidRPr="00A25A63">
              <w:rPr>
                <w:sz w:val="18"/>
                <w:szCs w:val="18"/>
                <w:lang w:eastAsia="bg-BG"/>
              </w:rPr>
              <w:t xml:space="preserve">     </w:t>
            </w:r>
            <w:r w:rsidRPr="00A25A63">
              <w:rPr>
                <w:sz w:val="18"/>
                <w:szCs w:val="18"/>
                <w:lang w:val="en-US" w:eastAsia="bg-BG"/>
              </w:rPr>
              <w:t xml:space="preserve"> </w:t>
            </w:r>
            <w:r w:rsidRPr="00A25A63">
              <w:rPr>
                <w:sz w:val="18"/>
                <w:szCs w:val="18"/>
                <w:lang w:eastAsia="bg-BG"/>
              </w:rPr>
              <w:t>ДДФЛ</w:t>
            </w:r>
          </w:p>
        </w:tc>
        <w:tc>
          <w:tcPr>
            <w:tcW w:w="1276" w:type="dxa"/>
            <w:tcBorders>
              <w:left w:val="nil"/>
              <w:bottom w:val="nil"/>
              <w:right w:val="nil"/>
            </w:tcBorders>
            <w:shd w:val="clear" w:color="auto" w:fill="auto"/>
            <w:noWrap/>
          </w:tcPr>
          <w:p w14:paraId="69DFA8D8" w14:textId="77777777" w:rsidR="00A25A63" w:rsidRPr="00A25A63" w:rsidRDefault="00A25A63" w:rsidP="00A25A63">
            <w:pPr>
              <w:jc w:val="right"/>
              <w:rPr>
                <w:sz w:val="18"/>
                <w:szCs w:val="18"/>
                <w:lang w:eastAsia="bg-BG"/>
              </w:rPr>
            </w:pPr>
            <w:r w:rsidRPr="00A25A63">
              <w:rPr>
                <w:sz w:val="18"/>
                <w:szCs w:val="18"/>
                <w:lang w:eastAsia="bg-BG"/>
              </w:rPr>
              <w:t>5 015,0</w:t>
            </w:r>
          </w:p>
        </w:tc>
        <w:tc>
          <w:tcPr>
            <w:tcW w:w="1616" w:type="dxa"/>
            <w:tcBorders>
              <w:left w:val="nil"/>
              <w:bottom w:val="nil"/>
            </w:tcBorders>
            <w:shd w:val="clear" w:color="auto" w:fill="auto"/>
            <w:noWrap/>
            <w:vAlign w:val="bottom"/>
          </w:tcPr>
          <w:p w14:paraId="445D475A" w14:textId="77777777" w:rsidR="00A25A63" w:rsidRPr="00A25A63" w:rsidRDefault="00A25A63" w:rsidP="00A25A63">
            <w:pPr>
              <w:jc w:val="right"/>
              <w:rPr>
                <w:color w:val="0070C0"/>
                <w:sz w:val="18"/>
                <w:szCs w:val="18"/>
                <w:lang w:eastAsia="bg-BG"/>
              </w:rPr>
            </w:pPr>
            <w:r w:rsidRPr="00A25A63">
              <w:rPr>
                <w:sz w:val="18"/>
                <w:szCs w:val="18"/>
                <w:lang w:eastAsia="bg-BG"/>
              </w:rPr>
              <w:t>5 321,0</w:t>
            </w:r>
          </w:p>
        </w:tc>
        <w:tc>
          <w:tcPr>
            <w:tcW w:w="1304" w:type="dxa"/>
            <w:tcBorders>
              <w:right w:val="single" w:sz="4" w:space="0" w:color="auto"/>
            </w:tcBorders>
            <w:shd w:val="clear" w:color="auto" w:fill="auto"/>
            <w:noWrap/>
            <w:vAlign w:val="bottom"/>
          </w:tcPr>
          <w:p w14:paraId="49871C37" w14:textId="77777777" w:rsidR="00A25A63" w:rsidRPr="00A25A63" w:rsidRDefault="00A25A63" w:rsidP="00A25A63">
            <w:pPr>
              <w:jc w:val="right"/>
              <w:rPr>
                <w:color w:val="0070C0"/>
                <w:sz w:val="18"/>
                <w:szCs w:val="18"/>
                <w:lang w:eastAsia="bg-BG"/>
              </w:rPr>
            </w:pPr>
            <w:r w:rsidRPr="00A25A63">
              <w:rPr>
                <w:sz w:val="18"/>
                <w:szCs w:val="18"/>
                <w:lang w:eastAsia="bg-BG"/>
              </w:rPr>
              <w:t>106,1%</w:t>
            </w:r>
          </w:p>
        </w:tc>
      </w:tr>
      <w:tr w:rsidR="00A25A63" w:rsidRPr="00A25A63" w14:paraId="08F99D7F" w14:textId="77777777" w:rsidTr="00BA14F1">
        <w:trPr>
          <w:trHeight w:val="165"/>
          <w:jc w:val="center"/>
        </w:trPr>
        <w:tc>
          <w:tcPr>
            <w:tcW w:w="4854" w:type="dxa"/>
            <w:tcBorders>
              <w:left w:val="single" w:sz="8" w:space="0" w:color="auto"/>
              <w:right w:val="single" w:sz="8" w:space="0" w:color="auto"/>
            </w:tcBorders>
            <w:shd w:val="clear" w:color="auto" w:fill="auto"/>
            <w:noWrap/>
            <w:vAlign w:val="bottom"/>
          </w:tcPr>
          <w:p w14:paraId="715FA833" w14:textId="77777777" w:rsidR="00A25A63" w:rsidRPr="00A25A63" w:rsidRDefault="00A25A63" w:rsidP="00A25A63">
            <w:pPr>
              <w:rPr>
                <w:sz w:val="18"/>
                <w:szCs w:val="18"/>
                <w:lang w:eastAsia="bg-BG"/>
              </w:rPr>
            </w:pPr>
            <w:r w:rsidRPr="00A25A63">
              <w:rPr>
                <w:sz w:val="18"/>
                <w:szCs w:val="18"/>
                <w:lang w:eastAsia="bg-BG"/>
              </w:rPr>
              <w:t xml:space="preserve">     </w:t>
            </w:r>
            <w:r w:rsidRPr="00A25A63">
              <w:rPr>
                <w:sz w:val="18"/>
                <w:szCs w:val="18"/>
                <w:lang w:val="en-US" w:eastAsia="bg-BG"/>
              </w:rPr>
              <w:t xml:space="preserve"> </w:t>
            </w:r>
            <w:r w:rsidRPr="00A25A63">
              <w:rPr>
                <w:sz w:val="18"/>
                <w:szCs w:val="18"/>
                <w:lang w:eastAsia="bg-BG"/>
              </w:rPr>
              <w:t>ДДС</w:t>
            </w:r>
          </w:p>
        </w:tc>
        <w:tc>
          <w:tcPr>
            <w:tcW w:w="1276" w:type="dxa"/>
            <w:tcBorders>
              <w:left w:val="nil"/>
              <w:bottom w:val="nil"/>
              <w:right w:val="nil"/>
            </w:tcBorders>
            <w:shd w:val="clear" w:color="auto" w:fill="auto"/>
            <w:noWrap/>
          </w:tcPr>
          <w:p w14:paraId="7DC4ACE0" w14:textId="77777777" w:rsidR="00A25A63" w:rsidRPr="00A25A63" w:rsidRDefault="00A25A63" w:rsidP="00A25A63">
            <w:pPr>
              <w:jc w:val="right"/>
              <w:rPr>
                <w:sz w:val="18"/>
                <w:szCs w:val="18"/>
                <w:lang w:eastAsia="bg-BG"/>
              </w:rPr>
            </w:pPr>
            <w:r w:rsidRPr="00A25A63">
              <w:rPr>
                <w:sz w:val="18"/>
                <w:szCs w:val="18"/>
                <w:lang w:eastAsia="bg-BG"/>
              </w:rPr>
              <w:t>16 020,0</w:t>
            </w:r>
          </w:p>
        </w:tc>
        <w:tc>
          <w:tcPr>
            <w:tcW w:w="1616" w:type="dxa"/>
            <w:tcBorders>
              <w:left w:val="nil"/>
              <w:bottom w:val="nil"/>
            </w:tcBorders>
            <w:shd w:val="clear" w:color="auto" w:fill="auto"/>
            <w:noWrap/>
            <w:vAlign w:val="bottom"/>
          </w:tcPr>
          <w:p w14:paraId="7D29136B" w14:textId="77777777" w:rsidR="00A25A63" w:rsidRPr="00A25A63" w:rsidRDefault="00A25A63" w:rsidP="00A25A63">
            <w:pPr>
              <w:jc w:val="right"/>
              <w:rPr>
                <w:color w:val="0070C0"/>
                <w:sz w:val="18"/>
                <w:szCs w:val="18"/>
                <w:lang w:eastAsia="bg-BG"/>
              </w:rPr>
            </w:pPr>
            <w:r w:rsidRPr="00A25A63">
              <w:rPr>
                <w:sz w:val="18"/>
                <w:szCs w:val="18"/>
                <w:lang w:eastAsia="bg-BG"/>
              </w:rPr>
              <w:t>15 331,3</w:t>
            </w:r>
          </w:p>
        </w:tc>
        <w:tc>
          <w:tcPr>
            <w:tcW w:w="1304" w:type="dxa"/>
            <w:tcBorders>
              <w:right w:val="single" w:sz="4" w:space="0" w:color="auto"/>
            </w:tcBorders>
            <w:shd w:val="clear" w:color="auto" w:fill="auto"/>
            <w:noWrap/>
            <w:vAlign w:val="bottom"/>
          </w:tcPr>
          <w:p w14:paraId="2BDAEE6D" w14:textId="77777777" w:rsidR="00A25A63" w:rsidRPr="00A25A63" w:rsidRDefault="00A25A63" w:rsidP="00A25A63">
            <w:pPr>
              <w:jc w:val="right"/>
              <w:rPr>
                <w:color w:val="0070C0"/>
                <w:sz w:val="18"/>
                <w:szCs w:val="18"/>
                <w:lang w:eastAsia="bg-BG"/>
              </w:rPr>
            </w:pPr>
            <w:r w:rsidRPr="00A25A63">
              <w:rPr>
                <w:sz w:val="18"/>
                <w:szCs w:val="18"/>
                <w:lang w:eastAsia="bg-BG"/>
              </w:rPr>
              <w:t>95,7%</w:t>
            </w:r>
          </w:p>
        </w:tc>
      </w:tr>
      <w:tr w:rsidR="00A25A63" w:rsidRPr="00A25A63" w14:paraId="58071380" w14:textId="77777777" w:rsidTr="00BA14F1">
        <w:trPr>
          <w:trHeight w:val="165"/>
          <w:jc w:val="center"/>
        </w:trPr>
        <w:tc>
          <w:tcPr>
            <w:tcW w:w="4854" w:type="dxa"/>
            <w:tcBorders>
              <w:left w:val="single" w:sz="8" w:space="0" w:color="auto"/>
              <w:right w:val="single" w:sz="8" w:space="0" w:color="auto"/>
            </w:tcBorders>
            <w:shd w:val="clear" w:color="auto" w:fill="auto"/>
            <w:noWrap/>
            <w:vAlign w:val="bottom"/>
          </w:tcPr>
          <w:p w14:paraId="6B1BD911" w14:textId="77777777" w:rsidR="00A25A63" w:rsidRPr="00A25A63" w:rsidRDefault="00A25A63" w:rsidP="00A25A63">
            <w:pPr>
              <w:rPr>
                <w:sz w:val="18"/>
                <w:szCs w:val="18"/>
                <w:lang w:eastAsia="bg-BG"/>
              </w:rPr>
            </w:pPr>
            <w:r w:rsidRPr="00A25A63">
              <w:rPr>
                <w:sz w:val="18"/>
                <w:szCs w:val="18"/>
                <w:lang w:eastAsia="bg-BG"/>
              </w:rPr>
              <w:t xml:space="preserve">     </w:t>
            </w:r>
            <w:r w:rsidRPr="00A25A63">
              <w:rPr>
                <w:sz w:val="18"/>
                <w:szCs w:val="18"/>
                <w:lang w:val="en-US" w:eastAsia="bg-BG"/>
              </w:rPr>
              <w:t xml:space="preserve"> </w:t>
            </w:r>
            <w:r w:rsidRPr="00A25A63">
              <w:rPr>
                <w:sz w:val="18"/>
                <w:szCs w:val="18"/>
                <w:lang w:eastAsia="bg-BG"/>
              </w:rPr>
              <w:t xml:space="preserve">Акцизи </w:t>
            </w:r>
          </w:p>
        </w:tc>
        <w:tc>
          <w:tcPr>
            <w:tcW w:w="1276" w:type="dxa"/>
            <w:tcBorders>
              <w:left w:val="nil"/>
              <w:bottom w:val="nil"/>
              <w:right w:val="nil"/>
            </w:tcBorders>
            <w:shd w:val="clear" w:color="auto" w:fill="auto"/>
            <w:noWrap/>
          </w:tcPr>
          <w:p w14:paraId="26634967" w14:textId="77777777" w:rsidR="00A25A63" w:rsidRPr="00A25A63" w:rsidRDefault="00A25A63" w:rsidP="00A25A63">
            <w:pPr>
              <w:jc w:val="right"/>
              <w:rPr>
                <w:sz w:val="18"/>
                <w:szCs w:val="18"/>
                <w:lang w:eastAsia="bg-BG"/>
              </w:rPr>
            </w:pPr>
            <w:r w:rsidRPr="00A25A63">
              <w:rPr>
                <w:sz w:val="18"/>
                <w:szCs w:val="18"/>
                <w:lang w:eastAsia="bg-BG"/>
              </w:rPr>
              <w:t>5 820,0</w:t>
            </w:r>
          </w:p>
        </w:tc>
        <w:tc>
          <w:tcPr>
            <w:tcW w:w="1616" w:type="dxa"/>
            <w:tcBorders>
              <w:left w:val="nil"/>
              <w:bottom w:val="nil"/>
            </w:tcBorders>
            <w:shd w:val="clear" w:color="auto" w:fill="auto"/>
            <w:noWrap/>
            <w:vAlign w:val="bottom"/>
          </w:tcPr>
          <w:p w14:paraId="4A03C15E" w14:textId="77777777" w:rsidR="00A25A63" w:rsidRPr="00A25A63" w:rsidRDefault="00A25A63" w:rsidP="00A25A63">
            <w:pPr>
              <w:jc w:val="right"/>
              <w:rPr>
                <w:color w:val="0070C0"/>
                <w:sz w:val="18"/>
                <w:szCs w:val="18"/>
                <w:lang w:eastAsia="bg-BG"/>
              </w:rPr>
            </w:pPr>
            <w:r w:rsidRPr="00A25A63">
              <w:rPr>
                <w:sz w:val="18"/>
                <w:szCs w:val="18"/>
                <w:lang w:eastAsia="bg-BG"/>
              </w:rPr>
              <w:t>5 706,9</w:t>
            </w:r>
          </w:p>
        </w:tc>
        <w:tc>
          <w:tcPr>
            <w:tcW w:w="1304" w:type="dxa"/>
            <w:tcBorders>
              <w:right w:val="single" w:sz="4" w:space="0" w:color="auto"/>
            </w:tcBorders>
            <w:shd w:val="clear" w:color="auto" w:fill="auto"/>
            <w:noWrap/>
            <w:vAlign w:val="bottom"/>
          </w:tcPr>
          <w:p w14:paraId="0D1E21E5" w14:textId="77777777" w:rsidR="00A25A63" w:rsidRPr="00A25A63" w:rsidRDefault="00A25A63" w:rsidP="00A25A63">
            <w:pPr>
              <w:jc w:val="right"/>
              <w:rPr>
                <w:color w:val="0070C0"/>
                <w:sz w:val="18"/>
                <w:szCs w:val="18"/>
                <w:lang w:eastAsia="bg-BG"/>
              </w:rPr>
            </w:pPr>
            <w:r w:rsidRPr="00A25A63">
              <w:rPr>
                <w:sz w:val="18"/>
                <w:szCs w:val="18"/>
                <w:lang w:eastAsia="bg-BG"/>
              </w:rPr>
              <w:t>98,1%</w:t>
            </w:r>
          </w:p>
        </w:tc>
      </w:tr>
      <w:tr w:rsidR="00A25A63" w:rsidRPr="00A25A63" w14:paraId="5D5E481F" w14:textId="77777777" w:rsidTr="00BA14F1">
        <w:trPr>
          <w:trHeight w:val="165"/>
          <w:jc w:val="center"/>
        </w:trPr>
        <w:tc>
          <w:tcPr>
            <w:tcW w:w="4854" w:type="dxa"/>
            <w:tcBorders>
              <w:left w:val="single" w:sz="8" w:space="0" w:color="auto"/>
              <w:right w:val="single" w:sz="8" w:space="0" w:color="auto"/>
            </w:tcBorders>
            <w:shd w:val="clear" w:color="auto" w:fill="auto"/>
            <w:noWrap/>
            <w:vAlign w:val="bottom"/>
          </w:tcPr>
          <w:p w14:paraId="2283F004" w14:textId="77777777" w:rsidR="00A25A63" w:rsidRPr="00A25A63" w:rsidRDefault="00A25A63" w:rsidP="00A25A63">
            <w:pPr>
              <w:rPr>
                <w:sz w:val="18"/>
                <w:szCs w:val="18"/>
                <w:lang w:eastAsia="bg-BG"/>
              </w:rPr>
            </w:pPr>
            <w:r w:rsidRPr="00A25A63">
              <w:rPr>
                <w:sz w:val="18"/>
                <w:szCs w:val="18"/>
                <w:lang w:eastAsia="bg-BG"/>
              </w:rPr>
              <w:t xml:space="preserve">      Данък в/у застрахователните премии</w:t>
            </w:r>
          </w:p>
        </w:tc>
        <w:tc>
          <w:tcPr>
            <w:tcW w:w="1276" w:type="dxa"/>
            <w:tcBorders>
              <w:left w:val="nil"/>
              <w:bottom w:val="nil"/>
              <w:right w:val="nil"/>
            </w:tcBorders>
            <w:shd w:val="clear" w:color="auto" w:fill="auto"/>
            <w:noWrap/>
          </w:tcPr>
          <w:p w14:paraId="3A9B8D1D" w14:textId="77777777" w:rsidR="00A25A63" w:rsidRPr="00A25A63" w:rsidRDefault="00A25A63" w:rsidP="00A25A63">
            <w:pPr>
              <w:jc w:val="right"/>
              <w:rPr>
                <w:sz w:val="18"/>
                <w:szCs w:val="18"/>
                <w:lang w:eastAsia="bg-BG"/>
              </w:rPr>
            </w:pPr>
            <w:r w:rsidRPr="00A25A63">
              <w:rPr>
                <w:sz w:val="18"/>
                <w:szCs w:val="18"/>
                <w:lang w:eastAsia="bg-BG"/>
              </w:rPr>
              <w:t>55,1</w:t>
            </w:r>
          </w:p>
        </w:tc>
        <w:tc>
          <w:tcPr>
            <w:tcW w:w="1616" w:type="dxa"/>
            <w:tcBorders>
              <w:left w:val="nil"/>
              <w:bottom w:val="nil"/>
            </w:tcBorders>
            <w:shd w:val="clear" w:color="auto" w:fill="auto"/>
            <w:noWrap/>
            <w:vAlign w:val="bottom"/>
          </w:tcPr>
          <w:p w14:paraId="7C816C32" w14:textId="77777777" w:rsidR="00A25A63" w:rsidRPr="00A25A63" w:rsidRDefault="00A25A63" w:rsidP="00A25A63">
            <w:pPr>
              <w:jc w:val="right"/>
              <w:rPr>
                <w:color w:val="0070C0"/>
                <w:sz w:val="18"/>
                <w:szCs w:val="18"/>
                <w:lang w:eastAsia="bg-BG"/>
              </w:rPr>
            </w:pPr>
            <w:r w:rsidRPr="00A25A63">
              <w:rPr>
                <w:sz w:val="18"/>
                <w:szCs w:val="18"/>
                <w:lang w:eastAsia="bg-BG"/>
              </w:rPr>
              <w:t>52,2</w:t>
            </w:r>
          </w:p>
        </w:tc>
        <w:tc>
          <w:tcPr>
            <w:tcW w:w="1304" w:type="dxa"/>
            <w:tcBorders>
              <w:right w:val="single" w:sz="4" w:space="0" w:color="auto"/>
            </w:tcBorders>
            <w:shd w:val="clear" w:color="auto" w:fill="auto"/>
            <w:noWrap/>
            <w:vAlign w:val="bottom"/>
          </w:tcPr>
          <w:p w14:paraId="0C20B221" w14:textId="77777777" w:rsidR="00A25A63" w:rsidRPr="00A25A63" w:rsidRDefault="00A25A63" w:rsidP="00A25A63">
            <w:pPr>
              <w:jc w:val="right"/>
              <w:rPr>
                <w:color w:val="0070C0"/>
                <w:sz w:val="18"/>
                <w:szCs w:val="18"/>
                <w:lang w:eastAsia="bg-BG"/>
              </w:rPr>
            </w:pPr>
            <w:r w:rsidRPr="00A25A63">
              <w:rPr>
                <w:sz w:val="18"/>
                <w:szCs w:val="18"/>
                <w:lang w:eastAsia="bg-BG"/>
              </w:rPr>
              <w:t>94,7%</w:t>
            </w:r>
          </w:p>
        </w:tc>
      </w:tr>
      <w:tr w:rsidR="00A25A63" w:rsidRPr="00A25A63" w14:paraId="12C34D58" w14:textId="77777777" w:rsidTr="00BA14F1">
        <w:trPr>
          <w:trHeight w:val="165"/>
          <w:jc w:val="center"/>
        </w:trPr>
        <w:tc>
          <w:tcPr>
            <w:tcW w:w="4854" w:type="dxa"/>
            <w:tcBorders>
              <w:left w:val="single" w:sz="8" w:space="0" w:color="auto"/>
              <w:right w:val="single" w:sz="8" w:space="0" w:color="auto"/>
            </w:tcBorders>
            <w:shd w:val="clear" w:color="auto" w:fill="auto"/>
            <w:noWrap/>
            <w:vAlign w:val="bottom"/>
          </w:tcPr>
          <w:p w14:paraId="0501A695" w14:textId="77777777" w:rsidR="00A25A63" w:rsidRPr="00A25A63" w:rsidRDefault="00A25A63" w:rsidP="00A25A63">
            <w:pPr>
              <w:rPr>
                <w:sz w:val="18"/>
                <w:szCs w:val="18"/>
                <w:lang w:eastAsia="bg-BG"/>
              </w:rPr>
            </w:pPr>
            <w:r w:rsidRPr="00A25A63">
              <w:rPr>
                <w:sz w:val="18"/>
                <w:szCs w:val="18"/>
                <w:lang w:eastAsia="bg-BG"/>
              </w:rPr>
              <w:t xml:space="preserve">     </w:t>
            </w:r>
            <w:r w:rsidRPr="00A25A63">
              <w:rPr>
                <w:sz w:val="18"/>
                <w:szCs w:val="18"/>
                <w:lang w:val="en-US" w:eastAsia="bg-BG"/>
              </w:rPr>
              <w:t xml:space="preserve"> </w:t>
            </w:r>
            <w:r w:rsidRPr="00A25A63">
              <w:rPr>
                <w:sz w:val="18"/>
                <w:szCs w:val="18"/>
                <w:lang w:eastAsia="bg-BG"/>
              </w:rPr>
              <w:t>Мита и митнически такси</w:t>
            </w:r>
          </w:p>
        </w:tc>
        <w:tc>
          <w:tcPr>
            <w:tcW w:w="1276" w:type="dxa"/>
            <w:tcBorders>
              <w:left w:val="nil"/>
              <w:bottom w:val="nil"/>
              <w:right w:val="nil"/>
            </w:tcBorders>
            <w:shd w:val="clear" w:color="auto" w:fill="auto"/>
            <w:noWrap/>
          </w:tcPr>
          <w:p w14:paraId="2B604306" w14:textId="77777777" w:rsidR="00A25A63" w:rsidRPr="00A25A63" w:rsidRDefault="00A25A63" w:rsidP="00A25A63">
            <w:pPr>
              <w:jc w:val="right"/>
              <w:rPr>
                <w:sz w:val="18"/>
                <w:szCs w:val="18"/>
                <w:lang w:eastAsia="bg-BG"/>
              </w:rPr>
            </w:pPr>
            <w:r w:rsidRPr="00A25A63">
              <w:rPr>
                <w:sz w:val="18"/>
                <w:szCs w:val="18"/>
                <w:lang w:eastAsia="bg-BG"/>
              </w:rPr>
              <w:t>380,0</w:t>
            </w:r>
          </w:p>
        </w:tc>
        <w:tc>
          <w:tcPr>
            <w:tcW w:w="1616" w:type="dxa"/>
            <w:tcBorders>
              <w:left w:val="nil"/>
              <w:bottom w:val="nil"/>
            </w:tcBorders>
            <w:shd w:val="clear" w:color="auto" w:fill="auto"/>
            <w:noWrap/>
            <w:vAlign w:val="bottom"/>
          </w:tcPr>
          <w:p w14:paraId="26F80D0E" w14:textId="77777777" w:rsidR="00A25A63" w:rsidRPr="00A25A63" w:rsidRDefault="00A25A63" w:rsidP="00A25A63">
            <w:pPr>
              <w:jc w:val="right"/>
              <w:rPr>
                <w:color w:val="0070C0"/>
                <w:sz w:val="18"/>
                <w:szCs w:val="18"/>
                <w:lang w:eastAsia="bg-BG"/>
              </w:rPr>
            </w:pPr>
            <w:r w:rsidRPr="00A25A63">
              <w:rPr>
                <w:sz w:val="18"/>
                <w:szCs w:val="18"/>
                <w:lang w:eastAsia="bg-BG"/>
              </w:rPr>
              <w:t>451,2</w:t>
            </w:r>
          </w:p>
        </w:tc>
        <w:tc>
          <w:tcPr>
            <w:tcW w:w="1304" w:type="dxa"/>
            <w:tcBorders>
              <w:right w:val="single" w:sz="4" w:space="0" w:color="auto"/>
            </w:tcBorders>
            <w:shd w:val="clear" w:color="auto" w:fill="auto"/>
            <w:noWrap/>
            <w:vAlign w:val="bottom"/>
          </w:tcPr>
          <w:p w14:paraId="15199DB1" w14:textId="77777777" w:rsidR="00A25A63" w:rsidRPr="00A25A63" w:rsidRDefault="00A25A63" w:rsidP="00A25A63">
            <w:pPr>
              <w:jc w:val="right"/>
              <w:rPr>
                <w:color w:val="0070C0"/>
                <w:sz w:val="18"/>
                <w:szCs w:val="18"/>
                <w:lang w:eastAsia="bg-BG"/>
              </w:rPr>
            </w:pPr>
            <w:r w:rsidRPr="00A25A63">
              <w:rPr>
                <w:sz w:val="18"/>
                <w:szCs w:val="18"/>
                <w:lang w:eastAsia="bg-BG"/>
              </w:rPr>
              <w:t>118,7%</w:t>
            </w:r>
          </w:p>
        </w:tc>
      </w:tr>
      <w:tr w:rsidR="00A25A63" w:rsidRPr="00A25A63" w14:paraId="6BBFC50A" w14:textId="77777777" w:rsidTr="00BA14F1">
        <w:trPr>
          <w:trHeight w:val="165"/>
          <w:jc w:val="center"/>
        </w:trPr>
        <w:tc>
          <w:tcPr>
            <w:tcW w:w="4854" w:type="dxa"/>
            <w:tcBorders>
              <w:left w:val="single" w:sz="8" w:space="0" w:color="auto"/>
              <w:right w:val="single" w:sz="8" w:space="0" w:color="auto"/>
            </w:tcBorders>
            <w:shd w:val="clear" w:color="auto" w:fill="auto"/>
            <w:noWrap/>
            <w:vAlign w:val="bottom"/>
          </w:tcPr>
          <w:p w14:paraId="697AEBBA" w14:textId="77777777" w:rsidR="00A25A63" w:rsidRPr="00A25A63" w:rsidRDefault="00A25A63" w:rsidP="00A25A63">
            <w:pPr>
              <w:rPr>
                <w:sz w:val="18"/>
                <w:szCs w:val="18"/>
                <w:lang w:eastAsia="bg-BG"/>
              </w:rPr>
            </w:pPr>
            <w:r w:rsidRPr="00A25A63">
              <w:rPr>
                <w:sz w:val="18"/>
                <w:szCs w:val="18"/>
                <w:lang w:eastAsia="bg-BG"/>
              </w:rPr>
              <w:t xml:space="preserve">     </w:t>
            </w:r>
            <w:r w:rsidRPr="00A25A63">
              <w:rPr>
                <w:sz w:val="18"/>
                <w:szCs w:val="18"/>
                <w:lang w:val="en-US" w:eastAsia="bg-BG"/>
              </w:rPr>
              <w:t xml:space="preserve"> </w:t>
            </w:r>
            <w:r w:rsidRPr="00A25A63">
              <w:rPr>
                <w:sz w:val="18"/>
                <w:szCs w:val="18"/>
                <w:lang w:eastAsia="bg-BG"/>
              </w:rPr>
              <w:t>Други данъци</w:t>
            </w:r>
          </w:p>
        </w:tc>
        <w:tc>
          <w:tcPr>
            <w:tcW w:w="1276" w:type="dxa"/>
            <w:tcBorders>
              <w:top w:val="nil"/>
              <w:left w:val="nil"/>
              <w:bottom w:val="nil"/>
              <w:right w:val="nil"/>
            </w:tcBorders>
            <w:shd w:val="clear" w:color="auto" w:fill="auto"/>
            <w:noWrap/>
          </w:tcPr>
          <w:p w14:paraId="2BB238B4" w14:textId="77777777" w:rsidR="00A25A63" w:rsidRPr="00A25A63" w:rsidRDefault="00A25A63" w:rsidP="00A25A63">
            <w:pPr>
              <w:jc w:val="right"/>
              <w:rPr>
                <w:sz w:val="18"/>
                <w:szCs w:val="18"/>
                <w:lang w:eastAsia="bg-BG"/>
              </w:rPr>
            </w:pPr>
            <w:r w:rsidRPr="00A25A63">
              <w:rPr>
                <w:sz w:val="18"/>
                <w:szCs w:val="18"/>
                <w:lang w:eastAsia="bg-BG"/>
              </w:rPr>
              <w:t>150,0</w:t>
            </w:r>
          </w:p>
        </w:tc>
        <w:tc>
          <w:tcPr>
            <w:tcW w:w="1616" w:type="dxa"/>
            <w:tcBorders>
              <w:top w:val="nil"/>
              <w:left w:val="nil"/>
              <w:bottom w:val="nil"/>
              <w:right w:val="nil"/>
            </w:tcBorders>
            <w:shd w:val="clear" w:color="auto" w:fill="auto"/>
            <w:noWrap/>
            <w:vAlign w:val="bottom"/>
          </w:tcPr>
          <w:p w14:paraId="6F362E13" w14:textId="77777777" w:rsidR="00A25A63" w:rsidRPr="00A25A63" w:rsidRDefault="00A25A63" w:rsidP="00A25A63">
            <w:pPr>
              <w:jc w:val="right"/>
              <w:rPr>
                <w:color w:val="0070C0"/>
                <w:sz w:val="18"/>
                <w:szCs w:val="18"/>
                <w:highlight w:val="yellow"/>
                <w:lang w:eastAsia="bg-BG"/>
              </w:rPr>
            </w:pPr>
            <w:r w:rsidRPr="00A25A63">
              <w:rPr>
                <w:sz w:val="18"/>
                <w:szCs w:val="18"/>
                <w:lang w:eastAsia="bg-BG"/>
              </w:rPr>
              <w:t>154,7</w:t>
            </w:r>
          </w:p>
        </w:tc>
        <w:tc>
          <w:tcPr>
            <w:tcW w:w="1304" w:type="dxa"/>
            <w:tcBorders>
              <w:top w:val="nil"/>
              <w:left w:val="nil"/>
              <w:bottom w:val="nil"/>
              <w:right w:val="single" w:sz="8" w:space="0" w:color="auto"/>
            </w:tcBorders>
            <w:shd w:val="clear" w:color="auto" w:fill="auto"/>
            <w:noWrap/>
            <w:vAlign w:val="bottom"/>
          </w:tcPr>
          <w:p w14:paraId="0C928332" w14:textId="77777777" w:rsidR="00A25A63" w:rsidRPr="00A25A63" w:rsidRDefault="00A25A63" w:rsidP="00A25A63">
            <w:pPr>
              <w:jc w:val="right"/>
              <w:rPr>
                <w:color w:val="0070C0"/>
                <w:sz w:val="18"/>
                <w:szCs w:val="18"/>
                <w:highlight w:val="yellow"/>
                <w:lang w:eastAsia="bg-BG"/>
              </w:rPr>
            </w:pPr>
            <w:r w:rsidRPr="00A25A63">
              <w:rPr>
                <w:sz w:val="18"/>
                <w:szCs w:val="18"/>
                <w:lang w:eastAsia="bg-BG"/>
              </w:rPr>
              <w:t>103,1%</w:t>
            </w:r>
          </w:p>
        </w:tc>
      </w:tr>
      <w:tr w:rsidR="00A25A63" w:rsidRPr="00A25A63" w14:paraId="6C2539BA" w14:textId="77777777" w:rsidTr="00BA14F1">
        <w:trPr>
          <w:trHeight w:val="165"/>
          <w:jc w:val="center"/>
        </w:trPr>
        <w:tc>
          <w:tcPr>
            <w:tcW w:w="4854" w:type="dxa"/>
            <w:tcBorders>
              <w:left w:val="single" w:sz="8" w:space="0" w:color="auto"/>
              <w:right w:val="single" w:sz="8" w:space="0" w:color="auto"/>
            </w:tcBorders>
            <w:shd w:val="clear" w:color="auto" w:fill="auto"/>
            <w:noWrap/>
            <w:vAlign w:val="bottom"/>
          </w:tcPr>
          <w:p w14:paraId="36F71375" w14:textId="77777777" w:rsidR="00A25A63" w:rsidRPr="00A25A63" w:rsidRDefault="00A25A63" w:rsidP="00A25A63">
            <w:pPr>
              <w:rPr>
                <w:sz w:val="18"/>
                <w:szCs w:val="18"/>
                <w:lang w:eastAsia="bg-BG"/>
              </w:rPr>
            </w:pPr>
            <w:r w:rsidRPr="00A25A63">
              <w:rPr>
                <w:sz w:val="18"/>
                <w:szCs w:val="18"/>
                <w:lang w:eastAsia="bg-BG"/>
              </w:rPr>
              <w:t xml:space="preserve">      Временна солидарна вноска</w:t>
            </w:r>
          </w:p>
        </w:tc>
        <w:tc>
          <w:tcPr>
            <w:tcW w:w="1276" w:type="dxa"/>
            <w:tcBorders>
              <w:top w:val="nil"/>
              <w:left w:val="nil"/>
              <w:bottom w:val="nil"/>
              <w:right w:val="nil"/>
            </w:tcBorders>
            <w:shd w:val="clear" w:color="auto" w:fill="auto"/>
            <w:noWrap/>
          </w:tcPr>
          <w:p w14:paraId="3FB24F0A" w14:textId="77777777" w:rsidR="00A25A63" w:rsidRPr="00A25A63" w:rsidRDefault="00A25A63" w:rsidP="00A25A63">
            <w:pPr>
              <w:jc w:val="right"/>
              <w:rPr>
                <w:sz w:val="18"/>
                <w:szCs w:val="18"/>
                <w:lang w:eastAsia="bg-BG"/>
              </w:rPr>
            </w:pPr>
          </w:p>
        </w:tc>
        <w:tc>
          <w:tcPr>
            <w:tcW w:w="1616" w:type="dxa"/>
            <w:tcBorders>
              <w:top w:val="nil"/>
              <w:left w:val="nil"/>
              <w:bottom w:val="nil"/>
              <w:right w:val="nil"/>
            </w:tcBorders>
            <w:shd w:val="clear" w:color="auto" w:fill="auto"/>
            <w:noWrap/>
            <w:vAlign w:val="bottom"/>
          </w:tcPr>
          <w:p w14:paraId="368EFCD0" w14:textId="77777777" w:rsidR="00A25A63" w:rsidRPr="00A25A63" w:rsidRDefault="00A25A63" w:rsidP="00A25A63">
            <w:pPr>
              <w:jc w:val="right"/>
              <w:rPr>
                <w:color w:val="0070C0"/>
                <w:sz w:val="18"/>
                <w:szCs w:val="18"/>
                <w:highlight w:val="yellow"/>
                <w:lang w:eastAsia="bg-BG"/>
              </w:rPr>
            </w:pPr>
            <w:r w:rsidRPr="00A25A63">
              <w:rPr>
                <w:sz w:val="18"/>
                <w:szCs w:val="18"/>
                <w:lang w:eastAsia="bg-BG"/>
              </w:rPr>
              <w:t>72,0</w:t>
            </w:r>
          </w:p>
        </w:tc>
        <w:tc>
          <w:tcPr>
            <w:tcW w:w="1304" w:type="dxa"/>
            <w:tcBorders>
              <w:top w:val="nil"/>
              <w:left w:val="nil"/>
              <w:bottom w:val="nil"/>
              <w:right w:val="single" w:sz="8" w:space="0" w:color="auto"/>
            </w:tcBorders>
            <w:shd w:val="clear" w:color="auto" w:fill="auto"/>
            <w:noWrap/>
            <w:vAlign w:val="bottom"/>
          </w:tcPr>
          <w:p w14:paraId="26858AA9" w14:textId="77777777" w:rsidR="00A25A63" w:rsidRPr="00A25A63" w:rsidRDefault="00A25A63" w:rsidP="00A25A63">
            <w:pPr>
              <w:jc w:val="right"/>
              <w:rPr>
                <w:color w:val="0070C0"/>
                <w:sz w:val="18"/>
                <w:szCs w:val="18"/>
                <w:highlight w:val="yellow"/>
                <w:lang w:eastAsia="bg-BG"/>
              </w:rPr>
            </w:pPr>
          </w:p>
        </w:tc>
      </w:tr>
      <w:tr w:rsidR="00A25A63" w:rsidRPr="00A25A63" w14:paraId="3FCEF75E" w14:textId="77777777" w:rsidTr="00BA14F1">
        <w:trPr>
          <w:trHeight w:val="165"/>
          <w:jc w:val="center"/>
        </w:trPr>
        <w:tc>
          <w:tcPr>
            <w:tcW w:w="4854" w:type="dxa"/>
            <w:tcBorders>
              <w:left w:val="single" w:sz="8" w:space="0" w:color="auto"/>
              <w:right w:val="single" w:sz="8" w:space="0" w:color="auto"/>
            </w:tcBorders>
            <w:shd w:val="clear" w:color="auto" w:fill="auto"/>
            <w:noWrap/>
            <w:vAlign w:val="bottom"/>
          </w:tcPr>
          <w:p w14:paraId="6B248795" w14:textId="77777777" w:rsidR="00A25A63" w:rsidRPr="00A25A63" w:rsidRDefault="00A25A63" w:rsidP="00A25A63">
            <w:pPr>
              <w:rPr>
                <w:sz w:val="18"/>
                <w:szCs w:val="18"/>
                <w:lang w:eastAsia="bg-BG"/>
              </w:rPr>
            </w:pPr>
            <w:r w:rsidRPr="00A25A63">
              <w:rPr>
                <w:sz w:val="18"/>
                <w:szCs w:val="18"/>
                <w:lang w:eastAsia="bg-BG"/>
              </w:rPr>
              <w:t xml:space="preserve">   -Неданъчни приходи</w:t>
            </w:r>
          </w:p>
        </w:tc>
        <w:tc>
          <w:tcPr>
            <w:tcW w:w="1276" w:type="dxa"/>
            <w:tcBorders>
              <w:top w:val="nil"/>
              <w:left w:val="nil"/>
              <w:bottom w:val="nil"/>
              <w:right w:val="nil"/>
            </w:tcBorders>
            <w:shd w:val="clear" w:color="auto" w:fill="auto"/>
            <w:noWrap/>
          </w:tcPr>
          <w:p w14:paraId="7372586F" w14:textId="77777777" w:rsidR="00A25A63" w:rsidRPr="00A25A63" w:rsidRDefault="00A25A63" w:rsidP="00A25A63">
            <w:pPr>
              <w:jc w:val="right"/>
              <w:rPr>
                <w:sz w:val="18"/>
                <w:szCs w:val="18"/>
                <w:lang w:eastAsia="bg-BG"/>
              </w:rPr>
            </w:pPr>
            <w:r w:rsidRPr="00A25A63">
              <w:rPr>
                <w:sz w:val="18"/>
                <w:szCs w:val="18"/>
                <w:lang w:eastAsia="bg-BG"/>
              </w:rPr>
              <w:t>2 652,4</w:t>
            </w:r>
          </w:p>
        </w:tc>
        <w:tc>
          <w:tcPr>
            <w:tcW w:w="1616" w:type="dxa"/>
            <w:tcBorders>
              <w:top w:val="nil"/>
              <w:left w:val="nil"/>
              <w:bottom w:val="nil"/>
              <w:right w:val="nil"/>
            </w:tcBorders>
            <w:shd w:val="clear" w:color="auto" w:fill="auto"/>
            <w:noWrap/>
            <w:vAlign w:val="bottom"/>
          </w:tcPr>
          <w:p w14:paraId="04B79D87" w14:textId="77777777" w:rsidR="00A25A63" w:rsidRPr="00A25A63" w:rsidRDefault="00A25A63" w:rsidP="00A25A63">
            <w:pPr>
              <w:jc w:val="right"/>
              <w:rPr>
                <w:color w:val="0070C0"/>
                <w:sz w:val="18"/>
                <w:szCs w:val="18"/>
                <w:lang w:eastAsia="bg-BG"/>
              </w:rPr>
            </w:pPr>
            <w:r w:rsidRPr="00A25A63">
              <w:rPr>
                <w:sz w:val="18"/>
                <w:szCs w:val="18"/>
                <w:lang w:eastAsia="bg-BG"/>
              </w:rPr>
              <w:t>3 260,5</w:t>
            </w:r>
          </w:p>
        </w:tc>
        <w:tc>
          <w:tcPr>
            <w:tcW w:w="1304" w:type="dxa"/>
            <w:tcBorders>
              <w:top w:val="nil"/>
              <w:left w:val="nil"/>
              <w:bottom w:val="nil"/>
              <w:right w:val="single" w:sz="8" w:space="0" w:color="auto"/>
            </w:tcBorders>
            <w:shd w:val="clear" w:color="auto" w:fill="auto"/>
            <w:noWrap/>
            <w:vAlign w:val="bottom"/>
          </w:tcPr>
          <w:p w14:paraId="1322F99F" w14:textId="77777777" w:rsidR="00A25A63" w:rsidRPr="00A25A63" w:rsidRDefault="00A25A63" w:rsidP="00A25A63">
            <w:pPr>
              <w:jc w:val="right"/>
              <w:rPr>
                <w:color w:val="0070C0"/>
                <w:sz w:val="18"/>
                <w:szCs w:val="18"/>
                <w:lang w:eastAsia="bg-BG"/>
              </w:rPr>
            </w:pPr>
            <w:r w:rsidRPr="00A25A63">
              <w:rPr>
                <w:sz w:val="18"/>
                <w:szCs w:val="18"/>
                <w:lang w:eastAsia="bg-BG"/>
              </w:rPr>
              <w:t>122,9%</w:t>
            </w:r>
          </w:p>
        </w:tc>
      </w:tr>
      <w:tr w:rsidR="00A25A63" w:rsidRPr="00A25A63" w14:paraId="0129C0DC" w14:textId="77777777" w:rsidTr="00BA14F1">
        <w:trPr>
          <w:trHeight w:val="165"/>
          <w:jc w:val="center"/>
        </w:trPr>
        <w:tc>
          <w:tcPr>
            <w:tcW w:w="4854" w:type="dxa"/>
            <w:tcBorders>
              <w:left w:val="single" w:sz="8" w:space="0" w:color="auto"/>
              <w:right w:val="single" w:sz="8" w:space="0" w:color="auto"/>
            </w:tcBorders>
            <w:shd w:val="clear" w:color="auto" w:fill="auto"/>
            <w:noWrap/>
            <w:vAlign w:val="bottom"/>
          </w:tcPr>
          <w:p w14:paraId="01F4AA3E" w14:textId="77777777" w:rsidR="00A25A63" w:rsidRPr="00A25A63" w:rsidRDefault="00A25A63" w:rsidP="00A25A63">
            <w:pPr>
              <w:rPr>
                <w:sz w:val="18"/>
                <w:szCs w:val="18"/>
                <w:lang w:eastAsia="bg-BG"/>
              </w:rPr>
            </w:pPr>
            <w:r w:rsidRPr="00A25A63">
              <w:rPr>
                <w:sz w:val="18"/>
                <w:szCs w:val="18"/>
                <w:lang w:eastAsia="bg-BG"/>
              </w:rPr>
              <w:t xml:space="preserve">   -Помощи и дарения</w:t>
            </w:r>
          </w:p>
        </w:tc>
        <w:tc>
          <w:tcPr>
            <w:tcW w:w="1276" w:type="dxa"/>
            <w:tcBorders>
              <w:top w:val="nil"/>
              <w:left w:val="nil"/>
              <w:right w:val="nil"/>
            </w:tcBorders>
            <w:shd w:val="clear" w:color="auto" w:fill="auto"/>
            <w:noWrap/>
          </w:tcPr>
          <w:p w14:paraId="2233BEE1" w14:textId="77777777" w:rsidR="00A25A63" w:rsidRPr="00A25A63" w:rsidRDefault="00A25A63" w:rsidP="00A25A63">
            <w:pPr>
              <w:jc w:val="right"/>
              <w:rPr>
                <w:sz w:val="18"/>
                <w:szCs w:val="18"/>
                <w:lang w:eastAsia="bg-BG"/>
              </w:rPr>
            </w:pPr>
            <w:r w:rsidRPr="00A25A63">
              <w:rPr>
                <w:sz w:val="18"/>
                <w:szCs w:val="18"/>
                <w:lang w:eastAsia="bg-BG"/>
              </w:rPr>
              <w:t>0,0</w:t>
            </w:r>
          </w:p>
        </w:tc>
        <w:tc>
          <w:tcPr>
            <w:tcW w:w="1616" w:type="dxa"/>
            <w:tcBorders>
              <w:top w:val="nil"/>
              <w:left w:val="nil"/>
              <w:right w:val="nil"/>
            </w:tcBorders>
            <w:shd w:val="clear" w:color="auto" w:fill="auto"/>
            <w:noWrap/>
            <w:vAlign w:val="bottom"/>
          </w:tcPr>
          <w:p w14:paraId="362E739D" w14:textId="77777777" w:rsidR="00A25A63" w:rsidRPr="00A25A63" w:rsidRDefault="00A25A63" w:rsidP="00A25A63">
            <w:pPr>
              <w:jc w:val="right"/>
              <w:rPr>
                <w:color w:val="0070C0"/>
                <w:sz w:val="18"/>
                <w:szCs w:val="18"/>
                <w:lang w:eastAsia="bg-BG"/>
              </w:rPr>
            </w:pPr>
            <w:r w:rsidRPr="00A25A63">
              <w:rPr>
                <w:sz w:val="18"/>
                <w:szCs w:val="18"/>
                <w:lang w:eastAsia="bg-BG"/>
              </w:rPr>
              <w:t>5,5</w:t>
            </w:r>
          </w:p>
        </w:tc>
        <w:tc>
          <w:tcPr>
            <w:tcW w:w="1304" w:type="dxa"/>
            <w:tcBorders>
              <w:top w:val="nil"/>
              <w:left w:val="nil"/>
              <w:right w:val="single" w:sz="8" w:space="0" w:color="auto"/>
            </w:tcBorders>
            <w:shd w:val="clear" w:color="auto" w:fill="auto"/>
            <w:noWrap/>
            <w:vAlign w:val="bottom"/>
          </w:tcPr>
          <w:p w14:paraId="2F162F85" w14:textId="77777777" w:rsidR="00A25A63" w:rsidRPr="00A25A63" w:rsidRDefault="00A25A63" w:rsidP="00A25A63">
            <w:pPr>
              <w:jc w:val="center"/>
              <w:rPr>
                <w:color w:val="0070C0"/>
                <w:sz w:val="18"/>
                <w:szCs w:val="18"/>
                <w:lang w:eastAsia="bg-BG"/>
              </w:rPr>
            </w:pPr>
          </w:p>
        </w:tc>
      </w:tr>
      <w:tr w:rsidR="00A25A63" w:rsidRPr="00A25A63" w14:paraId="6F1CC625" w14:textId="77777777" w:rsidTr="00BA14F1">
        <w:trPr>
          <w:trHeight w:val="165"/>
          <w:jc w:val="center"/>
        </w:trPr>
        <w:tc>
          <w:tcPr>
            <w:tcW w:w="48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D86C99" w14:textId="77777777" w:rsidR="00A25A63" w:rsidRPr="00A25A63" w:rsidRDefault="00A25A63" w:rsidP="00A25A63">
            <w:pPr>
              <w:rPr>
                <w:sz w:val="18"/>
                <w:szCs w:val="18"/>
                <w:highlight w:val="cyan"/>
                <w:lang w:eastAsia="bg-BG"/>
              </w:rPr>
            </w:pPr>
            <w:r w:rsidRPr="00A25A63">
              <w:rPr>
                <w:b/>
                <w:bCs/>
                <w:sz w:val="18"/>
                <w:szCs w:val="18"/>
                <w:lang w:eastAsia="bg-BG"/>
              </w:rPr>
              <w:t xml:space="preserve"> Разходи, трансфери и вноска в бюджета на ЕС</w:t>
            </w:r>
          </w:p>
        </w:tc>
        <w:tc>
          <w:tcPr>
            <w:tcW w:w="1276" w:type="dxa"/>
            <w:tcBorders>
              <w:top w:val="single" w:sz="4" w:space="0" w:color="auto"/>
              <w:left w:val="nil"/>
              <w:bottom w:val="single" w:sz="4" w:space="0" w:color="auto"/>
              <w:right w:val="nil"/>
            </w:tcBorders>
            <w:shd w:val="clear" w:color="auto" w:fill="auto"/>
            <w:noWrap/>
          </w:tcPr>
          <w:p w14:paraId="3ECAF7A9" w14:textId="77777777" w:rsidR="00A25A63" w:rsidRPr="00A25A63" w:rsidRDefault="00A25A63" w:rsidP="00A25A63">
            <w:pPr>
              <w:jc w:val="right"/>
              <w:rPr>
                <w:sz w:val="18"/>
                <w:szCs w:val="18"/>
                <w:highlight w:val="cyan"/>
                <w:lang w:eastAsia="bg-BG"/>
              </w:rPr>
            </w:pPr>
            <w:r w:rsidRPr="00A25A63">
              <w:rPr>
                <w:b/>
                <w:sz w:val="18"/>
                <w:szCs w:val="18"/>
                <w:lang w:eastAsia="bg-BG"/>
              </w:rPr>
              <w:t>41 736,2</w:t>
            </w:r>
          </w:p>
        </w:tc>
        <w:tc>
          <w:tcPr>
            <w:tcW w:w="1616" w:type="dxa"/>
            <w:tcBorders>
              <w:top w:val="single" w:sz="4" w:space="0" w:color="auto"/>
              <w:left w:val="nil"/>
              <w:bottom w:val="single" w:sz="4" w:space="0" w:color="auto"/>
              <w:right w:val="nil"/>
            </w:tcBorders>
            <w:shd w:val="clear" w:color="auto" w:fill="auto"/>
            <w:noWrap/>
            <w:vAlign w:val="bottom"/>
          </w:tcPr>
          <w:p w14:paraId="0B8BD7AE" w14:textId="77777777" w:rsidR="00A25A63" w:rsidRPr="00A25A63" w:rsidRDefault="00A25A63" w:rsidP="00A25A63">
            <w:pPr>
              <w:jc w:val="right"/>
              <w:rPr>
                <w:sz w:val="18"/>
                <w:szCs w:val="18"/>
                <w:highlight w:val="cyan"/>
                <w:lang w:eastAsia="bg-BG"/>
              </w:rPr>
            </w:pPr>
            <w:r w:rsidRPr="00A25A63">
              <w:rPr>
                <w:b/>
                <w:bCs/>
                <w:sz w:val="18"/>
                <w:szCs w:val="18"/>
                <w:lang w:eastAsia="bg-BG"/>
              </w:rPr>
              <w:t>40 609,1</w:t>
            </w:r>
          </w:p>
        </w:tc>
        <w:tc>
          <w:tcPr>
            <w:tcW w:w="1304" w:type="dxa"/>
            <w:tcBorders>
              <w:top w:val="single" w:sz="4" w:space="0" w:color="auto"/>
              <w:left w:val="nil"/>
              <w:bottom w:val="single" w:sz="4" w:space="0" w:color="auto"/>
              <w:right w:val="single" w:sz="8" w:space="0" w:color="auto"/>
            </w:tcBorders>
            <w:shd w:val="clear" w:color="auto" w:fill="auto"/>
            <w:noWrap/>
            <w:vAlign w:val="bottom"/>
          </w:tcPr>
          <w:p w14:paraId="0EDDD40E" w14:textId="77777777" w:rsidR="00A25A63" w:rsidRPr="00A25A63" w:rsidRDefault="00A25A63" w:rsidP="00A25A63">
            <w:pPr>
              <w:jc w:val="right"/>
              <w:rPr>
                <w:sz w:val="18"/>
                <w:szCs w:val="18"/>
                <w:lang w:eastAsia="bg-BG"/>
              </w:rPr>
            </w:pPr>
            <w:r w:rsidRPr="00A25A63">
              <w:rPr>
                <w:b/>
                <w:bCs/>
                <w:sz w:val="18"/>
                <w:szCs w:val="18"/>
                <w:lang w:eastAsia="bg-BG"/>
              </w:rPr>
              <w:t>97,3%</w:t>
            </w:r>
          </w:p>
        </w:tc>
      </w:tr>
      <w:tr w:rsidR="00A25A63" w:rsidRPr="00A25A63" w14:paraId="69D8C686" w14:textId="77777777" w:rsidTr="00BA14F1">
        <w:trPr>
          <w:trHeight w:val="199"/>
          <w:jc w:val="center"/>
        </w:trPr>
        <w:tc>
          <w:tcPr>
            <w:tcW w:w="4854" w:type="dxa"/>
            <w:tcBorders>
              <w:top w:val="single" w:sz="4" w:space="0" w:color="auto"/>
              <w:left w:val="single" w:sz="4" w:space="0" w:color="auto"/>
              <w:bottom w:val="nil"/>
              <w:right w:val="single" w:sz="4" w:space="0" w:color="auto"/>
            </w:tcBorders>
            <w:shd w:val="clear" w:color="auto" w:fill="auto"/>
            <w:noWrap/>
            <w:vAlign w:val="bottom"/>
          </w:tcPr>
          <w:p w14:paraId="3DEA67F6" w14:textId="77777777" w:rsidR="00A25A63" w:rsidRPr="00A25A63" w:rsidRDefault="00A25A63" w:rsidP="00A25A63">
            <w:pPr>
              <w:rPr>
                <w:b/>
                <w:bCs/>
                <w:sz w:val="18"/>
                <w:szCs w:val="18"/>
                <w:lang w:eastAsia="bg-BG"/>
              </w:rPr>
            </w:pPr>
            <w:r w:rsidRPr="00A25A63">
              <w:rPr>
                <w:b/>
                <w:i/>
                <w:sz w:val="18"/>
                <w:szCs w:val="18"/>
                <w:lang w:eastAsia="bg-BG"/>
              </w:rPr>
              <w:t xml:space="preserve">   -Нелихвени разходи</w:t>
            </w:r>
          </w:p>
        </w:tc>
        <w:tc>
          <w:tcPr>
            <w:tcW w:w="1276" w:type="dxa"/>
            <w:tcBorders>
              <w:top w:val="single" w:sz="4" w:space="0" w:color="auto"/>
              <w:left w:val="nil"/>
              <w:bottom w:val="nil"/>
              <w:right w:val="nil"/>
            </w:tcBorders>
            <w:shd w:val="clear" w:color="auto" w:fill="auto"/>
            <w:noWrap/>
          </w:tcPr>
          <w:p w14:paraId="64A31F35" w14:textId="77777777" w:rsidR="00A25A63" w:rsidRPr="00A25A63" w:rsidRDefault="00A25A63" w:rsidP="00A25A63">
            <w:pPr>
              <w:jc w:val="right"/>
              <w:rPr>
                <w:b/>
                <w:sz w:val="18"/>
                <w:szCs w:val="18"/>
                <w:lang w:eastAsia="bg-BG"/>
              </w:rPr>
            </w:pPr>
            <w:r w:rsidRPr="00A25A63">
              <w:rPr>
                <w:sz w:val="18"/>
                <w:szCs w:val="18"/>
                <w:lang w:eastAsia="bg-BG"/>
              </w:rPr>
              <w:t>20 460,2</w:t>
            </w:r>
          </w:p>
        </w:tc>
        <w:tc>
          <w:tcPr>
            <w:tcW w:w="1616" w:type="dxa"/>
            <w:tcBorders>
              <w:top w:val="single" w:sz="4" w:space="0" w:color="auto"/>
              <w:left w:val="nil"/>
              <w:bottom w:val="nil"/>
              <w:right w:val="nil"/>
            </w:tcBorders>
            <w:shd w:val="clear" w:color="auto" w:fill="auto"/>
            <w:noWrap/>
            <w:vAlign w:val="bottom"/>
          </w:tcPr>
          <w:p w14:paraId="60F12219" w14:textId="77777777" w:rsidR="00A25A63" w:rsidRPr="00A25A63" w:rsidRDefault="00A25A63" w:rsidP="00A25A63">
            <w:pPr>
              <w:jc w:val="right"/>
              <w:rPr>
                <w:b/>
                <w:bCs/>
                <w:color w:val="0070C0"/>
                <w:sz w:val="18"/>
                <w:szCs w:val="18"/>
                <w:lang w:eastAsia="bg-BG"/>
              </w:rPr>
            </w:pPr>
            <w:r w:rsidRPr="00A25A63">
              <w:rPr>
                <w:sz w:val="18"/>
                <w:szCs w:val="18"/>
                <w:lang w:eastAsia="bg-BG"/>
              </w:rPr>
              <w:t>17 841,2</w:t>
            </w:r>
          </w:p>
        </w:tc>
        <w:tc>
          <w:tcPr>
            <w:tcW w:w="1304" w:type="dxa"/>
            <w:tcBorders>
              <w:top w:val="single" w:sz="4" w:space="0" w:color="auto"/>
              <w:left w:val="nil"/>
              <w:bottom w:val="nil"/>
              <w:right w:val="single" w:sz="8" w:space="0" w:color="auto"/>
            </w:tcBorders>
            <w:shd w:val="clear" w:color="auto" w:fill="auto"/>
            <w:noWrap/>
            <w:vAlign w:val="bottom"/>
          </w:tcPr>
          <w:p w14:paraId="1DB5FDDD" w14:textId="77777777" w:rsidR="00A25A63" w:rsidRPr="00A25A63" w:rsidRDefault="00A25A63" w:rsidP="00A25A63">
            <w:pPr>
              <w:jc w:val="right"/>
              <w:rPr>
                <w:b/>
                <w:bCs/>
                <w:color w:val="0070C0"/>
                <w:sz w:val="18"/>
                <w:szCs w:val="18"/>
                <w:lang w:eastAsia="bg-BG"/>
              </w:rPr>
            </w:pPr>
            <w:r w:rsidRPr="00A25A63">
              <w:rPr>
                <w:sz w:val="18"/>
                <w:szCs w:val="18"/>
                <w:lang w:eastAsia="bg-BG"/>
              </w:rPr>
              <w:t>87,2%</w:t>
            </w:r>
          </w:p>
        </w:tc>
      </w:tr>
      <w:tr w:rsidR="00A25A63" w:rsidRPr="00A25A63" w14:paraId="5E6917D7" w14:textId="77777777" w:rsidTr="00BA14F1">
        <w:trPr>
          <w:trHeight w:val="101"/>
          <w:jc w:val="center"/>
        </w:trPr>
        <w:tc>
          <w:tcPr>
            <w:tcW w:w="4854" w:type="dxa"/>
            <w:tcBorders>
              <w:top w:val="nil"/>
              <w:left w:val="single" w:sz="4" w:space="0" w:color="auto"/>
              <w:bottom w:val="nil"/>
              <w:right w:val="single" w:sz="4" w:space="0" w:color="auto"/>
            </w:tcBorders>
            <w:shd w:val="clear" w:color="auto" w:fill="auto"/>
            <w:noWrap/>
            <w:vAlign w:val="bottom"/>
          </w:tcPr>
          <w:p w14:paraId="3C44E835" w14:textId="77777777" w:rsidR="00A25A63" w:rsidRPr="00A25A63" w:rsidRDefault="00A25A63" w:rsidP="00A25A63">
            <w:pPr>
              <w:rPr>
                <w:b/>
                <w:i/>
                <w:sz w:val="18"/>
                <w:szCs w:val="18"/>
                <w:lang w:eastAsia="bg-BG"/>
              </w:rPr>
            </w:pPr>
            <w:r w:rsidRPr="00A25A63">
              <w:rPr>
                <w:sz w:val="18"/>
                <w:szCs w:val="18"/>
                <w:lang w:eastAsia="bg-BG"/>
              </w:rPr>
              <w:t xml:space="preserve">      Текущи </w:t>
            </w:r>
          </w:p>
        </w:tc>
        <w:tc>
          <w:tcPr>
            <w:tcW w:w="1276" w:type="dxa"/>
            <w:tcBorders>
              <w:top w:val="nil"/>
              <w:left w:val="nil"/>
              <w:bottom w:val="nil"/>
              <w:right w:val="nil"/>
            </w:tcBorders>
            <w:shd w:val="clear" w:color="auto" w:fill="auto"/>
            <w:noWrap/>
          </w:tcPr>
          <w:p w14:paraId="3A8D17D0" w14:textId="77777777" w:rsidR="00A25A63" w:rsidRPr="00A25A63" w:rsidRDefault="00A25A63" w:rsidP="00A25A63">
            <w:pPr>
              <w:jc w:val="right"/>
              <w:rPr>
                <w:sz w:val="18"/>
                <w:szCs w:val="18"/>
                <w:lang w:eastAsia="bg-BG"/>
              </w:rPr>
            </w:pPr>
            <w:r w:rsidRPr="00A25A63">
              <w:rPr>
                <w:sz w:val="18"/>
                <w:szCs w:val="18"/>
                <w:lang w:eastAsia="bg-BG"/>
              </w:rPr>
              <w:t>17 265,1</w:t>
            </w:r>
          </w:p>
        </w:tc>
        <w:tc>
          <w:tcPr>
            <w:tcW w:w="1616" w:type="dxa"/>
            <w:tcBorders>
              <w:top w:val="nil"/>
              <w:left w:val="nil"/>
              <w:bottom w:val="nil"/>
              <w:right w:val="nil"/>
            </w:tcBorders>
            <w:shd w:val="clear" w:color="auto" w:fill="auto"/>
            <w:noWrap/>
            <w:vAlign w:val="bottom"/>
          </w:tcPr>
          <w:p w14:paraId="51D7693E" w14:textId="77777777" w:rsidR="00A25A63" w:rsidRPr="00A25A63" w:rsidRDefault="00A25A63" w:rsidP="00A25A63">
            <w:pPr>
              <w:jc w:val="right"/>
              <w:rPr>
                <w:color w:val="0070C0"/>
                <w:sz w:val="18"/>
                <w:szCs w:val="18"/>
                <w:lang w:eastAsia="bg-BG"/>
              </w:rPr>
            </w:pPr>
            <w:r w:rsidRPr="00A25A63">
              <w:rPr>
                <w:sz w:val="18"/>
                <w:szCs w:val="18"/>
                <w:lang w:eastAsia="bg-BG"/>
              </w:rPr>
              <w:t>15 395,3</w:t>
            </w:r>
          </w:p>
        </w:tc>
        <w:tc>
          <w:tcPr>
            <w:tcW w:w="1304" w:type="dxa"/>
            <w:tcBorders>
              <w:top w:val="nil"/>
              <w:left w:val="nil"/>
              <w:bottom w:val="nil"/>
              <w:right w:val="single" w:sz="8" w:space="0" w:color="auto"/>
            </w:tcBorders>
            <w:shd w:val="clear" w:color="auto" w:fill="auto"/>
            <w:noWrap/>
            <w:vAlign w:val="bottom"/>
          </w:tcPr>
          <w:p w14:paraId="4FED51D4" w14:textId="77777777" w:rsidR="00A25A63" w:rsidRPr="00A25A63" w:rsidRDefault="00A25A63" w:rsidP="00A25A63">
            <w:pPr>
              <w:jc w:val="right"/>
              <w:rPr>
                <w:color w:val="0070C0"/>
                <w:sz w:val="18"/>
                <w:szCs w:val="18"/>
                <w:lang w:eastAsia="bg-BG"/>
              </w:rPr>
            </w:pPr>
            <w:r w:rsidRPr="00A25A63">
              <w:rPr>
                <w:sz w:val="18"/>
                <w:szCs w:val="18"/>
                <w:lang w:eastAsia="bg-BG"/>
              </w:rPr>
              <w:t>89,2%</w:t>
            </w:r>
          </w:p>
        </w:tc>
      </w:tr>
      <w:tr w:rsidR="00A25A63" w:rsidRPr="00A25A63" w14:paraId="54CDCFF7" w14:textId="77777777" w:rsidTr="00BA14F1">
        <w:trPr>
          <w:trHeight w:val="80"/>
          <w:jc w:val="center"/>
        </w:trPr>
        <w:tc>
          <w:tcPr>
            <w:tcW w:w="4854" w:type="dxa"/>
            <w:tcBorders>
              <w:top w:val="nil"/>
              <w:left w:val="single" w:sz="4" w:space="0" w:color="auto"/>
              <w:bottom w:val="nil"/>
              <w:right w:val="single" w:sz="4" w:space="0" w:color="auto"/>
            </w:tcBorders>
            <w:shd w:val="clear" w:color="auto" w:fill="auto"/>
            <w:noWrap/>
            <w:vAlign w:val="bottom"/>
          </w:tcPr>
          <w:p w14:paraId="00C48D8B" w14:textId="77777777" w:rsidR="00A25A63" w:rsidRPr="00A25A63" w:rsidRDefault="00A25A63" w:rsidP="00A25A63">
            <w:pPr>
              <w:rPr>
                <w:sz w:val="18"/>
                <w:szCs w:val="18"/>
                <w:lang w:eastAsia="bg-BG"/>
              </w:rPr>
            </w:pPr>
            <w:r w:rsidRPr="00A25A63">
              <w:rPr>
                <w:sz w:val="18"/>
                <w:szCs w:val="18"/>
                <w:lang w:eastAsia="bg-BG"/>
              </w:rPr>
              <w:t xml:space="preserve">      Предоставени </w:t>
            </w:r>
            <w:proofErr w:type="spellStart"/>
            <w:r w:rsidRPr="00A25A63">
              <w:rPr>
                <w:sz w:val="18"/>
                <w:szCs w:val="18"/>
                <w:lang w:eastAsia="bg-BG"/>
              </w:rPr>
              <w:t>тек</w:t>
            </w:r>
            <w:proofErr w:type="spellEnd"/>
            <w:r w:rsidRPr="00A25A63">
              <w:rPr>
                <w:sz w:val="18"/>
                <w:szCs w:val="18"/>
                <w:lang w:eastAsia="bg-BG"/>
              </w:rPr>
              <w:t xml:space="preserve">. и </w:t>
            </w:r>
            <w:proofErr w:type="spellStart"/>
            <w:r w:rsidRPr="00A25A63">
              <w:rPr>
                <w:sz w:val="18"/>
                <w:szCs w:val="18"/>
                <w:lang w:eastAsia="bg-BG"/>
              </w:rPr>
              <w:t>капит</w:t>
            </w:r>
            <w:proofErr w:type="spellEnd"/>
            <w:r w:rsidRPr="00A25A63">
              <w:rPr>
                <w:sz w:val="18"/>
                <w:szCs w:val="18"/>
                <w:lang w:eastAsia="bg-BG"/>
              </w:rPr>
              <w:t>. трансфери за чужбина</w:t>
            </w:r>
          </w:p>
        </w:tc>
        <w:tc>
          <w:tcPr>
            <w:tcW w:w="1276" w:type="dxa"/>
            <w:tcBorders>
              <w:top w:val="nil"/>
              <w:left w:val="nil"/>
              <w:bottom w:val="nil"/>
              <w:right w:val="nil"/>
            </w:tcBorders>
            <w:shd w:val="clear" w:color="auto" w:fill="auto"/>
            <w:noWrap/>
          </w:tcPr>
          <w:p w14:paraId="0F76B955" w14:textId="77777777" w:rsidR="00A25A63" w:rsidRPr="00A25A63" w:rsidRDefault="00A25A63" w:rsidP="00A25A63">
            <w:pPr>
              <w:jc w:val="right"/>
              <w:rPr>
                <w:sz w:val="18"/>
                <w:szCs w:val="18"/>
                <w:lang w:eastAsia="bg-BG"/>
              </w:rPr>
            </w:pPr>
            <w:r w:rsidRPr="00A25A63">
              <w:rPr>
                <w:sz w:val="18"/>
                <w:szCs w:val="18"/>
                <w:lang w:eastAsia="bg-BG"/>
              </w:rPr>
              <w:t>19,1</w:t>
            </w:r>
          </w:p>
        </w:tc>
        <w:tc>
          <w:tcPr>
            <w:tcW w:w="1616" w:type="dxa"/>
            <w:tcBorders>
              <w:top w:val="nil"/>
              <w:left w:val="nil"/>
              <w:bottom w:val="nil"/>
              <w:right w:val="nil"/>
            </w:tcBorders>
            <w:shd w:val="clear" w:color="auto" w:fill="auto"/>
            <w:noWrap/>
            <w:vAlign w:val="bottom"/>
          </w:tcPr>
          <w:p w14:paraId="58B0AF52" w14:textId="77777777" w:rsidR="00A25A63" w:rsidRPr="00A25A63" w:rsidRDefault="00A25A63" w:rsidP="00A25A63">
            <w:pPr>
              <w:jc w:val="right"/>
              <w:rPr>
                <w:color w:val="0070C0"/>
                <w:sz w:val="18"/>
                <w:szCs w:val="18"/>
                <w:lang w:eastAsia="bg-BG"/>
              </w:rPr>
            </w:pPr>
            <w:r w:rsidRPr="00A25A63">
              <w:rPr>
                <w:sz w:val="18"/>
                <w:szCs w:val="18"/>
                <w:lang w:eastAsia="bg-BG"/>
              </w:rPr>
              <w:t>23,8</w:t>
            </w:r>
          </w:p>
        </w:tc>
        <w:tc>
          <w:tcPr>
            <w:tcW w:w="1304" w:type="dxa"/>
            <w:tcBorders>
              <w:top w:val="nil"/>
              <w:left w:val="nil"/>
              <w:bottom w:val="nil"/>
              <w:right w:val="single" w:sz="8" w:space="0" w:color="auto"/>
            </w:tcBorders>
            <w:shd w:val="clear" w:color="auto" w:fill="auto"/>
            <w:noWrap/>
            <w:vAlign w:val="bottom"/>
          </w:tcPr>
          <w:p w14:paraId="0D42C009" w14:textId="77777777" w:rsidR="00A25A63" w:rsidRPr="00A25A63" w:rsidRDefault="00A25A63" w:rsidP="00A25A63">
            <w:pPr>
              <w:jc w:val="right"/>
              <w:rPr>
                <w:color w:val="0070C0"/>
                <w:sz w:val="18"/>
                <w:szCs w:val="18"/>
                <w:lang w:eastAsia="bg-BG"/>
              </w:rPr>
            </w:pPr>
            <w:r w:rsidRPr="00A25A63">
              <w:rPr>
                <w:sz w:val="18"/>
                <w:szCs w:val="18"/>
                <w:lang w:eastAsia="bg-BG"/>
              </w:rPr>
              <w:t>124,8%</w:t>
            </w:r>
          </w:p>
        </w:tc>
      </w:tr>
      <w:tr w:rsidR="00A25A63" w:rsidRPr="00A25A63" w14:paraId="543E02CE" w14:textId="77777777" w:rsidTr="00BA14F1">
        <w:trPr>
          <w:trHeight w:val="80"/>
          <w:jc w:val="center"/>
        </w:trPr>
        <w:tc>
          <w:tcPr>
            <w:tcW w:w="4854" w:type="dxa"/>
            <w:tcBorders>
              <w:top w:val="nil"/>
              <w:left w:val="single" w:sz="4" w:space="0" w:color="auto"/>
              <w:bottom w:val="nil"/>
              <w:right w:val="single" w:sz="4" w:space="0" w:color="auto"/>
            </w:tcBorders>
            <w:shd w:val="clear" w:color="auto" w:fill="auto"/>
            <w:noWrap/>
            <w:vAlign w:val="bottom"/>
          </w:tcPr>
          <w:p w14:paraId="76B0277F" w14:textId="77777777" w:rsidR="00A25A63" w:rsidRPr="00A25A63" w:rsidRDefault="00A25A63" w:rsidP="00A25A63">
            <w:pPr>
              <w:rPr>
                <w:sz w:val="18"/>
                <w:szCs w:val="18"/>
                <w:lang w:eastAsia="bg-BG"/>
              </w:rPr>
            </w:pPr>
            <w:r w:rsidRPr="00A25A63">
              <w:rPr>
                <w:sz w:val="18"/>
                <w:szCs w:val="18"/>
                <w:lang w:eastAsia="bg-BG"/>
              </w:rPr>
              <w:t xml:space="preserve">      Капиталови</w:t>
            </w:r>
          </w:p>
        </w:tc>
        <w:tc>
          <w:tcPr>
            <w:tcW w:w="1276" w:type="dxa"/>
            <w:tcBorders>
              <w:top w:val="nil"/>
              <w:left w:val="nil"/>
              <w:bottom w:val="nil"/>
              <w:right w:val="nil"/>
            </w:tcBorders>
            <w:shd w:val="clear" w:color="auto" w:fill="auto"/>
            <w:noWrap/>
          </w:tcPr>
          <w:p w14:paraId="5EE81B23" w14:textId="77777777" w:rsidR="00A25A63" w:rsidRPr="00A25A63" w:rsidRDefault="00A25A63" w:rsidP="00A25A63">
            <w:pPr>
              <w:jc w:val="right"/>
              <w:rPr>
                <w:sz w:val="18"/>
                <w:szCs w:val="18"/>
                <w:lang w:eastAsia="bg-BG"/>
              </w:rPr>
            </w:pPr>
            <w:r w:rsidRPr="00A25A63">
              <w:rPr>
                <w:sz w:val="18"/>
                <w:szCs w:val="18"/>
                <w:lang w:eastAsia="bg-BG"/>
              </w:rPr>
              <w:t>3 176,1</w:t>
            </w:r>
          </w:p>
        </w:tc>
        <w:tc>
          <w:tcPr>
            <w:tcW w:w="1616" w:type="dxa"/>
            <w:tcBorders>
              <w:top w:val="nil"/>
              <w:left w:val="nil"/>
              <w:bottom w:val="nil"/>
              <w:right w:val="nil"/>
            </w:tcBorders>
            <w:shd w:val="clear" w:color="auto" w:fill="auto"/>
            <w:noWrap/>
            <w:vAlign w:val="bottom"/>
          </w:tcPr>
          <w:p w14:paraId="0965EC0E" w14:textId="77777777" w:rsidR="00A25A63" w:rsidRPr="00A25A63" w:rsidRDefault="00A25A63" w:rsidP="00A25A63">
            <w:pPr>
              <w:jc w:val="right"/>
              <w:rPr>
                <w:color w:val="0070C0"/>
                <w:sz w:val="18"/>
                <w:szCs w:val="18"/>
                <w:lang w:eastAsia="bg-BG"/>
              </w:rPr>
            </w:pPr>
            <w:r w:rsidRPr="00A25A63">
              <w:rPr>
                <w:sz w:val="18"/>
                <w:szCs w:val="18"/>
                <w:lang w:eastAsia="bg-BG"/>
              </w:rPr>
              <w:t>2 422,1</w:t>
            </w:r>
          </w:p>
        </w:tc>
        <w:tc>
          <w:tcPr>
            <w:tcW w:w="1304" w:type="dxa"/>
            <w:tcBorders>
              <w:top w:val="nil"/>
              <w:left w:val="nil"/>
              <w:bottom w:val="nil"/>
              <w:right w:val="single" w:sz="8" w:space="0" w:color="auto"/>
            </w:tcBorders>
            <w:shd w:val="clear" w:color="auto" w:fill="auto"/>
            <w:noWrap/>
            <w:vAlign w:val="bottom"/>
          </w:tcPr>
          <w:p w14:paraId="261D7C80" w14:textId="77777777" w:rsidR="00A25A63" w:rsidRPr="00A25A63" w:rsidRDefault="00A25A63" w:rsidP="00A25A63">
            <w:pPr>
              <w:jc w:val="right"/>
              <w:rPr>
                <w:color w:val="0070C0"/>
                <w:sz w:val="18"/>
                <w:szCs w:val="18"/>
                <w:lang w:eastAsia="bg-BG"/>
              </w:rPr>
            </w:pPr>
            <w:r w:rsidRPr="00A25A63">
              <w:rPr>
                <w:sz w:val="18"/>
                <w:szCs w:val="18"/>
                <w:lang w:eastAsia="bg-BG"/>
              </w:rPr>
              <w:t>76,3%</w:t>
            </w:r>
          </w:p>
        </w:tc>
      </w:tr>
      <w:tr w:rsidR="00A25A63" w:rsidRPr="00A25A63" w14:paraId="2E6D8571" w14:textId="77777777" w:rsidTr="00BA14F1">
        <w:trPr>
          <w:trHeight w:val="179"/>
          <w:jc w:val="center"/>
        </w:trPr>
        <w:tc>
          <w:tcPr>
            <w:tcW w:w="4854" w:type="dxa"/>
            <w:tcBorders>
              <w:top w:val="nil"/>
              <w:left w:val="single" w:sz="4" w:space="0" w:color="auto"/>
              <w:bottom w:val="nil"/>
              <w:right w:val="single" w:sz="4" w:space="0" w:color="auto"/>
            </w:tcBorders>
            <w:shd w:val="clear" w:color="auto" w:fill="auto"/>
            <w:noWrap/>
            <w:vAlign w:val="bottom"/>
          </w:tcPr>
          <w:p w14:paraId="69FE7D8A" w14:textId="77777777" w:rsidR="00A25A63" w:rsidRPr="00A25A63" w:rsidRDefault="00A25A63" w:rsidP="00A25A63">
            <w:pPr>
              <w:rPr>
                <w:sz w:val="18"/>
                <w:szCs w:val="18"/>
                <w:lang w:eastAsia="bg-BG"/>
              </w:rPr>
            </w:pPr>
            <w:r w:rsidRPr="00A25A63">
              <w:rPr>
                <w:b/>
                <w:i/>
                <w:sz w:val="18"/>
                <w:szCs w:val="18"/>
                <w:lang w:eastAsia="bg-BG"/>
              </w:rPr>
              <w:t xml:space="preserve">   -Лихви</w:t>
            </w:r>
          </w:p>
        </w:tc>
        <w:tc>
          <w:tcPr>
            <w:tcW w:w="1276" w:type="dxa"/>
            <w:tcBorders>
              <w:top w:val="nil"/>
              <w:left w:val="nil"/>
              <w:bottom w:val="nil"/>
              <w:right w:val="nil"/>
            </w:tcBorders>
            <w:shd w:val="clear" w:color="auto" w:fill="auto"/>
            <w:noWrap/>
          </w:tcPr>
          <w:p w14:paraId="6322F5C4" w14:textId="77777777" w:rsidR="00A25A63" w:rsidRPr="00A25A63" w:rsidRDefault="00A25A63" w:rsidP="00A25A63">
            <w:pPr>
              <w:jc w:val="right"/>
              <w:rPr>
                <w:sz w:val="18"/>
                <w:szCs w:val="18"/>
                <w:lang w:eastAsia="bg-BG"/>
              </w:rPr>
            </w:pPr>
            <w:r w:rsidRPr="00A25A63">
              <w:rPr>
                <w:sz w:val="18"/>
                <w:szCs w:val="18"/>
                <w:lang w:eastAsia="bg-BG"/>
              </w:rPr>
              <w:t>629,8</w:t>
            </w:r>
          </w:p>
        </w:tc>
        <w:tc>
          <w:tcPr>
            <w:tcW w:w="1616" w:type="dxa"/>
            <w:tcBorders>
              <w:top w:val="nil"/>
              <w:left w:val="nil"/>
              <w:bottom w:val="nil"/>
            </w:tcBorders>
            <w:shd w:val="clear" w:color="auto" w:fill="auto"/>
            <w:noWrap/>
            <w:vAlign w:val="bottom"/>
          </w:tcPr>
          <w:p w14:paraId="4F3B49DA" w14:textId="77777777" w:rsidR="00A25A63" w:rsidRPr="00A25A63" w:rsidRDefault="00A25A63" w:rsidP="00A25A63">
            <w:pPr>
              <w:jc w:val="right"/>
              <w:rPr>
                <w:color w:val="0070C0"/>
                <w:sz w:val="18"/>
                <w:szCs w:val="18"/>
                <w:lang w:eastAsia="bg-BG"/>
              </w:rPr>
            </w:pPr>
            <w:r w:rsidRPr="00A25A63">
              <w:rPr>
                <w:sz w:val="18"/>
                <w:szCs w:val="18"/>
                <w:lang w:eastAsia="bg-BG"/>
              </w:rPr>
              <w:t>611,6</w:t>
            </w:r>
          </w:p>
        </w:tc>
        <w:tc>
          <w:tcPr>
            <w:tcW w:w="1304" w:type="dxa"/>
            <w:tcBorders>
              <w:right w:val="single" w:sz="4" w:space="0" w:color="auto"/>
            </w:tcBorders>
            <w:shd w:val="clear" w:color="auto" w:fill="auto"/>
            <w:noWrap/>
            <w:vAlign w:val="bottom"/>
          </w:tcPr>
          <w:p w14:paraId="308D0E62" w14:textId="77777777" w:rsidR="00A25A63" w:rsidRPr="00A25A63" w:rsidRDefault="00A25A63" w:rsidP="00A25A63">
            <w:pPr>
              <w:jc w:val="right"/>
              <w:rPr>
                <w:color w:val="0070C0"/>
                <w:sz w:val="18"/>
                <w:szCs w:val="18"/>
                <w:lang w:eastAsia="bg-BG"/>
              </w:rPr>
            </w:pPr>
            <w:r w:rsidRPr="00A25A63">
              <w:rPr>
                <w:sz w:val="18"/>
                <w:szCs w:val="18"/>
                <w:lang w:eastAsia="bg-BG"/>
              </w:rPr>
              <w:t>97,1%</w:t>
            </w:r>
          </w:p>
        </w:tc>
      </w:tr>
      <w:tr w:rsidR="00A25A63" w:rsidRPr="00A25A63" w14:paraId="4720DC15" w14:textId="77777777" w:rsidTr="00BA14F1">
        <w:trPr>
          <w:trHeight w:val="179"/>
          <w:jc w:val="center"/>
        </w:trPr>
        <w:tc>
          <w:tcPr>
            <w:tcW w:w="4854" w:type="dxa"/>
            <w:tcBorders>
              <w:top w:val="nil"/>
              <w:left w:val="single" w:sz="4" w:space="0" w:color="auto"/>
              <w:bottom w:val="nil"/>
              <w:right w:val="single" w:sz="4" w:space="0" w:color="auto"/>
            </w:tcBorders>
            <w:shd w:val="clear" w:color="auto" w:fill="auto"/>
            <w:noWrap/>
            <w:vAlign w:val="bottom"/>
          </w:tcPr>
          <w:p w14:paraId="3AA51099" w14:textId="77777777" w:rsidR="00A25A63" w:rsidRPr="00A25A63" w:rsidRDefault="00A25A63" w:rsidP="00A25A63">
            <w:pPr>
              <w:rPr>
                <w:sz w:val="18"/>
                <w:szCs w:val="18"/>
                <w:highlight w:val="cyan"/>
                <w:lang w:eastAsia="bg-BG"/>
              </w:rPr>
            </w:pPr>
            <w:r w:rsidRPr="00A25A63">
              <w:rPr>
                <w:sz w:val="18"/>
                <w:szCs w:val="18"/>
                <w:lang w:eastAsia="bg-BG"/>
              </w:rPr>
              <w:t xml:space="preserve">      По външни заеми</w:t>
            </w:r>
          </w:p>
        </w:tc>
        <w:tc>
          <w:tcPr>
            <w:tcW w:w="1276" w:type="dxa"/>
            <w:tcBorders>
              <w:top w:val="nil"/>
              <w:left w:val="nil"/>
              <w:bottom w:val="nil"/>
              <w:right w:val="nil"/>
            </w:tcBorders>
            <w:shd w:val="clear" w:color="auto" w:fill="auto"/>
            <w:noWrap/>
          </w:tcPr>
          <w:p w14:paraId="697AA189" w14:textId="77777777" w:rsidR="00A25A63" w:rsidRPr="00A25A63" w:rsidRDefault="00A25A63" w:rsidP="00A25A63">
            <w:pPr>
              <w:jc w:val="right"/>
              <w:rPr>
                <w:sz w:val="18"/>
                <w:szCs w:val="18"/>
                <w:highlight w:val="cyan"/>
                <w:lang w:eastAsia="bg-BG"/>
              </w:rPr>
            </w:pPr>
            <w:r w:rsidRPr="00A25A63">
              <w:rPr>
                <w:sz w:val="18"/>
                <w:szCs w:val="18"/>
                <w:lang w:eastAsia="bg-BG"/>
              </w:rPr>
              <w:t>487,0</w:t>
            </w:r>
          </w:p>
        </w:tc>
        <w:tc>
          <w:tcPr>
            <w:tcW w:w="1616" w:type="dxa"/>
            <w:tcBorders>
              <w:top w:val="nil"/>
              <w:left w:val="nil"/>
              <w:bottom w:val="nil"/>
            </w:tcBorders>
            <w:shd w:val="clear" w:color="auto" w:fill="auto"/>
            <w:noWrap/>
            <w:vAlign w:val="bottom"/>
          </w:tcPr>
          <w:p w14:paraId="2093EA73" w14:textId="77777777" w:rsidR="00A25A63" w:rsidRPr="00A25A63" w:rsidRDefault="00A25A63" w:rsidP="00A25A63">
            <w:pPr>
              <w:jc w:val="right"/>
              <w:rPr>
                <w:sz w:val="18"/>
                <w:szCs w:val="18"/>
                <w:highlight w:val="cyan"/>
                <w:lang w:eastAsia="bg-BG"/>
              </w:rPr>
            </w:pPr>
            <w:r w:rsidRPr="00A25A63">
              <w:rPr>
                <w:sz w:val="18"/>
                <w:szCs w:val="18"/>
                <w:lang w:eastAsia="bg-BG"/>
              </w:rPr>
              <w:t>485,0</w:t>
            </w:r>
          </w:p>
        </w:tc>
        <w:tc>
          <w:tcPr>
            <w:tcW w:w="1304" w:type="dxa"/>
            <w:tcBorders>
              <w:right w:val="single" w:sz="4" w:space="0" w:color="auto"/>
            </w:tcBorders>
            <w:shd w:val="clear" w:color="auto" w:fill="auto"/>
            <w:noWrap/>
            <w:vAlign w:val="bottom"/>
          </w:tcPr>
          <w:p w14:paraId="659603E9" w14:textId="77777777" w:rsidR="00A25A63" w:rsidRPr="00A25A63" w:rsidRDefault="00A25A63" w:rsidP="00A25A63">
            <w:pPr>
              <w:jc w:val="right"/>
              <w:rPr>
                <w:sz w:val="18"/>
                <w:szCs w:val="18"/>
                <w:highlight w:val="yellow"/>
                <w:lang w:eastAsia="bg-BG"/>
              </w:rPr>
            </w:pPr>
            <w:r w:rsidRPr="00A25A63">
              <w:rPr>
                <w:sz w:val="18"/>
                <w:szCs w:val="18"/>
                <w:lang w:eastAsia="bg-BG"/>
              </w:rPr>
              <w:t>99,6%</w:t>
            </w:r>
          </w:p>
        </w:tc>
      </w:tr>
      <w:tr w:rsidR="00A25A63" w:rsidRPr="00A25A63" w14:paraId="45704E0E" w14:textId="77777777" w:rsidTr="00BA14F1">
        <w:trPr>
          <w:trHeight w:val="80"/>
          <w:jc w:val="center"/>
        </w:trPr>
        <w:tc>
          <w:tcPr>
            <w:tcW w:w="4854" w:type="dxa"/>
            <w:tcBorders>
              <w:top w:val="nil"/>
              <w:left w:val="single" w:sz="4" w:space="0" w:color="auto"/>
              <w:bottom w:val="nil"/>
              <w:right w:val="single" w:sz="4" w:space="0" w:color="auto"/>
            </w:tcBorders>
            <w:shd w:val="clear" w:color="auto" w:fill="auto"/>
            <w:noWrap/>
            <w:vAlign w:val="bottom"/>
          </w:tcPr>
          <w:p w14:paraId="52A7F4AF" w14:textId="77777777" w:rsidR="00A25A63" w:rsidRPr="00A25A63" w:rsidRDefault="00A25A63" w:rsidP="00A25A63">
            <w:pPr>
              <w:rPr>
                <w:b/>
                <w:i/>
                <w:sz w:val="18"/>
                <w:szCs w:val="18"/>
                <w:lang w:eastAsia="bg-BG"/>
              </w:rPr>
            </w:pPr>
            <w:r w:rsidRPr="00A25A63">
              <w:rPr>
                <w:sz w:val="18"/>
                <w:szCs w:val="18"/>
                <w:lang w:eastAsia="bg-BG"/>
              </w:rPr>
              <w:t xml:space="preserve">      По вътрешни заеми</w:t>
            </w:r>
          </w:p>
        </w:tc>
        <w:tc>
          <w:tcPr>
            <w:tcW w:w="1276" w:type="dxa"/>
            <w:tcBorders>
              <w:top w:val="nil"/>
              <w:left w:val="nil"/>
              <w:bottom w:val="nil"/>
              <w:right w:val="nil"/>
            </w:tcBorders>
            <w:shd w:val="clear" w:color="auto" w:fill="auto"/>
            <w:noWrap/>
          </w:tcPr>
          <w:p w14:paraId="1062BC5D" w14:textId="77777777" w:rsidR="00A25A63" w:rsidRPr="00A25A63" w:rsidRDefault="00A25A63" w:rsidP="00A25A63">
            <w:pPr>
              <w:jc w:val="right"/>
              <w:rPr>
                <w:sz w:val="18"/>
                <w:szCs w:val="18"/>
                <w:lang w:eastAsia="bg-BG"/>
              </w:rPr>
            </w:pPr>
            <w:r w:rsidRPr="00A25A63">
              <w:rPr>
                <w:sz w:val="18"/>
                <w:szCs w:val="18"/>
                <w:lang w:eastAsia="bg-BG"/>
              </w:rPr>
              <w:t>142,8</w:t>
            </w:r>
          </w:p>
        </w:tc>
        <w:tc>
          <w:tcPr>
            <w:tcW w:w="1616" w:type="dxa"/>
            <w:tcBorders>
              <w:top w:val="nil"/>
              <w:left w:val="nil"/>
              <w:bottom w:val="nil"/>
            </w:tcBorders>
            <w:shd w:val="clear" w:color="auto" w:fill="auto"/>
            <w:noWrap/>
            <w:vAlign w:val="bottom"/>
          </w:tcPr>
          <w:p w14:paraId="36E0E6A5" w14:textId="77777777" w:rsidR="00A25A63" w:rsidRPr="00A25A63" w:rsidRDefault="00A25A63" w:rsidP="00A25A63">
            <w:pPr>
              <w:jc w:val="right"/>
              <w:rPr>
                <w:color w:val="0070C0"/>
                <w:sz w:val="18"/>
                <w:szCs w:val="18"/>
                <w:lang w:eastAsia="bg-BG"/>
              </w:rPr>
            </w:pPr>
            <w:r w:rsidRPr="00A25A63">
              <w:rPr>
                <w:sz w:val="18"/>
                <w:szCs w:val="18"/>
                <w:lang w:eastAsia="bg-BG"/>
              </w:rPr>
              <w:t>126,7</w:t>
            </w:r>
          </w:p>
        </w:tc>
        <w:tc>
          <w:tcPr>
            <w:tcW w:w="1304" w:type="dxa"/>
            <w:tcBorders>
              <w:right w:val="single" w:sz="4" w:space="0" w:color="auto"/>
            </w:tcBorders>
            <w:shd w:val="clear" w:color="auto" w:fill="auto"/>
            <w:noWrap/>
            <w:vAlign w:val="bottom"/>
          </w:tcPr>
          <w:p w14:paraId="6CFD1DE2" w14:textId="77777777" w:rsidR="00A25A63" w:rsidRPr="00A25A63" w:rsidRDefault="00A25A63" w:rsidP="00A25A63">
            <w:pPr>
              <w:jc w:val="right"/>
              <w:rPr>
                <w:color w:val="0070C0"/>
                <w:sz w:val="18"/>
                <w:szCs w:val="18"/>
                <w:lang w:eastAsia="bg-BG"/>
              </w:rPr>
            </w:pPr>
            <w:r w:rsidRPr="00A25A63">
              <w:rPr>
                <w:sz w:val="18"/>
                <w:szCs w:val="18"/>
                <w:lang w:eastAsia="bg-BG"/>
              </w:rPr>
              <w:t>88,7%</w:t>
            </w:r>
          </w:p>
        </w:tc>
      </w:tr>
      <w:tr w:rsidR="00A25A63" w:rsidRPr="00A25A63" w14:paraId="77A847B1" w14:textId="77777777" w:rsidTr="00BA14F1">
        <w:trPr>
          <w:trHeight w:val="80"/>
          <w:jc w:val="center"/>
        </w:trPr>
        <w:tc>
          <w:tcPr>
            <w:tcW w:w="4854" w:type="dxa"/>
            <w:tcBorders>
              <w:top w:val="nil"/>
              <w:left w:val="single" w:sz="4" w:space="0" w:color="auto"/>
              <w:bottom w:val="nil"/>
              <w:right w:val="single" w:sz="4" w:space="0" w:color="auto"/>
            </w:tcBorders>
            <w:shd w:val="clear" w:color="auto" w:fill="auto"/>
            <w:noWrap/>
            <w:vAlign w:val="bottom"/>
          </w:tcPr>
          <w:p w14:paraId="006F38BF" w14:textId="77777777" w:rsidR="00A25A63" w:rsidRPr="00A25A63" w:rsidRDefault="00A25A63" w:rsidP="00A25A63">
            <w:pPr>
              <w:rPr>
                <w:sz w:val="18"/>
                <w:szCs w:val="18"/>
                <w:lang w:eastAsia="bg-BG"/>
              </w:rPr>
            </w:pPr>
            <w:r w:rsidRPr="00A25A63">
              <w:rPr>
                <w:b/>
                <w:i/>
                <w:sz w:val="18"/>
                <w:szCs w:val="18"/>
                <w:lang w:eastAsia="bg-BG"/>
              </w:rPr>
              <w:t xml:space="preserve"> - Резерв за непредвидени и неотложни разходи</w:t>
            </w:r>
            <w:r w:rsidRPr="00A25A63">
              <w:rPr>
                <w:vertAlign w:val="superscript"/>
                <w:lang w:eastAsia="bg-BG"/>
              </w:rPr>
              <w:footnoteReference w:id="11"/>
            </w:r>
            <w:r w:rsidRPr="00A25A63">
              <w:rPr>
                <w:b/>
                <w:i/>
                <w:sz w:val="18"/>
                <w:szCs w:val="18"/>
                <w:lang w:eastAsia="bg-BG"/>
              </w:rPr>
              <w:tab/>
            </w:r>
          </w:p>
        </w:tc>
        <w:tc>
          <w:tcPr>
            <w:tcW w:w="1276" w:type="dxa"/>
            <w:tcBorders>
              <w:top w:val="nil"/>
              <w:left w:val="nil"/>
              <w:bottom w:val="nil"/>
              <w:right w:val="nil"/>
            </w:tcBorders>
            <w:shd w:val="clear" w:color="auto" w:fill="auto"/>
            <w:noWrap/>
          </w:tcPr>
          <w:p w14:paraId="45E099B4" w14:textId="77777777" w:rsidR="00A25A63" w:rsidRPr="00A25A63" w:rsidRDefault="00A25A63" w:rsidP="00A25A63">
            <w:pPr>
              <w:jc w:val="right"/>
              <w:rPr>
                <w:sz w:val="18"/>
                <w:szCs w:val="18"/>
                <w:lang w:eastAsia="bg-BG"/>
              </w:rPr>
            </w:pPr>
            <w:r w:rsidRPr="00A25A63">
              <w:rPr>
                <w:sz w:val="18"/>
                <w:szCs w:val="18"/>
                <w:lang w:eastAsia="bg-BG"/>
              </w:rPr>
              <w:t>81,4</w:t>
            </w:r>
          </w:p>
        </w:tc>
        <w:tc>
          <w:tcPr>
            <w:tcW w:w="1616" w:type="dxa"/>
            <w:tcBorders>
              <w:top w:val="nil"/>
              <w:left w:val="nil"/>
              <w:bottom w:val="nil"/>
            </w:tcBorders>
            <w:shd w:val="clear" w:color="auto" w:fill="auto"/>
            <w:noWrap/>
            <w:vAlign w:val="bottom"/>
          </w:tcPr>
          <w:p w14:paraId="54756F93" w14:textId="77777777" w:rsidR="00A25A63" w:rsidRPr="00A25A63" w:rsidRDefault="00A25A63" w:rsidP="00A25A63">
            <w:pPr>
              <w:jc w:val="right"/>
              <w:rPr>
                <w:color w:val="0070C0"/>
                <w:sz w:val="18"/>
                <w:szCs w:val="18"/>
                <w:lang w:eastAsia="bg-BG"/>
              </w:rPr>
            </w:pPr>
          </w:p>
        </w:tc>
        <w:tc>
          <w:tcPr>
            <w:tcW w:w="1304" w:type="dxa"/>
            <w:tcBorders>
              <w:right w:val="single" w:sz="4" w:space="0" w:color="auto"/>
            </w:tcBorders>
            <w:shd w:val="clear" w:color="auto" w:fill="auto"/>
            <w:noWrap/>
            <w:vAlign w:val="bottom"/>
          </w:tcPr>
          <w:p w14:paraId="38462FE5" w14:textId="77777777" w:rsidR="00A25A63" w:rsidRPr="00A25A63" w:rsidRDefault="00A25A63" w:rsidP="00A25A63">
            <w:pPr>
              <w:jc w:val="right"/>
              <w:rPr>
                <w:color w:val="0070C0"/>
                <w:sz w:val="18"/>
                <w:szCs w:val="18"/>
                <w:lang w:eastAsia="bg-BG"/>
              </w:rPr>
            </w:pPr>
            <w:r w:rsidRPr="00A25A63">
              <w:rPr>
                <w:sz w:val="18"/>
                <w:szCs w:val="18"/>
                <w:lang w:eastAsia="bg-BG"/>
              </w:rPr>
              <w:t> </w:t>
            </w:r>
          </w:p>
        </w:tc>
      </w:tr>
      <w:tr w:rsidR="00A25A63" w:rsidRPr="00A25A63" w14:paraId="61EF57EE" w14:textId="77777777" w:rsidTr="00BA14F1">
        <w:trPr>
          <w:trHeight w:val="80"/>
          <w:jc w:val="center"/>
        </w:trPr>
        <w:tc>
          <w:tcPr>
            <w:tcW w:w="4854" w:type="dxa"/>
            <w:tcBorders>
              <w:top w:val="nil"/>
              <w:left w:val="single" w:sz="4" w:space="0" w:color="auto"/>
              <w:bottom w:val="nil"/>
              <w:right w:val="single" w:sz="4" w:space="0" w:color="auto"/>
            </w:tcBorders>
            <w:shd w:val="clear" w:color="auto" w:fill="auto"/>
            <w:noWrap/>
            <w:vAlign w:val="bottom"/>
          </w:tcPr>
          <w:p w14:paraId="0DD359E6" w14:textId="77777777" w:rsidR="00A25A63" w:rsidRPr="00A25A63" w:rsidRDefault="00A25A63" w:rsidP="00A25A63">
            <w:pPr>
              <w:rPr>
                <w:sz w:val="18"/>
                <w:szCs w:val="18"/>
                <w:lang w:eastAsia="bg-BG"/>
              </w:rPr>
            </w:pPr>
            <w:r w:rsidRPr="00A25A63">
              <w:rPr>
                <w:b/>
                <w:i/>
                <w:sz w:val="18"/>
                <w:szCs w:val="18"/>
                <w:lang w:eastAsia="bg-BG"/>
              </w:rPr>
              <w:t xml:space="preserve"> -Трансфери за  др. бюджети – нето</w:t>
            </w:r>
          </w:p>
        </w:tc>
        <w:tc>
          <w:tcPr>
            <w:tcW w:w="1276" w:type="dxa"/>
            <w:tcBorders>
              <w:top w:val="nil"/>
              <w:left w:val="nil"/>
              <w:bottom w:val="nil"/>
              <w:right w:val="nil"/>
            </w:tcBorders>
            <w:shd w:val="clear" w:color="auto" w:fill="auto"/>
            <w:noWrap/>
          </w:tcPr>
          <w:p w14:paraId="002C8521" w14:textId="77777777" w:rsidR="00A25A63" w:rsidRPr="00A25A63" w:rsidRDefault="00A25A63" w:rsidP="00A25A63">
            <w:pPr>
              <w:jc w:val="right"/>
              <w:rPr>
                <w:sz w:val="18"/>
                <w:szCs w:val="18"/>
                <w:lang w:eastAsia="bg-BG"/>
              </w:rPr>
            </w:pPr>
            <w:r w:rsidRPr="00A25A63">
              <w:rPr>
                <w:sz w:val="18"/>
                <w:szCs w:val="18"/>
                <w:lang w:eastAsia="bg-BG"/>
              </w:rPr>
              <w:t>18 724,9</w:t>
            </w:r>
          </w:p>
        </w:tc>
        <w:tc>
          <w:tcPr>
            <w:tcW w:w="1616" w:type="dxa"/>
            <w:tcBorders>
              <w:top w:val="nil"/>
              <w:left w:val="nil"/>
              <w:bottom w:val="nil"/>
            </w:tcBorders>
            <w:shd w:val="clear" w:color="auto" w:fill="auto"/>
            <w:noWrap/>
            <w:vAlign w:val="bottom"/>
          </w:tcPr>
          <w:p w14:paraId="46FBFBC9" w14:textId="77777777" w:rsidR="00A25A63" w:rsidRPr="00A25A63" w:rsidRDefault="00A25A63" w:rsidP="00A25A63">
            <w:pPr>
              <w:jc w:val="right"/>
              <w:rPr>
                <w:color w:val="0070C0"/>
                <w:sz w:val="18"/>
                <w:szCs w:val="18"/>
                <w:lang w:eastAsia="bg-BG"/>
              </w:rPr>
            </w:pPr>
            <w:r w:rsidRPr="00A25A63">
              <w:rPr>
                <w:sz w:val="18"/>
                <w:szCs w:val="18"/>
                <w:lang w:eastAsia="bg-BG"/>
              </w:rPr>
              <w:t>20 451,2</w:t>
            </w:r>
          </w:p>
        </w:tc>
        <w:tc>
          <w:tcPr>
            <w:tcW w:w="1304" w:type="dxa"/>
            <w:tcBorders>
              <w:right w:val="single" w:sz="4" w:space="0" w:color="auto"/>
            </w:tcBorders>
            <w:shd w:val="clear" w:color="auto" w:fill="auto"/>
            <w:noWrap/>
            <w:vAlign w:val="bottom"/>
          </w:tcPr>
          <w:p w14:paraId="4BF71BB9" w14:textId="77777777" w:rsidR="00A25A63" w:rsidRPr="00A25A63" w:rsidRDefault="00A25A63" w:rsidP="00A25A63">
            <w:pPr>
              <w:jc w:val="right"/>
              <w:rPr>
                <w:color w:val="0070C0"/>
                <w:sz w:val="18"/>
                <w:szCs w:val="18"/>
                <w:lang w:eastAsia="bg-BG"/>
              </w:rPr>
            </w:pPr>
            <w:r w:rsidRPr="00A25A63">
              <w:rPr>
                <w:sz w:val="18"/>
                <w:szCs w:val="18"/>
                <w:lang w:eastAsia="bg-BG"/>
              </w:rPr>
              <w:t>109,2%</w:t>
            </w:r>
          </w:p>
        </w:tc>
      </w:tr>
      <w:tr w:rsidR="00A25A63" w:rsidRPr="00A25A63" w14:paraId="563541BE" w14:textId="77777777" w:rsidTr="00BA14F1">
        <w:trPr>
          <w:trHeight w:val="85"/>
          <w:jc w:val="center"/>
        </w:trPr>
        <w:tc>
          <w:tcPr>
            <w:tcW w:w="4854" w:type="dxa"/>
            <w:tcBorders>
              <w:top w:val="nil"/>
              <w:left w:val="single" w:sz="4" w:space="0" w:color="auto"/>
              <w:bottom w:val="single" w:sz="4" w:space="0" w:color="auto"/>
              <w:right w:val="single" w:sz="4" w:space="0" w:color="auto"/>
            </w:tcBorders>
            <w:shd w:val="clear" w:color="auto" w:fill="auto"/>
            <w:noWrap/>
            <w:vAlign w:val="bottom"/>
          </w:tcPr>
          <w:p w14:paraId="360D297E" w14:textId="77777777" w:rsidR="00A25A63" w:rsidRPr="00A25A63" w:rsidRDefault="00A25A63" w:rsidP="00A25A63">
            <w:pPr>
              <w:rPr>
                <w:b/>
                <w:i/>
                <w:sz w:val="18"/>
                <w:szCs w:val="18"/>
                <w:lang w:eastAsia="bg-BG"/>
              </w:rPr>
            </w:pPr>
            <w:r w:rsidRPr="00A25A63">
              <w:rPr>
                <w:b/>
                <w:bCs/>
                <w:i/>
                <w:sz w:val="18"/>
                <w:szCs w:val="18"/>
                <w:lang w:eastAsia="bg-BG"/>
              </w:rPr>
              <w:t xml:space="preserve"> - Вноска в бюджета на ЕС</w:t>
            </w:r>
          </w:p>
        </w:tc>
        <w:tc>
          <w:tcPr>
            <w:tcW w:w="1276" w:type="dxa"/>
            <w:tcBorders>
              <w:top w:val="nil"/>
              <w:left w:val="nil"/>
              <w:bottom w:val="single" w:sz="4" w:space="0" w:color="auto"/>
              <w:right w:val="nil"/>
            </w:tcBorders>
            <w:shd w:val="clear" w:color="auto" w:fill="auto"/>
            <w:noWrap/>
          </w:tcPr>
          <w:p w14:paraId="31FD8D0F" w14:textId="77777777" w:rsidR="00A25A63" w:rsidRPr="00A25A63" w:rsidRDefault="00A25A63" w:rsidP="00A25A63">
            <w:pPr>
              <w:jc w:val="right"/>
              <w:rPr>
                <w:sz w:val="18"/>
                <w:szCs w:val="18"/>
                <w:lang w:eastAsia="bg-BG"/>
              </w:rPr>
            </w:pPr>
            <w:r w:rsidRPr="00A25A63">
              <w:rPr>
                <w:sz w:val="18"/>
                <w:szCs w:val="18"/>
                <w:lang w:eastAsia="bg-BG"/>
              </w:rPr>
              <w:t>1 839,9</w:t>
            </w:r>
          </w:p>
        </w:tc>
        <w:tc>
          <w:tcPr>
            <w:tcW w:w="1616" w:type="dxa"/>
            <w:tcBorders>
              <w:top w:val="nil"/>
              <w:left w:val="nil"/>
              <w:bottom w:val="single" w:sz="4" w:space="0" w:color="auto"/>
            </w:tcBorders>
            <w:shd w:val="clear" w:color="auto" w:fill="auto"/>
            <w:noWrap/>
            <w:vAlign w:val="bottom"/>
          </w:tcPr>
          <w:p w14:paraId="67193A76" w14:textId="77777777" w:rsidR="00A25A63" w:rsidRPr="00A25A63" w:rsidRDefault="00A25A63" w:rsidP="00A25A63">
            <w:pPr>
              <w:jc w:val="right"/>
              <w:rPr>
                <w:color w:val="0070C0"/>
                <w:sz w:val="18"/>
                <w:szCs w:val="18"/>
                <w:lang w:eastAsia="bg-BG"/>
              </w:rPr>
            </w:pPr>
            <w:r w:rsidRPr="00A25A63">
              <w:rPr>
                <w:sz w:val="18"/>
                <w:szCs w:val="18"/>
                <w:lang w:eastAsia="bg-BG"/>
              </w:rPr>
              <w:t>1 705,0</w:t>
            </w:r>
          </w:p>
        </w:tc>
        <w:tc>
          <w:tcPr>
            <w:tcW w:w="1304" w:type="dxa"/>
            <w:tcBorders>
              <w:bottom w:val="single" w:sz="4" w:space="0" w:color="auto"/>
              <w:right w:val="single" w:sz="4" w:space="0" w:color="auto"/>
            </w:tcBorders>
            <w:shd w:val="clear" w:color="auto" w:fill="auto"/>
            <w:noWrap/>
            <w:vAlign w:val="bottom"/>
          </w:tcPr>
          <w:p w14:paraId="4DE49BAE" w14:textId="77777777" w:rsidR="00A25A63" w:rsidRPr="00A25A63" w:rsidRDefault="00A25A63" w:rsidP="00A25A63">
            <w:pPr>
              <w:jc w:val="right"/>
              <w:rPr>
                <w:color w:val="0070C0"/>
                <w:sz w:val="18"/>
                <w:szCs w:val="18"/>
                <w:lang w:eastAsia="bg-BG"/>
              </w:rPr>
            </w:pPr>
            <w:r w:rsidRPr="00A25A63">
              <w:rPr>
                <w:sz w:val="18"/>
                <w:szCs w:val="18"/>
                <w:lang w:eastAsia="bg-BG"/>
              </w:rPr>
              <w:t>92,7%</w:t>
            </w:r>
          </w:p>
        </w:tc>
      </w:tr>
      <w:tr w:rsidR="00A25A63" w:rsidRPr="00A25A63" w14:paraId="60EFF5ED" w14:textId="77777777" w:rsidTr="00BA14F1">
        <w:trPr>
          <w:trHeight w:val="85"/>
          <w:jc w:val="center"/>
        </w:trPr>
        <w:tc>
          <w:tcPr>
            <w:tcW w:w="48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280691" w14:textId="77777777" w:rsidR="00A25A63" w:rsidRPr="00A25A63" w:rsidRDefault="00A25A63" w:rsidP="00A25A63">
            <w:pPr>
              <w:rPr>
                <w:b/>
                <w:i/>
                <w:sz w:val="18"/>
                <w:szCs w:val="18"/>
                <w:lang w:eastAsia="bg-BG"/>
              </w:rPr>
            </w:pPr>
            <w:r w:rsidRPr="00A25A63">
              <w:rPr>
                <w:b/>
                <w:bCs/>
                <w:sz w:val="18"/>
                <w:szCs w:val="18"/>
                <w:lang w:eastAsia="bg-BG"/>
              </w:rPr>
              <w:t>Бюджетен баланс</w:t>
            </w:r>
          </w:p>
        </w:tc>
        <w:tc>
          <w:tcPr>
            <w:tcW w:w="1276" w:type="dxa"/>
            <w:tcBorders>
              <w:top w:val="single" w:sz="4" w:space="0" w:color="auto"/>
              <w:left w:val="nil"/>
              <w:bottom w:val="single" w:sz="8" w:space="0" w:color="auto"/>
              <w:right w:val="nil"/>
            </w:tcBorders>
            <w:shd w:val="clear" w:color="auto" w:fill="auto"/>
            <w:noWrap/>
          </w:tcPr>
          <w:p w14:paraId="1E90BBC6" w14:textId="77777777" w:rsidR="00A25A63" w:rsidRPr="00A25A63" w:rsidRDefault="00A25A63" w:rsidP="00A25A63">
            <w:pPr>
              <w:jc w:val="right"/>
              <w:rPr>
                <w:sz w:val="18"/>
                <w:szCs w:val="18"/>
                <w:lang w:eastAsia="bg-BG"/>
              </w:rPr>
            </w:pPr>
            <w:r w:rsidRPr="00A25A63">
              <w:rPr>
                <w:b/>
                <w:sz w:val="18"/>
                <w:szCs w:val="18"/>
                <w:lang w:eastAsia="bg-BG"/>
              </w:rPr>
              <w:t>-7 623,6</w:t>
            </w:r>
          </w:p>
        </w:tc>
        <w:tc>
          <w:tcPr>
            <w:tcW w:w="1616" w:type="dxa"/>
            <w:tcBorders>
              <w:top w:val="single" w:sz="4" w:space="0" w:color="auto"/>
              <w:left w:val="nil"/>
              <w:bottom w:val="single" w:sz="4" w:space="0" w:color="auto"/>
            </w:tcBorders>
            <w:shd w:val="clear" w:color="auto" w:fill="auto"/>
            <w:noWrap/>
            <w:vAlign w:val="bottom"/>
          </w:tcPr>
          <w:p w14:paraId="31805F44" w14:textId="77777777" w:rsidR="00A25A63" w:rsidRPr="00A25A63" w:rsidRDefault="00A25A63" w:rsidP="00A25A63">
            <w:pPr>
              <w:jc w:val="right"/>
              <w:rPr>
                <w:color w:val="0070C0"/>
                <w:sz w:val="18"/>
                <w:szCs w:val="18"/>
                <w:lang w:eastAsia="bg-BG"/>
              </w:rPr>
            </w:pPr>
            <w:r w:rsidRPr="00A25A63">
              <w:rPr>
                <w:b/>
                <w:bCs/>
                <w:sz w:val="18"/>
                <w:szCs w:val="18"/>
                <w:lang w:eastAsia="bg-BG"/>
              </w:rPr>
              <w:t>-5 661,2</w:t>
            </w:r>
          </w:p>
        </w:tc>
        <w:tc>
          <w:tcPr>
            <w:tcW w:w="1304" w:type="dxa"/>
            <w:tcBorders>
              <w:top w:val="single" w:sz="4" w:space="0" w:color="auto"/>
              <w:bottom w:val="single" w:sz="4" w:space="0" w:color="auto"/>
              <w:right w:val="single" w:sz="4" w:space="0" w:color="auto"/>
            </w:tcBorders>
            <w:shd w:val="clear" w:color="auto" w:fill="auto"/>
            <w:noWrap/>
            <w:vAlign w:val="bottom"/>
          </w:tcPr>
          <w:p w14:paraId="24D3805B" w14:textId="77777777" w:rsidR="00A25A63" w:rsidRPr="00A25A63" w:rsidRDefault="00A25A63" w:rsidP="00A25A63">
            <w:pPr>
              <w:jc w:val="right"/>
              <w:rPr>
                <w:color w:val="0070C0"/>
                <w:sz w:val="18"/>
                <w:szCs w:val="18"/>
                <w:lang w:eastAsia="bg-BG"/>
              </w:rPr>
            </w:pPr>
            <w:r w:rsidRPr="00A25A63">
              <w:rPr>
                <w:b/>
                <w:bCs/>
                <w:sz w:val="18"/>
                <w:szCs w:val="18"/>
                <w:lang w:eastAsia="bg-BG"/>
              </w:rPr>
              <w:t> </w:t>
            </w:r>
          </w:p>
        </w:tc>
      </w:tr>
      <w:tr w:rsidR="00A25A63" w:rsidRPr="00A25A63" w14:paraId="566FAFA2" w14:textId="77777777" w:rsidTr="00BA14F1">
        <w:trPr>
          <w:trHeight w:val="80"/>
          <w:jc w:val="center"/>
        </w:trPr>
        <w:tc>
          <w:tcPr>
            <w:tcW w:w="48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BA8140" w14:textId="77777777" w:rsidR="00A25A63" w:rsidRPr="00A25A63" w:rsidRDefault="00A25A63" w:rsidP="00A25A63">
            <w:pPr>
              <w:rPr>
                <w:b/>
                <w:bCs/>
                <w:i/>
                <w:sz w:val="18"/>
                <w:szCs w:val="18"/>
                <w:lang w:eastAsia="bg-BG"/>
              </w:rPr>
            </w:pPr>
          </w:p>
        </w:tc>
        <w:tc>
          <w:tcPr>
            <w:tcW w:w="1276" w:type="dxa"/>
            <w:tcBorders>
              <w:top w:val="single" w:sz="4" w:space="0" w:color="auto"/>
              <w:left w:val="nil"/>
              <w:bottom w:val="single" w:sz="8" w:space="0" w:color="auto"/>
              <w:right w:val="nil"/>
            </w:tcBorders>
            <w:shd w:val="clear" w:color="auto" w:fill="auto"/>
            <w:noWrap/>
          </w:tcPr>
          <w:p w14:paraId="3DFD73A1" w14:textId="77777777" w:rsidR="00A25A63" w:rsidRPr="00A25A63" w:rsidRDefault="00A25A63" w:rsidP="00A25A63">
            <w:pPr>
              <w:jc w:val="right"/>
              <w:rPr>
                <w:sz w:val="18"/>
                <w:szCs w:val="18"/>
                <w:lang w:eastAsia="bg-BG"/>
              </w:rPr>
            </w:pPr>
          </w:p>
        </w:tc>
        <w:tc>
          <w:tcPr>
            <w:tcW w:w="1616" w:type="dxa"/>
            <w:tcBorders>
              <w:top w:val="single" w:sz="4" w:space="0" w:color="auto"/>
              <w:left w:val="nil"/>
              <w:bottom w:val="single" w:sz="4" w:space="0" w:color="auto"/>
            </w:tcBorders>
            <w:shd w:val="clear" w:color="auto" w:fill="auto"/>
            <w:noWrap/>
            <w:vAlign w:val="bottom"/>
          </w:tcPr>
          <w:p w14:paraId="3F49B93C" w14:textId="77777777" w:rsidR="00A25A63" w:rsidRPr="00A25A63" w:rsidRDefault="00A25A63" w:rsidP="00A25A63">
            <w:pPr>
              <w:jc w:val="right"/>
              <w:rPr>
                <w:color w:val="0070C0"/>
                <w:sz w:val="18"/>
                <w:szCs w:val="18"/>
                <w:lang w:eastAsia="bg-BG"/>
              </w:rPr>
            </w:pPr>
          </w:p>
        </w:tc>
        <w:tc>
          <w:tcPr>
            <w:tcW w:w="1304" w:type="dxa"/>
            <w:tcBorders>
              <w:top w:val="single" w:sz="4" w:space="0" w:color="auto"/>
              <w:bottom w:val="single" w:sz="4" w:space="0" w:color="auto"/>
              <w:right w:val="single" w:sz="4" w:space="0" w:color="auto"/>
            </w:tcBorders>
            <w:shd w:val="clear" w:color="auto" w:fill="auto"/>
            <w:noWrap/>
            <w:vAlign w:val="bottom"/>
          </w:tcPr>
          <w:p w14:paraId="0A541329" w14:textId="77777777" w:rsidR="00A25A63" w:rsidRPr="00A25A63" w:rsidRDefault="00A25A63" w:rsidP="00A25A63">
            <w:pPr>
              <w:jc w:val="right"/>
              <w:rPr>
                <w:color w:val="0070C0"/>
                <w:sz w:val="18"/>
                <w:szCs w:val="18"/>
                <w:lang w:eastAsia="bg-BG"/>
              </w:rPr>
            </w:pPr>
          </w:p>
        </w:tc>
      </w:tr>
    </w:tbl>
    <w:p w14:paraId="15B1CC58" w14:textId="77777777" w:rsidR="00A25A63" w:rsidRPr="00A25A63" w:rsidRDefault="00A25A63" w:rsidP="00A25A63">
      <w:pPr>
        <w:spacing w:after="120"/>
        <w:ind w:left="360"/>
        <w:jc w:val="both"/>
        <w:rPr>
          <w:b/>
          <w:color w:val="0070C0"/>
          <w:sz w:val="12"/>
        </w:rPr>
      </w:pPr>
    </w:p>
    <w:p w14:paraId="60F9146C" w14:textId="77777777" w:rsidR="00A25A63" w:rsidRPr="00A25A63" w:rsidRDefault="00A25A63" w:rsidP="00A25A63">
      <w:pPr>
        <w:numPr>
          <w:ilvl w:val="0"/>
          <w:numId w:val="2"/>
        </w:numPr>
        <w:spacing w:after="120"/>
        <w:jc w:val="both"/>
        <w:rPr>
          <w:b/>
        </w:rPr>
      </w:pPr>
      <w:r w:rsidRPr="00A25A63">
        <w:rPr>
          <w:b/>
          <w:bCs/>
        </w:rPr>
        <w:t xml:space="preserve">Приходи по държавния бюджет </w:t>
      </w:r>
    </w:p>
    <w:p w14:paraId="4E9165E0" w14:textId="77777777" w:rsidR="00A25A63" w:rsidRPr="00A25A63" w:rsidRDefault="00A25A63" w:rsidP="00A25A63">
      <w:pPr>
        <w:spacing w:after="120"/>
        <w:jc w:val="both"/>
        <w:rPr>
          <w:bCs/>
          <w:lang w:eastAsia="bg-BG"/>
        </w:rPr>
      </w:pPr>
      <w:r w:rsidRPr="00A25A63">
        <w:rPr>
          <w:bCs/>
          <w:lang w:eastAsia="bg-BG"/>
        </w:rPr>
        <w:t>Общият размер на</w:t>
      </w:r>
      <w:r w:rsidRPr="00A25A63">
        <w:rPr>
          <w:b/>
          <w:bCs/>
          <w:lang w:eastAsia="bg-BG"/>
        </w:rPr>
        <w:t xml:space="preserve"> приходите, помощите и даренията по държавния бюджет</w:t>
      </w:r>
      <w:r w:rsidRPr="00A25A63">
        <w:rPr>
          <w:bCs/>
          <w:lang w:eastAsia="bg-BG"/>
        </w:rPr>
        <w:t xml:space="preserve"> за 2022 г. е</w:t>
      </w:r>
      <w:r w:rsidRPr="00A25A63">
        <w:rPr>
          <w:b/>
          <w:bCs/>
          <w:lang w:eastAsia="bg-BG"/>
        </w:rPr>
        <w:t xml:space="preserve"> 34 947,8 млн. лв.</w:t>
      </w:r>
    </w:p>
    <w:p w14:paraId="3AFE18C5" w14:textId="77777777" w:rsidR="00A25A63" w:rsidRPr="00A25A63" w:rsidRDefault="00A25A63" w:rsidP="00A25A63">
      <w:pPr>
        <w:numPr>
          <w:ilvl w:val="0"/>
          <w:numId w:val="3"/>
        </w:numPr>
        <w:tabs>
          <w:tab w:val="num" w:pos="720"/>
        </w:tabs>
        <w:ind w:left="0" w:firstLine="180"/>
        <w:jc w:val="both"/>
        <w:rPr>
          <w:b/>
          <w:bCs/>
          <w:lang w:eastAsia="bg-BG"/>
        </w:rPr>
      </w:pPr>
      <w:r w:rsidRPr="00A25A63">
        <w:rPr>
          <w:bCs/>
          <w:lang w:eastAsia="bg-BG"/>
        </w:rPr>
        <w:t xml:space="preserve"> </w:t>
      </w:r>
      <w:r w:rsidRPr="00A25A63">
        <w:rPr>
          <w:b/>
          <w:bCs/>
          <w:lang w:eastAsia="bg-BG"/>
        </w:rPr>
        <w:t>Данъчни приходи</w:t>
      </w:r>
    </w:p>
    <w:p w14:paraId="4109019A" w14:textId="77777777" w:rsidR="00A25A63" w:rsidRPr="00A25A63" w:rsidRDefault="00A25A63" w:rsidP="00A25A63">
      <w:pPr>
        <w:jc w:val="both"/>
        <w:rPr>
          <w:bCs/>
          <w:color w:val="0070C0"/>
          <w:sz w:val="4"/>
          <w:szCs w:val="4"/>
          <w:lang w:eastAsia="bg-BG"/>
        </w:rPr>
      </w:pPr>
    </w:p>
    <w:p w14:paraId="118F4817" w14:textId="77777777" w:rsidR="00A25A63" w:rsidRPr="00A25A63" w:rsidRDefault="00A25A63" w:rsidP="00A25A63">
      <w:pPr>
        <w:jc w:val="both"/>
        <w:rPr>
          <w:lang w:eastAsia="bg-BG"/>
        </w:rPr>
      </w:pPr>
      <w:r w:rsidRPr="00A25A63">
        <w:rPr>
          <w:bCs/>
          <w:lang w:eastAsia="bg-BG"/>
        </w:rPr>
        <w:t>Размерът на</w:t>
      </w:r>
      <w:r w:rsidRPr="00A25A63">
        <w:rPr>
          <w:b/>
          <w:bCs/>
          <w:lang w:eastAsia="bg-BG"/>
        </w:rPr>
        <w:t xml:space="preserve"> данъчните постъпления по държавния бюджет</w:t>
      </w:r>
      <w:r w:rsidRPr="00A25A63">
        <w:rPr>
          <w:bCs/>
          <w:lang w:eastAsia="bg-BG"/>
        </w:rPr>
        <w:t xml:space="preserve"> за 2022 г. </w:t>
      </w:r>
      <w:r w:rsidRPr="00A25A63">
        <w:rPr>
          <w:lang w:eastAsia="bg-BG"/>
        </w:rPr>
        <w:t xml:space="preserve">е </w:t>
      </w:r>
      <w:r w:rsidRPr="00A25A63">
        <w:rPr>
          <w:b/>
          <w:lang w:val="ru-RU" w:eastAsia="bg-BG"/>
        </w:rPr>
        <w:t xml:space="preserve">31 681,8 </w:t>
      </w:r>
      <w:r w:rsidRPr="00A25A63">
        <w:rPr>
          <w:b/>
          <w:lang w:eastAsia="bg-BG"/>
        </w:rPr>
        <w:t>млн.</w:t>
      </w:r>
      <w:r w:rsidRPr="00A25A63">
        <w:rPr>
          <w:b/>
          <w:lang w:val="en-US" w:eastAsia="bg-BG"/>
        </w:rPr>
        <w:t> </w:t>
      </w:r>
      <w:r w:rsidRPr="00A25A63">
        <w:rPr>
          <w:b/>
          <w:lang w:eastAsia="bg-BG"/>
        </w:rPr>
        <w:t>лв</w:t>
      </w:r>
      <w:r w:rsidRPr="00A25A63">
        <w:rPr>
          <w:lang w:eastAsia="bg-BG"/>
        </w:rPr>
        <w:t xml:space="preserve">., което представлява </w:t>
      </w:r>
      <w:r w:rsidRPr="00966A3F">
        <w:rPr>
          <w:lang w:val="ru-RU" w:eastAsia="bg-BG"/>
        </w:rPr>
        <w:t>100</w:t>
      </w:r>
      <w:r w:rsidRPr="00A25A63">
        <w:rPr>
          <w:lang w:eastAsia="bg-BG"/>
        </w:rPr>
        <w:t xml:space="preserve">,7 % изпълнение на годишните разчети или </w:t>
      </w:r>
      <w:r w:rsidRPr="00A25A63">
        <w:rPr>
          <w:rFonts w:eastAsiaTheme="minorHAnsi"/>
          <w:szCs w:val="23"/>
        </w:rPr>
        <w:t xml:space="preserve">с 221,7 млн. лв. повече спрямо планираното със ЗДБРБ за 2022 г. </w:t>
      </w:r>
      <w:r w:rsidRPr="00A25A63">
        <w:rPr>
          <w:lang w:eastAsia="bg-BG"/>
        </w:rPr>
        <w:t xml:space="preserve">Съпоставено с 2021 г. постъпленията в групата нарастват с </w:t>
      </w:r>
      <w:r w:rsidRPr="00A25A63">
        <w:rPr>
          <w:lang w:val="ru-RU" w:eastAsia="bg-BG"/>
        </w:rPr>
        <w:t>4 345,3</w:t>
      </w:r>
      <w:r w:rsidRPr="00A25A63">
        <w:rPr>
          <w:lang w:eastAsia="bg-BG"/>
        </w:rPr>
        <w:t xml:space="preserve"> млн. лева (</w:t>
      </w:r>
      <w:r w:rsidRPr="00A25A63">
        <w:rPr>
          <w:lang w:val="ru-RU" w:eastAsia="bg-BG"/>
        </w:rPr>
        <w:t xml:space="preserve">15,9 </w:t>
      </w:r>
      <w:r w:rsidRPr="00A25A63">
        <w:rPr>
          <w:lang w:eastAsia="bg-BG"/>
        </w:rPr>
        <w:t xml:space="preserve">%). </w:t>
      </w:r>
      <w:r w:rsidRPr="00A25A63">
        <w:rPr>
          <w:rFonts w:eastAsiaTheme="minorHAnsi"/>
          <w:szCs w:val="23"/>
        </w:rPr>
        <w:t>Преизпълнение има главно при корпоративните данъци, ДДФЛ и митата, а приходите от ДДС и акцизи са по-ниски от планираните за годината. При приходите от ДДС данните показват, че съпоставено с разчетите към ЗДБРБ за 2022 г. постъпленията за годината са с 688,7 млн. лв. по ниски от планираните. Параметрите по изпълнението при този данък са близки до предложените разчети от Министерството на финансите в първоначалния проект на ЗИД на ЗДБРБ за 2022 г. от юни, които в последствие при обсъждането и гласуването на законопроекта в Народното събрание бяха допълнително увеличени със 760,0 млн. лв. в окончателно гласуваните текстове. По отношение на приходите от акцизи следва да се отбележи, че</w:t>
      </w:r>
      <w:r w:rsidRPr="00A25A63">
        <w:rPr>
          <w:lang w:eastAsia="bg-BG"/>
        </w:rPr>
        <w:t xml:space="preserve"> през 2022 г. Народното събрание не прие предложените от Министерството на финансите промени за въвеждане на акцизен календар за тютюневите изделия през 2022 г. като същевременно не беше извършено съответното намаление на прогнозния размер на постъпленията от акцизи с ефекта от мярката в размер на 100 млн. лв., </w:t>
      </w:r>
      <w:r w:rsidRPr="00A25A63">
        <w:rPr>
          <w:lang w:eastAsia="bg-BG"/>
        </w:rPr>
        <w:lastRenderedPageBreak/>
        <w:t>включени в ЗДБРБ за 2022 година, колкото приблизително е неизпълнението на разчета за годината. Мярката ще влезе в сила от 01.03.2023 година</w:t>
      </w:r>
      <w:r w:rsidRPr="00A25A63">
        <w:rPr>
          <w:rFonts w:eastAsiaTheme="minorHAnsi"/>
          <w:b/>
          <w:szCs w:val="23"/>
        </w:rPr>
        <w:t xml:space="preserve">. </w:t>
      </w:r>
    </w:p>
    <w:p w14:paraId="40CD5759" w14:textId="77777777" w:rsidR="00A25A63" w:rsidRPr="00A25A63" w:rsidRDefault="00A25A63" w:rsidP="00A25A63">
      <w:pPr>
        <w:jc w:val="both"/>
        <w:rPr>
          <w:color w:val="0070C0"/>
          <w:sz w:val="10"/>
          <w:lang w:eastAsia="bg-BG"/>
        </w:rPr>
      </w:pPr>
    </w:p>
    <w:p w14:paraId="209CC5A1" w14:textId="77777777" w:rsidR="00A25A63" w:rsidRPr="00A25A63" w:rsidRDefault="00A25A63" w:rsidP="00A25A63">
      <w:pPr>
        <w:numPr>
          <w:ilvl w:val="0"/>
          <w:numId w:val="4"/>
        </w:numPr>
        <w:tabs>
          <w:tab w:val="clear" w:pos="1440"/>
          <w:tab w:val="num" w:pos="540"/>
        </w:tabs>
        <w:spacing w:before="120" w:after="120"/>
        <w:ind w:left="0" w:firstLine="181"/>
        <w:jc w:val="both"/>
        <w:rPr>
          <w:b/>
          <w:bCs/>
          <w:lang w:eastAsia="bg-BG"/>
        </w:rPr>
      </w:pPr>
      <w:r w:rsidRPr="00A25A63">
        <w:rPr>
          <w:b/>
          <w:bCs/>
          <w:lang w:eastAsia="bg-BG"/>
        </w:rPr>
        <w:t>Преки данъци</w:t>
      </w:r>
    </w:p>
    <w:p w14:paraId="3956723A" w14:textId="77777777" w:rsidR="00A25A63" w:rsidRPr="00A25A63" w:rsidRDefault="00A25A63" w:rsidP="00A25A63">
      <w:pPr>
        <w:spacing w:before="120"/>
        <w:jc w:val="both"/>
        <w:rPr>
          <w:lang w:eastAsia="bg-BG"/>
        </w:rPr>
      </w:pPr>
      <w:r w:rsidRPr="00A25A63">
        <w:rPr>
          <w:lang w:eastAsia="bg-BG"/>
        </w:rPr>
        <w:t>Приходите в групата на</w:t>
      </w:r>
      <w:r w:rsidRPr="00A25A63">
        <w:rPr>
          <w:b/>
          <w:lang w:eastAsia="bg-BG"/>
        </w:rPr>
        <w:t xml:space="preserve"> преките данъци</w:t>
      </w:r>
      <w:r w:rsidRPr="00A25A63">
        <w:rPr>
          <w:lang w:eastAsia="bg-BG"/>
        </w:rPr>
        <w:t xml:space="preserve"> са в размер на</w:t>
      </w:r>
      <w:r w:rsidRPr="00A25A63">
        <w:rPr>
          <w:b/>
          <w:lang w:eastAsia="bg-BG"/>
        </w:rPr>
        <w:t> 9 913,6 млн. лв</w:t>
      </w:r>
      <w:r w:rsidRPr="00A25A63">
        <w:rPr>
          <w:lang w:eastAsia="bg-BG"/>
        </w:rPr>
        <w:t xml:space="preserve">. или 109,7 % спрямо планираните за годината, като съпоставени с предходната година постъпленията нарастват с 1 667,9 млн. лв. </w:t>
      </w:r>
      <w:r w:rsidRPr="00A25A63">
        <w:rPr>
          <w:lang w:val="ru-RU" w:eastAsia="bg-BG"/>
        </w:rPr>
        <w:t>(</w:t>
      </w:r>
      <w:r w:rsidRPr="00A25A63">
        <w:rPr>
          <w:lang w:eastAsia="bg-BG"/>
        </w:rPr>
        <w:t>п</w:t>
      </w:r>
      <w:r w:rsidRPr="00A25A63">
        <w:rPr>
          <w:lang w:val="ru-RU" w:eastAsia="bg-BG"/>
        </w:rPr>
        <w:t>овишението се дължи основно на значително по-високите приходи от корпоративни данъци)</w:t>
      </w:r>
      <w:r w:rsidRPr="00A25A63">
        <w:rPr>
          <w:lang w:eastAsia="bg-BG"/>
        </w:rPr>
        <w:t>.</w:t>
      </w:r>
    </w:p>
    <w:p w14:paraId="4468F283" w14:textId="76310F81" w:rsidR="00A25A63" w:rsidRPr="00A25A63" w:rsidRDefault="00A25A63" w:rsidP="00A25A63">
      <w:pPr>
        <w:spacing w:before="120"/>
        <w:jc w:val="both"/>
        <w:rPr>
          <w:color w:val="0070C0"/>
          <w:lang w:eastAsia="bg-BG"/>
        </w:rPr>
      </w:pPr>
      <w:r w:rsidRPr="00A25A63">
        <w:rPr>
          <w:lang w:eastAsia="bg-BG"/>
        </w:rPr>
        <w:t>Приходите от</w:t>
      </w:r>
      <w:r w:rsidRPr="00A25A63">
        <w:rPr>
          <w:b/>
          <w:lang w:eastAsia="bg-BG"/>
        </w:rPr>
        <w:t xml:space="preserve"> </w:t>
      </w:r>
      <w:r w:rsidRPr="00A25A63">
        <w:rPr>
          <w:b/>
          <w:bCs/>
          <w:i/>
          <w:lang w:eastAsia="bg-BG"/>
        </w:rPr>
        <w:t>корпоративни данъци</w:t>
      </w:r>
      <w:r w:rsidRPr="00A25A63">
        <w:rPr>
          <w:lang w:eastAsia="bg-BG"/>
        </w:rPr>
        <w:t xml:space="preserve"> </w:t>
      </w:r>
      <w:r w:rsidRPr="00A25A63">
        <w:rPr>
          <w:bCs/>
          <w:lang w:eastAsia="bg-BG"/>
        </w:rPr>
        <w:t>за 2022</w:t>
      </w:r>
      <w:r w:rsidRPr="00A25A63">
        <w:rPr>
          <w:b/>
          <w:lang w:eastAsia="bg-BG"/>
        </w:rPr>
        <w:t> </w:t>
      </w:r>
      <w:r w:rsidRPr="00A25A63">
        <w:rPr>
          <w:lang w:eastAsia="bg-BG"/>
        </w:rPr>
        <w:t>г. са в размер на 4 592,6 млн. лв. или 114,2 % спрямо годишния план. Сравнени с данните за предходната година постъпленията нарастват с 1 186,2</w:t>
      </w:r>
      <w:r w:rsidRPr="00A25A63">
        <w:rPr>
          <w:lang w:val="ru-RU" w:eastAsia="bg-BG"/>
        </w:rPr>
        <w:t xml:space="preserve"> </w:t>
      </w:r>
      <w:r w:rsidRPr="00A25A63">
        <w:rPr>
          <w:lang w:eastAsia="bg-BG"/>
        </w:rPr>
        <w:t xml:space="preserve">млн. лв. </w:t>
      </w:r>
      <w:r w:rsidRPr="00A25A63">
        <w:rPr>
          <w:lang w:val="ru-RU" w:eastAsia="bg-BG"/>
        </w:rPr>
        <w:t>(</w:t>
      </w:r>
      <w:r w:rsidRPr="00A25A63">
        <w:rPr>
          <w:bCs/>
          <w:lang w:val="ru-RU" w:eastAsia="bg-BG"/>
        </w:rPr>
        <w:t>34,8 %)</w:t>
      </w:r>
      <w:r w:rsidRPr="00A25A63">
        <w:rPr>
          <w:lang w:val="ru-RU" w:eastAsia="bg-BG"/>
        </w:rPr>
        <w:t>. Ръстът в изпълнението на приходите от корпоративни данъци за 2022</w:t>
      </w:r>
      <w:r w:rsidR="0047659C">
        <w:rPr>
          <w:lang w:val="ru-RU" w:eastAsia="bg-BG"/>
        </w:rPr>
        <w:t> </w:t>
      </w:r>
      <w:r w:rsidRPr="00A25A63">
        <w:rPr>
          <w:lang w:val="ru-RU" w:eastAsia="bg-BG"/>
        </w:rPr>
        <w:t xml:space="preserve">г. е следствие главно на по-високите с 1 160,4 млн. лв. (37,2 %) приходи от корпоративен данък от нефинансови предприятия спрямо 2021 година. </w:t>
      </w:r>
      <w:r w:rsidRPr="00A25A63">
        <w:rPr>
          <w:lang w:eastAsia="bg-BG"/>
        </w:rPr>
        <w:t xml:space="preserve">Фактори оказващи влияние върху по-високите приходи от корпоративен данък са, както по-високият от заложеният в макрорамката ръст на </w:t>
      </w:r>
      <w:proofErr w:type="spellStart"/>
      <w:r w:rsidRPr="00A25A63">
        <w:rPr>
          <w:lang w:eastAsia="bg-BG"/>
        </w:rPr>
        <w:t>относимите</w:t>
      </w:r>
      <w:proofErr w:type="spellEnd"/>
      <w:r w:rsidRPr="00A25A63">
        <w:rPr>
          <w:lang w:eastAsia="bg-BG"/>
        </w:rPr>
        <w:t xml:space="preserve"> макроикономически показатели за периода, така и предприетите мерки за подобряване събираемостта на приходите от страна на приходната администрация. Приетите законодателни антикризисни мерки, с цел смекчаване на икономическите последици за бизнеса от високите цени на енергоносителите</w:t>
      </w:r>
      <w:r w:rsidR="00C12717">
        <w:rPr>
          <w:lang w:eastAsia="bg-BG"/>
        </w:rPr>
        <w:t>,</w:t>
      </w:r>
      <w:r w:rsidRPr="00A25A63">
        <w:rPr>
          <w:lang w:eastAsia="bg-BG"/>
        </w:rPr>
        <w:t xml:space="preserve"> доведоха до </w:t>
      </w:r>
      <w:proofErr w:type="spellStart"/>
      <w:r w:rsidRPr="00A25A63">
        <w:rPr>
          <w:lang w:eastAsia="bg-BG"/>
        </w:rPr>
        <w:t>свръхкомпенсиране</w:t>
      </w:r>
      <w:proofErr w:type="spellEnd"/>
      <w:r w:rsidRPr="00A25A63">
        <w:rPr>
          <w:lang w:eastAsia="bg-BG"/>
        </w:rPr>
        <w:t xml:space="preserve"> на определени сектори на икономиката и съответно допринасят за подобрение на финансовите им резултати. </w:t>
      </w:r>
      <w:r w:rsidRPr="00A25A63">
        <w:rPr>
          <w:lang w:val="ru-RU" w:eastAsia="bg-BG"/>
        </w:rPr>
        <w:t xml:space="preserve">Достигнатият ръст на приходите от корпоративни данъци през 2022 г. надхвърля отчетения през 2021 г. и е най-висок за последните десет години както в стойностно изражение, така и в процент спрямо предходния период. </w:t>
      </w:r>
      <w:r w:rsidRPr="00A25A63">
        <w:rPr>
          <w:lang w:eastAsia="bg-BG"/>
        </w:rPr>
        <w:t xml:space="preserve">В тази група данъци са и приходите от данък върху дивидентите, ликвидационните дялове и доходите на местни и чуждестранни юридически лица, които са в размер на 94,1 млн. лв., като нарастват с 18,2 млн. лв. (23,9 %) спрямо 2021 година. </w:t>
      </w:r>
    </w:p>
    <w:p w14:paraId="092C6475" w14:textId="77777777" w:rsidR="00A25A63" w:rsidRPr="00A25A63" w:rsidRDefault="00A25A63" w:rsidP="00A25A63">
      <w:pPr>
        <w:spacing w:before="120" w:after="120"/>
        <w:jc w:val="both"/>
        <w:rPr>
          <w:color w:val="0070C0"/>
          <w:lang w:eastAsia="bg-BG"/>
        </w:rPr>
      </w:pPr>
      <w:r w:rsidRPr="00A25A63">
        <w:rPr>
          <w:lang w:eastAsia="bg-BG"/>
        </w:rPr>
        <w:t>Приходите от</w:t>
      </w:r>
      <w:r w:rsidRPr="00A25A63">
        <w:rPr>
          <w:b/>
          <w:lang w:eastAsia="bg-BG"/>
        </w:rPr>
        <w:t xml:space="preserve"> данъци върху доходите на физически лица </w:t>
      </w:r>
      <w:r w:rsidRPr="00A25A63">
        <w:rPr>
          <w:lang w:eastAsia="bg-BG"/>
        </w:rPr>
        <w:t xml:space="preserve">са в размер на </w:t>
      </w:r>
      <w:r w:rsidRPr="00A25A63">
        <w:rPr>
          <w:b/>
          <w:lang w:val="ru-RU" w:eastAsia="bg-BG"/>
        </w:rPr>
        <w:t xml:space="preserve">5 321,0 </w:t>
      </w:r>
      <w:r w:rsidRPr="00A25A63">
        <w:rPr>
          <w:b/>
          <w:lang w:eastAsia="bg-BG"/>
        </w:rPr>
        <w:t>млн. лв.</w:t>
      </w:r>
      <w:r w:rsidRPr="00A25A63">
        <w:rPr>
          <w:lang w:eastAsia="bg-BG"/>
        </w:rPr>
        <w:t xml:space="preserve"> или 106,1 % спрямо заложените в разчета за годината. Тези приходи са с 481,7 млн. лв. по-високи (10,0 %) спрямо същия период на предходната година. </w:t>
      </w:r>
    </w:p>
    <w:p w14:paraId="0716A051" w14:textId="77777777" w:rsidR="00A25A63" w:rsidRPr="00A25A63" w:rsidRDefault="00A25A63" w:rsidP="00A25A63">
      <w:pPr>
        <w:spacing w:before="120" w:after="120"/>
        <w:jc w:val="both"/>
        <w:rPr>
          <w:lang w:eastAsia="bg-BG"/>
        </w:rPr>
      </w:pPr>
      <w:r w:rsidRPr="00A25A63">
        <w:rPr>
          <w:lang w:eastAsia="bg-BG"/>
        </w:rPr>
        <w:t>Върху размера на данъчните постъпления от ДДФЛ основно влияние имат развитието на пазара на труда и предприетите законодателни и административни мерки в областта на трудовото, социалното и данъчното законодателство. За повишаване на приходите от ДДФЛ влияние оказват и предприетите мерки за намаляване на недекларирания труд, мерките за повишаване на събираемостта на задължения за минали периоди и информационните кампании провеждани от НАП.</w:t>
      </w:r>
    </w:p>
    <w:p w14:paraId="0A1105AA" w14:textId="77777777" w:rsidR="00A25A63" w:rsidRPr="00A25A63" w:rsidRDefault="00A25A63" w:rsidP="00A25A63">
      <w:pPr>
        <w:spacing w:after="120"/>
        <w:jc w:val="both"/>
        <w:rPr>
          <w:color w:val="0070C0"/>
          <w:lang w:eastAsia="bg-BG"/>
        </w:rPr>
      </w:pPr>
      <w:r w:rsidRPr="00A25A63">
        <w:rPr>
          <w:i/>
          <w:lang w:eastAsia="bg-BG"/>
        </w:rPr>
        <w:t>По трудови правоотношения</w:t>
      </w:r>
      <w:r w:rsidRPr="00A25A63">
        <w:rPr>
          <w:lang w:eastAsia="bg-BG"/>
        </w:rPr>
        <w:t xml:space="preserve"> приходите от данъка </w:t>
      </w:r>
      <w:r w:rsidRPr="00A25A63">
        <w:rPr>
          <w:bCs/>
          <w:lang w:eastAsia="bg-BG"/>
        </w:rPr>
        <w:t>за 2022</w:t>
      </w:r>
      <w:r w:rsidRPr="00A25A63">
        <w:rPr>
          <w:lang w:eastAsia="bg-BG"/>
        </w:rPr>
        <w:t xml:space="preserve"> г. са 4 360,7 млн. лв., 105,8 % спрямо годишните разчети. Тези приходи са с 408,1 млн. лв. (10,3 %) повече в сравнение със същия период на предходната година. </w:t>
      </w:r>
    </w:p>
    <w:p w14:paraId="4A13141D" w14:textId="77777777" w:rsidR="00A25A63" w:rsidRPr="00A25A63" w:rsidRDefault="00A25A63" w:rsidP="00A25A63">
      <w:pPr>
        <w:jc w:val="both"/>
        <w:rPr>
          <w:lang w:eastAsia="bg-BG"/>
        </w:rPr>
      </w:pPr>
      <w:r w:rsidRPr="00A25A63">
        <w:rPr>
          <w:lang w:eastAsia="bg-BG"/>
        </w:rPr>
        <w:t>Влияние върху приходите от трудови правоотношения имат следните законодателни изменения в сила от 01.04.2022 г.:</w:t>
      </w:r>
    </w:p>
    <w:p w14:paraId="58F76FB4" w14:textId="77777777" w:rsidR="00A25A63" w:rsidRPr="00A25A63" w:rsidRDefault="00A25A63" w:rsidP="00A25A63">
      <w:pPr>
        <w:numPr>
          <w:ilvl w:val="0"/>
          <w:numId w:val="25"/>
        </w:numPr>
        <w:ind w:left="993" w:hanging="284"/>
        <w:jc w:val="both"/>
        <w:rPr>
          <w:lang w:eastAsia="bg-BG"/>
        </w:rPr>
      </w:pPr>
      <w:r w:rsidRPr="00A25A63">
        <w:rPr>
          <w:lang w:eastAsia="bg-BG"/>
        </w:rPr>
        <w:t>увеличение на минималната работна заплата за страната с 9,2 %, от 650 лв. на 710 лева;</w:t>
      </w:r>
    </w:p>
    <w:p w14:paraId="27853E0F" w14:textId="77777777" w:rsidR="00A25A63" w:rsidRPr="00A25A63" w:rsidRDefault="00A25A63" w:rsidP="00A25A63">
      <w:pPr>
        <w:numPr>
          <w:ilvl w:val="0"/>
          <w:numId w:val="25"/>
        </w:numPr>
        <w:ind w:left="993" w:hanging="284"/>
        <w:jc w:val="both"/>
        <w:rPr>
          <w:lang w:eastAsia="bg-BG"/>
        </w:rPr>
      </w:pPr>
      <w:r w:rsidRPr="00A25A63">
        <w:rPr>
          <w:lang w:eastAsia="bg-BG"/>
        </w:rPr>
        <w:t>увеличението на максималният месечен осигурителен доход от 3 000 лв. на 3 400 лв.;</w:t>
      </w:r>
    </w:p>
    <w:p w14:paraId="3DAA8DFB" w14:textId="77777777" w:rsidR="00A25A63" w:rsidRPr="00A25A63" w:rsidRDefault="00A25A63" w:rsidP="00A25A63">
      <w:pPr>
        <w:numPr>
          <w:ilvl w:val="0"/>
          <w:numId w:val="25"/>
        </w:numPr>
        <w:ind w:left="993" w:hanging="284"/>
        <w:jc w:val="both"/>
        <w:rPr>
          <w:lang w:eastAsia="bg-BG"/>
        </w:rPr>
      </w:pPr>
      <w:r w:rsidRPr="00A25A63">
        <w:rPr>
          <w:lang w:eastAsia="bg-BG"/>
        </w:rPr>
        <w:t>увеличението на минималните осигурителни прагове въз основа на повишението на МРЗ;</w:t>
      </w:r>
    </w:p>
    <w:p w14:paraId="5315A96E" w14:textId="77777777" w:rsidR="00A25A63" w:rsidRPr="00A25A63" w:rsidRDefault="00A25A63" w:rsidP="00A25A63">
      <w:pPr>
        <w:numPr>
          <w:ilvl w:val="0"/>
          <w:numId w:val="25"/>
        </w:numPr>
        <w:autoSpaceDE w:val="0"/>
        <w:autoSpaceDN w:val="0"/>
        <w:adjustRightInd w:val="0"/>
        <w:ind w:left="900" w:hanging="180"/>
        <w:jc w:val="both"/>
        <w:rPr>
          <w:lang w:eastAsia="bg-BG"/>
        </w:rPr>
      </w:pPr>
      <w:r w:rsidRPr="00A25A63">
        <w:rPr>
          <w:lang w:eastAsia="bg-BG"/>
        </w:rPr>
        <w:t>увеличението на заплатите на учителския персонал.</w:t>
      </w:r>
    </w:p>
    <w:p w14:paraId="0111B33D" w14:textId="77777777" w:rsidR="00A25A63" w:rsidRPr="00A25A63" w:rsidRDefault="00A25A63" w:rsidP="00A25A63">
      <w:pPr>
        <w:autoSpaceDE w:val="0"/>
        <w:autoSpaceDN w:val="0"/>
        <w:adjustRightInd w:val="0"/>
        <w:ind w:left="720"/>
        <w:jc w:val="both"/>
        <w:rPr>
          <w:lang w:eastAsia="bg-BG"/>
        </w:rPr>
      </w:pPr>
    </w:p>
    <w:p w14:paraId="21D4C9E1" w14:textId="77777777" w:rsidR="00A25A63" w:rsidRPr="00A25A63" w:rsidRDefault="00A25A63" w:rsidP="00A25A63">
      <w:pPr>
        <w:autoSpaceDE w:val="0"/>
        <w:autoSpaceDN w:val="0"/>
        <w:adjustRightInd w:val="0"/>
        <w:jc w:val="both"/>
        <w:rPr>
          <w:lang w:eastAsia="bg-BG"/>
        </w:rPr>
      </w:pPr>
      <w:r w:rsidRPr="00A25A63">
        <w:rPr>
          <w:lang w:eastAsia="bg-BG"/>
        </w:rPr>
        <w:t xml:space="preserve">Влияние има и </w:t>
      </w:r>
      <w:r w:rsidRPr="00A25A63">
        <w:rPr>
          <w:color w:val="000000"/>
          <w:lang w:eastAsia="bg-BG"/>
        </w:rPr>
        <w:t>увеличението на разходите за персонал в някои от бюджетните системи, одобрени с актуализацията на бюджета (</w:t>
      </w:r>
      <w:proofErr w:type="spellStart"/>
      <w:r w:rsidRPr="00A25A63">
        <w:rPr>
          <w:color w:val="000000"/>
          <w:lang w:eastAsia="bg-BG"/>
        </w:rPr>
        <w:t>обн</w:t>
      </w:r>
      <w:proofErr w:type="spellEnd"/>
      <w:r w:rsidRPr="00A25A63">
        <w:rPr>
          <w:color w:val="000000"/>
          <w:lang w:eastAsia="bg-BG"/>
        </w:rPr>
        <w:t xml:space="preserve">., ДВ, бр. 52 от </w:t>
      </w:r>
      <w:r w:rsidRPr="00A25A63">
        <w:rPr>
          <w:color w:val="000000"/>
          <w:lang w:val="ru-RU" w:eastAsia="bg-BG"/>
        </w:rPr>
        <w:t>0</w:t>
      </w:r>
      <w:r w:rsidRPr="00A25A63">
        <w:rPr>
          <w:color w:val="000000"/>
          <w:lang w:eastAsia="bg-BG"/>
        </w:rPr>
        <w:t>5.</w:t>
      </w:r>
      <w:r w:rsidRPr="00A25A63">
        <w:rPr>
          <w:color w:val="000000"/>
          <w:lang w:val="ru-RU" w:eastAsia="bg-BG"/>
        </w:rPr>
        <w:t>0</w:t>
      </w:r>
      <w:r w:rsidRPr="00A25A63">
        <w:rPr>
          <w:color w:val="000000"/>
          <w:lang w:eastAsia="bg-BG"/>
        </w:rPr>
        <w:t>7.2022 г.)</w:t>
      </w:r>
      <w:r w:rsidRPr="00A25A63">
        <w:rPr>
          <w:lang w:eastAsia="bg-BG"/>
        </w:rPr>
        <w:t>.</w:t>
      </w:r>
    </w:p>
    <w:p w14:paraId="7B51709F" w14:textId="77777777" w:rsidR="00A25A63" w:rsidRPr="00A25A63" w:rsidRDefault="00A25A63" w:rsidP="00A25A63">
      <w:pPr>
        <w:spacing w:before="120" w:after="120"/>
        <w:jc w:val="both"/>
        <w:rPr>
          <w:color w:val="0070C0"/>
          <w:lang w:eastAsia="bg-BG"/>
        </w:rPr>
      </w:pPr>
      <w:r w:rsidRPr="00A25A63">
        <w:rPr>
          <w:lang w:eastAsia="bg-BG"/>
        </w:rPr>
        <w:t xml:space="preserve">Влияние върху размера на приходите от трудови правоотношения от началото на годината оказва ползването на облекченията за деца по чл. 22в и чл. 22г от ЗДДФЛ чрез подаване на декларация по образец при работодателя. Приетото през 2022 г. допълнително увеличение на </w:t>
      </w:r>
      <w:r w:rsidRPr="00A25A63">
        <w:rPr>
          <w:lang w:eastAsia="bg-BG"/>
        </w:rPr>
        <w:lastRenderedPageBreak/>
        <w:t>размера на данъчното облекчение за деца (от 4 500 лв. на 6 000 лв. годишно) и на данъчното облекчение на деца с увреждания (от 9 000 лв. на 12 000 лв. годишно), както и въвеждане на възможност за авансово ползване (тримесечно) за 2022 г. на двете данъчни облекчения има допълнително влияние в посока намаление на приходите от ДДФЛ за 2022 година. Следва да се отбележи, че размерът на авансово използваните данъчни облекчения за деца в увеличен размер, за доходите придобити  през 2022 година, е по-нисък от очаквания размер.</w:t>
      </w:r>
    </w:p>
    <w:p w14:paraId="7E5A8EF0" w14:textId="6996EAFE" w:rsidR="00A25A63" w:rsidRPr="00A25A63" w:rsidRDefault="00A25A63" w:rsidP="00A25A63">
      <w:pPr>
        <w:spacing w:after="120"/>
        <w:jc w:val="both"/>
        <w:rPr>
          <w:color w:val="0070C0"/>
          <w:lang w:eastAsia="bg-BG"/>
        </w:rPr>
      </w:pPr>
      <w:r w:rsidRPr="00A25A63">
        <w:rPr>
          <w:lang w:eastAsia="bg-BG"/>
        </w:rPr>
        <w:t>По-</w:t>
      </w:r>
      <w:r w:rsidR="004A0AD2" w:rsidRPr="00A25A63">
        <w:rPr>
          <w:lang w:eastAsia="bg-BG"/>
        </w:rPr>
        <w:t>високият</w:t>
      </w:r>
      <w:r w:rsidRPr="00A25A63">
        <w:rPr>
          <w:lang w:eastAsia="bg-BG"/>
        </w:rPr>
        <w:t xml:space="preserve"> ръст на приходите от трудови правоотношения за периода се дължи и на увеличение на разходите за персонал в частните предприятия в отговор на високия ръст на инфлацията. </w:t>
      </w:r>
    </w:p>
    <w:p w14:paraId="732A897E" w14:textId="77777777" w:rsidR="00A25A63" w:rsidRPr="00A25A63" w:rsidRDefault="00A25A63" w:rsidP="00A25A63">
      <w:pPr>
        <w:spacing w:after="120"/>
        <w:jc w:val="both"/>
        <w:rPr>
          <w:lang w:eastAsia="bg-BG"/>
        </w:rPr>
      </w:pPr>
      <w:r w:rsidRPr="00A25A63">
        <w:rPr>
          <w:i/>
          <w:lang w:eastAsia="bg-BG"/>
        </w:rPr>
        <w:t>По извънтрудови правоотношения (свободни професии, граждански договори и др.)</w:t>
      </w:r>
      <w:r w:rsidRPr="00A25A63">
        <w:rPr>
          <w:lang w:eastAsia="bg-BG"/>
        </w:rPr>
        <w:t xml:space="preserve"> приходите от данъка </w:t>
      </w:r>
      <w:r w:rsidRPr="00A25A63">
        <w:rPr>
          <w:bCs/>
          <w:lang w:eastAsia="bg-BG"/>
        </w:rPr>
        <w:t>за 2022</w:t>
      </w:r>
      <w:r w:rsidRPr="00A25A63">
        <w:rPr>
          <w:lang w:eastAsia="bg-BG"/>
        </w:rPr>
        <w:t xml:space="preserve"> г. са в размер на 459,7 млн. лв., което е 120,8 % спрямо годишния разчет. За отчетния период са постъпили с 51,8 млн. лв. (12,7 %)</w:t>
      </w:r>
      <w:r w:rsidRPr="00A25A63">
        <w:rPr>
          <w:lang w:val="ru-RU" w:eastAsia="bg-BG"/>
        </w:rPr>
        <w:t xml:space="preserve"> </w:t>
      </w:r>
      <w:r w:rsidRPr="00A25A63">
        <w:rPr>
          <w:lang w:eastAsia="bg-BG"/>
        </w:rPr>
        <w:t xml:space="preserve">повече приходи спрямо предходната година. Основно влияние върху тези приходи оказват резултатите от годишните данъчни декларации по чл. 50 от ЗДДФЛ (дължим данък за довнасяне или надвнесен данък) и дължимите авансови вноски. Положително влияние върху по-високото изпълнение на тази група данъчни приходи оказват постигнатите по-добри финансови резултати от ЕТ и упражняващите свободни професии през отчетния период. От друга страна, ползването на данъчните облекчения за деца и за деца с увреждания в увеличен размер при подаването на годишната данъчна декларация за 2021 г., намаляват тези приходи.  </w:t>
      </w:r>
    </w:p>
    <w:p w14:paraId="41E98DCD" w14:textId="77777777" w:rsidR="00A25A63" w:rsidRPr="00A25A63" w:rsidRDefault="00A25A63" w:rsidP="00A25A63">
      <w:pPr>
        <w:spacing w:after="120"/>
        <w:jc w:val="both"/>
        <w:rPr>
          <w:color w:val="0070C0"/>
          <w:lang w:eastAsia="bg-BG"/>
        </w:rPr>
      </w:pPr>
      <w:r w:rsidRPr="00A25A63">
        <w:rPr>
          <w:i/>
          <w:lang w:eastAsia="bg-BG"/>
        </w:rPr>
        <w:t xml:space="preserve">Окончателен данък на местните и чуждестранни физически лица по чл. 37 и 38 от ЗДДФЛ </w:t>
      </w:r>
      <w:r w:rsidRPr="00A25A63">
        <w:rPr>
          <w:lang w:eastAsia="bg-BG"/>
        </w:rPr>
        <w:t xml:space="preserve">и </w:t>
      </w:r>
      <w:r w:rsidRPr="00A25A63">
        <w:rPr>
          <w:i/>
          <w:lang w:eastAsia="bg-BG"/>
        </w:rPr>
        <w:t>данък върху дивидентите и ликвидационните дялове на физически лица</w:t>
      </w:r>
      <w:r w:rsidRPr="00A25A63">
        <w:rPr>
          <w:lang w:eastAsia="bg-BG"/>
        </w:rPr>
        <w:t xml:space="preserve"> - постъпленията от тези данъци са в размер на 499,1 млн. лв., 97,6 % от годишния разчет. За отчетния период са постъпили с 24,6</w:t>
      </w:r>
      <w:r w:rsidRPr="00A25A63">
        <w:rPr>
          <w:lang w:val="ru-RU" w:eastAsia="bg-BG"/>
        </w:rPr>
        <w:t xml:space="preserve"> </w:t>
      </w:r>
      <w:r w:rsidRPr="00A25A63">
        <w:rPr>
          <w:lang w:eastAsia="bg-BG"/>
        </w:rPr>
        <w:t xml:space="preserve">млн. лв. повече (5,2 %) спрямо 2021 година. Влияние за по-високото изпълнение на приходите от данък върху дивидентите и ликвидационните дялове на местни и чуждестранни физически и юридически лица има и предприетата комуникационна кампания и контролни действия от НАП през 2021 г. за проверка на касови наличности. Кампанията е насочена приоритетно към лица, за които има информация за висока касова наличност (над 100 хил. лв.) и при които има риск от наличие на сделки, сключени при условия, водещи до отклонение от данъчно облагане, вкл. от наличието на скрито разпределение на печалбата по смисъла на § 1, т. 5 от ДР на ЗКПО. Скритото разпределение на печалбата се третира като дивидент, за който се внася 5 % данък върху разпределените суми. </w:t>
      </w:r>
    </w:p>
    <w:p w14:paraId="37F1C205" w14:textId="77777777" w:rsidR="00A25A63" w:rsidRPr="00A25A63" w:rsidRDefault="00A25A63" w:rsidP="00A25A63">
      <w:pPr>
        <w:spacing w:after="120"/>
        <w:jc w:val="both"/>
        <w:rPr>
          <w:lang w:eastAsia="bg-BG"/>
        </w:rPr>
      </w:pPr>
      <w:r w:rsidRPr="00A25A63">
        <w:rPr>
          <w:lang w:eastAsia="bg-BG"/>
        </w:rPr>
        <w:t xml:space="preserve">Постъпленията от </w:t>
      </w:r>
      <w:r w:rsidRPr="00A25A63">
        <w:rPr>
          <w:i/>
          <w:lang w:eastAsia="bg-BG"/>
        </w:rPr>
        <w:t xml:space="preserve">окончателния данък върху доходите от лихви по банкови сметки на местните физически лица </w:t>
      </w:r>
      <w:r w:rsidRPr="00A25A63">
        <w:rPr>
          <w:lang w:eastAsia="bg-BG"/>
        </w:rPr>
        <w:t xml:space="preserve">са в размер на 1,5 млн. лв., което е 91,9 % от годишния разчет. Съгласно приетите изменения в Закона за данъците върху доходите на физическите лица облагането с данък на лихвите по банкови сметки се отменя, считано от 01.04.2022 година. Основната причина за това е продължаващото намаляване на лихвите по влоговете в банките и клоновете на банки през последните години, в резултат на което намаляха значително и приходите от този данък. От друга страна, администрирането на данъка създава административна тежест за банковите институции, задължени да го удържат и внасят, както и за физическите лица, когато са задължени сами да внесат данъка, която тежест е непропорционална на ефекта от този данък за бюджета.    </w:t>
      </w:r>
    </w:p>
    <w:p w14:paraId="50AD1DC5" w14:textId="77777777" w:rsidR="00A25A63" w:rsidRPr="00A25A63" w:rsidRDefault="00A25A63" w:rsidP="00A25A63">
      <w:pPr>
        <w:numPr>
          <w:ilvl w:val="0"/>
          <w:numId w:val="4"/>
        </w:numPr>
        <w:tabs>
          <w:tab w:val="clear" w:pos="1440"/>
          <w:tab w:val="num" w:pos="540"/>
        </w:tabs>
        <w:ind w:left="0" w:firstLine="180"/>
        <w:jc w:val="both"/>
        <w:rPr>
          <w:b/>
          <w:bCs/>
          <w:lang w:eastAsia="bg-BG"/>
        </w:rPr>
      </w:pPr>
      <w:r w:rsidRPr="00A25A63">
        <w:rPr>
          <w:b/>
          <w:bCs/>
          <w:lang w:eastAsia="bg-BG"/>
        </w:rPr>
        <w:t>Косвени данъци</w:t>
      </w:r>
    </w:p>
    <w:p w14:paraId="1C5BF43F" w14:textId="77777777" w:rsidR="00A25A63" w:rsidRPr="00A25A63" w:rsidRDefault="00A25A63" w:rsidP="00A25A63">
      <w:pPr>
        <w:jc w:val="both"/>
        <w:rPr>
          <w:b/>
          <w:bCs/>
          <w:color w:val="0070C0"/>
          <w:sz w:val="4"/>
          <w:szCs w:val="4"/>
          <w:lang w:eastAsia="bg-BG"/>
        </w:rPr>
      </w:pPr>
    </w:p>
    <w:p w14:paraId="0EB5DB06" w14:textId="77777777" w:rsidR="00A25A63" w:rsidRPr="00A25A63" w:rsidRDefault="00A25A63" w:rsidP="00A25A63">
      <w:pPr>
        <w:spacing w:after="120"/>
        <w:jc w:val="both"/>
        <w:rPr>
          <w:lang w:eastAsia="bg-BG"/>
        </w:rPr>
      </w:pPr>
      <w:r w:rsidRPr="00A25A63">
        <w:rPr>
          <w:lang w:eastAsia="bg-BG"/>
        </w:rPr>
        <w:t xml:space="preserve">Приходите от </w:t>
      </w:r>
      <w:r w:rsidRPr="00A25A63">
        <w:rPr>
          <w:b/>
          <w:lang w:eastAsia="bg-BG"/>
        </w:rPr>
        <w:t>косвени данъци</w:t>
      </w:r>
      <w:r w:rsidRPr="00A25A63">
        <w:rPr>
          <w:lang w:eastAsia="bg-BG"/>
        </w:rPr>
        <w:t xml:space="preserve"> </w:t>
      </w:r>
      <w:r w:rsidRPr="00A25A63">
        <w:rPr>
          <w:bCs/>
          <w:lang w:eastAsia="bg-BG"/>
        </w:rPr>
        <w:t>за 2022</w:t>
      </w:r>
      <w:r w:rsidRPr="00A25A63">
        <w:rPr>
          <w:lang w:eastAsia="bg-BG"/>
        </w:rPr>
        <w:t xml:space="preserve"> г. са в размер на </w:t>
      </w:r>
      <w:r w:rsidRPr="00A25A63">
        <w:rPr>
          <w:b/>
          <w:lang w:eastAsia="bg-BG"/>
        </w:rPr>
        <w:t>21 541,5 млн. лв</w:t>
      </w:r>
      <w:r w:rsidRPr="00A25A63">
        <w:rPr>
          <w:lang w:eastAsia="bg-BG"/>
        </w:rPr>
        <w:t>. или 96,7 % от годишния разчет</w:t>
      </w:r>
      <w:r w:rsidRPr="00A25A63">
        <w:rPr>
          <w:lang w:val="ru-RU" w:eastAsia="bg-BG"/>
        </w:rPr>
        <w:t>.</w:t>
      </w:r>
      <w:r w:rsidRPr="00A25A63">
        <w:rPr>
          <w:lang w:eastAsia="bg-BG"/>
        </w:rPr>
        <w:t xml:space="preserve"> </w:t>
      </w:r>
    </w:p>
    <w:p w14:paraId="71A02941" w14:textId="77777777" w:rsidR="00A25A63" w:rsidRPr="00A25A63" w:rsidRDefault="00A25A63" w:rsidP="00A25A63">
      <w:pPr>
        <w:spacing w:after="120"/>
        <w:jc w:val="both"/>
        <w:rPr>
          <w:color w:val="0070C0"/>
          <w:lang w:eastAsia="bg-BG"/>
        </w:rPr>
      </w:pPr>
      <w:r w:rsidRPr="00A25A63">
        <w:rPr>
          <w:b/>
          <w:lang w:eastAsia="bg-BG"/>
        </w:rPr>
        <w:t>Приходите от ДДС</w:t>
      </w:r>
      <w:r w:rsidRPr="00A25A63">
        <w:rPr>
          <w:lang w:eastAsia="bg-BG"/>
        </w:rPr>
        <w:t xml:space="preserve"> са в размер на </w:t>
      </w:r>
      <w:r w:rsidRPr="00A25A63">
        <w:rPr>
          <w:b/>
          <w:lang w:eastAsia="bg-BG"/>
        </w:rPr>
        <w:t>15 331,3</w:t>
      </w:r>
      <w:r w:rsidRPr="00A25A63">
        <w:rPr>
          <w:lang w:eastAsia="bg-BG"/>
        </w:rPr>
        <w:t xml:space="preserve"> </w:t>
      </w:r>
      <w:r w:rsidRPr="00A25A63">
        <w:rPr>
          <w:b/>
          <w:lang w:eastAsia="bg-BG"/>
        </w:rPr>
        <w:t xml:space="preserve">млн. лв., </w:t>
      </w:r>
      <w:r w:rsidRPr="00A25A63">
        <w:rPr>
          <w:lang w:eastAsia="bg-BG"/>
        </w:rPr>
        <w:t>което представлява 95,7 % от планираните със ЗДБРБ за 2022 година.</w:t>
      </w:r>
      <w:r w:rsidRPr="00A25A63">
        <w:rPr>
          <w:b/>
          <w:lang w:eastAsia="bg-BG"/>
        </w:rPr>
        <w:t xml:space="preserve"> </w:t>
      </w:r>
      <w:r w:rsidRPr="00A25A63">
        <w:rPr>
          <w:lang w:eastAsia="bg-BG"/>
        </w:rPr>
        <w:t xml:space="preserve">Съпоставени с 2021 г., приходите от ДДС се увеличават с 2 352,8 млн. лв. (18,1 %), в резултат на постепенното възстановяване на потреблението, ръста в цените на стоките, ръста на вноса и предприетите мерки от приходните агенции за подобряване на митническия и данъчен контрол. </w:t>
      </w:r>
    </w:p>
    <w:p w14:paraId="285B85AC" w14:textId="19148478" w:rsidR="00A25A63" w:rsidRPr="00A25A63" w:rsidRDefault="00A25A63" w:rsidP="00A25A63">
      <w:pPr>
        <w:spacing w:before="120"/>
        <w:jc w:val="both"/>
        <w:rPr>
          <w:color w:val="0070C0"/>
          <w:lang w:eastAsia="bg-BG"/>
        </w:rPr>
      </w:pPr>
      <w:r w:rsidRPr="00A25A63">
        <w:rPr>
          <w:lang w:eastAsia="bg-BG"/>
        </w:rPr>
        <w:t xml:space="preserve">Нетният размер на приходите от </w:t>
      </w:r>
      <w:r w:rsidRPr="00A25A63">
        <w:rPr>
          <w:i/>
          <w:lang w:eastAsia="bg-BG"/>
        </w:rPr>
        <w:t>ДДС от внос</w:t>
      </w:r>
      <w:r w:rsidRPr="00A25A63">
        <w:rPr>
          <w:lang w:eastAsia="bg-BG"/>
        </w:rPr>
        <w:t xml:space="preserve"> </w:t>
      </w:r>
      <w:r w:rsidRPr="00A25A63">
        <w:rPr>
          <w:bCs/>
          <w:lang w:eastAsia="bg-BG"/>
        </w:rPr>
        <w:t>за 2022</w:t>
      </w:r>
      <w:r w:rsidRPr="00A25A63">
        <w:rPr>
          <w:lang w:eastAsia="bg-BG"/>
        </w:rPr>
        <w:t xml:space="preserve"> г. е 7 233,8 млн. лв., като нараства с 2 684,2 млн. лв. (59,0 %) в сравнение с 2021 г. Това е исторически най-високият ръст, отчетен </w:t>
      </w:r>
      <w:r w:rsidRPr="00A25A63">
        <w:rPr>
          <w:lang w:eastAsia="bg-BG"/>
        </w:rPr>
        <w:lastRenderedPageBreak/>
        <w:t xml:space="preserve">след влизането на България в Европейския съюз. Регистрираното повишение е резултат от възстановяването на бизнес активността, нарастването на цените на основни суровини, повишението на количествата на стоките, внасяни от трети страни, повишаването на събираемостта, подобрения митнически контрол и надзор, прецизирането на контрола върху елементите за облагане, като тарифно класиране, държава на произход, митническа стойност, както и акцент на контрола върху </w:t>
      </w:r>
      <w:proofErr w:type="spellStart"/>
      <w:r w:rsidRPr="00A25A63">
        <w:rPr>
          <w:lang w:eastAsia="bg-BG"/>
        </w:rPr>
        <w:t>приходоопределящи</w:t>
      </w:r>
      <w:proofErr w:type="spellEnd"/>
      <w:r w:rsidRPr="00A25A63">
        <w:rPr>
          <w:lang w:eastAsia="bg-BG"/>
        </w:rPr>
        <w:t xml:space="preserve"> икономически оператори и стоките с най-голям фискален ефект. Влияние върху динамиката на приходите от ДДС при внос през отчетния период оказват и средните борсови цени (в долари) на суровините, които формират основна част от вноса от трети страни. Влияние върху постъпленията от ДДС от внос оказва и възможността </w:t>
      </w:r>
      <w:r w:rsidRPr="00A25A63">
        <w:rPr>
          <w:iCs/>
          <w:lang w:eastAsia="bg-BG"/>
        </w:rPr>
        <w:t>за отложено начисляване на ДДС от вносител при внос на стоки от трети страни, в съответствие с разпоредбата на чл. 167а от Закона за данък върху добавената стойност.</w:t>
      </w:r>
      <w:r w:rsidRPr="00A25A63">
        <w:rPr>
          <w:bCs/>
          <w:lang w:eastAsia="bg-BG"/>
        </w:rPr>
        <w:t xml:space="preserve"> </w:t>
      </w:r>
      <w:r w:rsidRPr="00A25A63">
        <w:rPr>
          <w:lang w:eastAsia="bg-BG"/>
        </w:rPr>
        <w:t xml:space="preserve">Ефектът от прилагането на този режим през 2022 г. е </w:t>
      </w:r>
      <w:proofErr w:type="spellStart"/>
      <w:r w:rsidRPr="00A25A63">
        <w:rPr>
          <w:lang w:eastAsia="bg-BG"/>
        </w:rPr>
        <w:t>неначислен</w:t>
      </w:r>
      <w:proofErr w:type="spellEnd"/>
      <w:r w:rsidRPr="00A25A63">
        <w:rPr>
          <w:lang w:eastAsia="bg-BG"/>
        </w:rPr>
        <w:t xml:space="preserve"> ДДС при внос в размер на </w:t>
      </w:r>
      <w:r w:rsidR="00C76B82">
        <w:rPr>
          <w:lang w:eastAsia="bg-BG"/>
        </w:rPr>
        <w:t xml:space="preserve">      </w:t>
      </w:r>
      <w:r w:rsidRPr="00A25A63">
        <w:rPr>
          <w:lang w:eastAsia="bg-BG"/>
        </w:rPr>
        <w:t>1 672,5 млн. лева, което е с 400,3 млн. лв. повече спрямо 2021 г. като се регистрира ръст от 31,5</w:t>
      </w:r>
      <w:r w:rsidR="00C76B82">
        <w:rPr>
          <w:lang w:eastAsia="bg-BG"/>
        </w:rPr>
        <w:t> </w:t>
      </w:r>
      <w:r w:rsidRPr="00A25A63">
        <w:rPr>
          <w:lang w:eastAsia="bg-BG"/>
        </w:rPr>
        <w:t xml:space="preserve">%. </w:t>
      </w:r>
      <w:r w:rsidRPr="00A25A63">
        <w:rPr>
          <w:bCs/>
          <w:lang w:eastAsia="bg-BG"/>
        </w:rPr>
        <w:t xml:space="preserve">С най-значителен дял според размера на </w:t>
      </w:r>
      <w:proofErr w:type="spellStart"/>
      <w:r w:rsidRPr="00A25A63">
        <w:rPr>
          <w:bCs/>
          <w:lang w:eastAsia="bg-BG"/>
        </w:rPr>
        <w:t>неначисления</w:t>
      </w:r>
      <w:proofErr w:type="spellEnd"/>
      <w:r w:rsidRPr="00A25A63">
        <w:rPr>
          <w:bCs/>
          <w:lang w:eastAsia="bg-BG"/>
        </w:rPr>
        <w:t xml:space="preserve"> ДДС при внос през 2022 г. се открояват руди, шлаки и </w:t>
      </w:r>
      <w:proofErr w:type="spellStart"/>
      <w:r w:rsidRPr="00A25A63">
        <w:rPr>
          <w:bCs/>
          <w:lang w:eastAsia="bg-BG"/>
        </w:rPr>
        <w:t>пепели</w:t>
      </w:r>
      <w:proofErr w:type="spellEnd"/>
      <w:r w:rsidRPr="00A25A63">
        <w:rPr>
          <w:bCs/>
          <w:lang w:eastAsia="bg-BG"/>
        </w:rPr>
        <w:t xml:space="preserve"> – 934,5 млн. лв. (увеличение със 155,3 млн. лв., 19,9 %), мед и изделия от мед – 253,0 млн. лв. (увеличение с 66,3 млн. лв., 35,5 %) и чугун, желязо и стомана – 204,4 млн. лв. (увеличение с 62,2 млн. лв., 43,7 %).</w:t>
      </w:r>
      <w:r w:rsidR="00E66853">
        <w:rPr>
          <w:bCs/>
          <w:lang w:eastAsia="bg-BG"/>
        </w:rPr>
        <w:t xml:space="preserve"> </w:t>
      </w:r>
      <w:r w:rsidR="00C76B82">
        <w:rPr>
          <w:bCs/>
          <w:lang w:eastAsia="bg-BG"/>
        </w:rPr>
        <w:t>Ръст</w:t>
      </w:r>
      <w:r w:rsidR="00E66853">
        <w:rPr>
          <w:bCs/>
          <w:lang w:eastAsia="bg-BG"/>
        </w:rPr>
        <w:t xml:space="preserve"> на </w:t>
      </w:r>
      <w:r w:rsidRPr="00A25A63">
        <w:rPr>
          <w:lang w:eastAsia="bg-BG"/>
        </w:rPr>
        <w:t>декларирания ДДС при внос</w:t>
      </w:r>
      <w:r w:rsidR="00E66853">
        <w:rPr>
          <w:lang w:eastAsia="bg-BG"/>
        </w:rPr>
        <w:t xml:space="preserve"> </w:t>
      </w:r>
      <w:r w:rsidR="00C76B82">
        <w:rPr>
          <w:lang w:eastAsia="bg-BG"/>
        </w:rPr>
        <w:t xml:space="preserve">през 2022 г. спрямо 2021 г. се наблюдава при всички групи стоки, </w:t>
      </w:r>
      <w:r w:rsidRPr="00A25A63">
        <w:rPr>
          <w:lang w:eastAsia="bg-BG"/>
        </w:rPr>
        <w:t>съобразно Класификатор</w:t>
      </w:r>
      <w:r w:rsidR="00C76B82">
        <w:t>а на широките икономически категории (BEC),</w:t>
      </w:r>
      <w:r w:rsidRPr="00A25A63">
        <w:rPr>
          <w:lang w:eastAsia="bg-BG"/>
        </w:rPr>
        <w:t xml:space="preserve"> </w:t>
      </w:r>
      <w:r w:rsidR="00E66853">
        <w:t xml:space="preserve">като най-голямо е увеличението при </w:t>
      </w:r>
      <w:r w:rsidR="00C76B82">
        <w:t xml:space="preserve">група </w:t>
      </w:r>
      <w:r w:rsidR="00E66853">
        <w:t>„Храни и напитки“(134,7 %)</w:t>
      </w:r>
      <w:r w:rsidRPr="00A25A63">
        <w:rPr>
          <w:lang w:eastAsia="bg-BG"/>
        </w:rPr>
        <w:t>. Запазва се тенденцията за ръст на цените на стоките внесени от трети страни, като е отчетено годишно повишение с 31,7 % спрямо 2021 година.</w:t>
      </w:r>
    </w:p>
    <w:p w14:paraId="5A23D00E" w14:textId="77777777" w:rsidR="00A25A63" w:rsidRPr="00A25A63" w:rsidRDefault="00A25A63" w:rsidP="00A25A63">
      <w:pPr>
        <w:spacing w:before="120" w:after="120"/>
        <w:jc w:val="both"/>
        <w:rPr>
          <w:b/>
          <w:color w:val="0070C0"/>
          <w:lang w:eastAsia="bg-BG"/>
        </w:rPr>
      </w:pPr>
      <w:r w:rsidRPr="00A25A63">
        <w:rPr>
          <w:lang w:eastAsia="bg-BG"/>
        </w:rPr>
        <w:t>Постъпленията от</w:t>
      </w:r>
      <w:r w:rsidRPr="00A25A63">
        <w:rPr>
          <w:i/>
          <w:lang w:eastAsia="bg-BG"/>
        </w:rPr>
        <w:t xml:space="preserve"> ДДС при сделки в страната (нето)</w:t>
      </w:r>
      <w:r w:rsidRPr="00A25A63">
        <w:rPr>
          <w:lang w:eastAsia="bg-BG"/>
        </w:rPr>
        <w:t xml:space="preserve"> </w:t>
      </w:r>
      <w:r w:rsidRPr="00A25A63">
        <w:rPr>
          <w:bCs/>
          <w:lang w:eastAsia="bg-BG"/>
        </w:rPr>
        <w:t>за 2022</w:t>
      </w:r>
      <w:r w:rsidRPr="00A25A63">
        <w:rPr>
          <w:lang w:eastAsia="bg-BG"/>
        </w:rPr>
        <w:t xml:space="preserve"> г. възлизат на 8 097,6 млн. лв. или спад от 3,9 % спрямо предходната година. Основната причина за забавянето при този данък е значителният ръст на възстановения ДДС, вкл. и поради ръста на износа. </w:t>
      </w:r>
      <w:r w:rsidRPr="00A25A63">
        <w:rPr>
          <w:bCs/>
          <w:lang w:eastAsia="bg-BG"/>
        </w:rPr>
        <w:t xml:space="preserve">Невъзстановеният </w:t>
      </w:r>
      <w:r w:rsidRPr="00A25A63">
        <w:rPr>
          <w:lang w:eastAsia="bg-BG"/>
        </w:rPr>
        <w:t xml:space="preserve">данъчен кредит </w:t>
      </w:r>
      <w:r w:rsidRPr="00A25A63">
        <w:rPr>
          <w:bCs/>
          <w:lang w:eastAsia="bg-BG"/>
        </w:rPr>
        <w:t xml:space="preserve">към 31.12.2022 г. е в размер на 104,5 млн. лева. </w:t>
      </w:r>
    </w:p>
    <w:p w14:paraId="2AF1883F" w14:textId="77777777" w:rsidR="00A25A63" w:rsidRPr="00A25A63" w:rsidRDefault="00A25A63" w:rsidP="00A25A63">
      <w:pPr>
        <w:spacing w:after="120"/>
        <w:jc w:val="both"/>
        <w:rPr>
          <w:lang w:eastAsia="bg-BG"/>
        </w:rPr>
      </w:pPr>
      <w:r w:rsidRPr="00A25A63">
        <w:rPr>
          <w:b/>
          <w:lang w:eastAsia="bg-BG"/>
        </w:rPr>
        <w:t xml:space="preserve">Приходите от акцизи (нето) </w:t>
      </w:r>
      <w:r w:rsidRPr="00A25A63">
        <w:rPr>
          <w:lang w:eastAsia="bg-BG"/>
        </w:rPr>
        <w:t xml:space="preserve">от внос, вътрешно производство и въведени в страната от други държави-членки на ЕС акцизни стоки са в размер на </w:t>
      </w:r>
      <w:r w:rsidRPr="00A25A63">
        <w:rPr>
          <w:b/>
          <w:lang w:eastAsia="bg-BG"/>
        </w:rPr>
        <w:t>5 706,9 млн. лв</w:t>
      </w:r>
      <w:r w:rsidRPr="00A25A63">
        <w:rPr>
          <w:lang w:eastAsia="bg-BG"/>
        </w:rPr>
        <w:t>., което е 98,1 % от планираните със ЗДБРБ за 2022 г. Основна причина за неизпълнението на плана при акцизите е отлагането на предвиденото за 2022 г. увеличение на акцизните ставки на тютюневите изделия, което ще влезе в сила от 01.03.2023 година. Съпоставени с предходната година приходите от акцизи нарастват номинално с 47,1 млн. лв. (0,8 %).</w:t>
      </w:r>
    </w:p>
    <w:p w14:paraId="0F04A697" w14:textId="77777777" w:rsidR="00A25A63" w:rsidRPr="00A25A63" w:rsidRDefault="00A25A63" w:rsidP="00A25A63">
      <w:pPr>
        <w:spacing w:after="120"/>
        <w:jc w:val="both"/>
        <w:rPr>
          <w:color w:val="0070C0"/>
          <w:lang w:eastAsia="bg-BG"/>
        </w:rPr>
      </w:pPr>
      <w:r w:rsidRPr="00A25A63">
        <w:rPr>
          <w:iCs/>
          <w:lang w:eastAsia="bg-BG"/>
        </w:rPr>
        <w:t xml:space="preserve">Във връзка с прилагането на схема за държавна помощ „Помощ под формата на отстъпка от стойността на акциза върху газьола, използван в първичното селскостопанско производство“ през 2022 г., на Министерство на земеделието е преведена сума в размер на </w:t>
      </w:r>
      <w:r w:rsidRPr="00A25A63">
        <w:rPr>
          <w:b/>
          <w:iCs/>
          <w:lang w:eastAsia="bg-BG"/>
        </w:rPr>
        <w:t>100 млн. лв.</w:t>
      </w:r>
      <w:r w:rsidRPr="00A25A63">
        <w:rPr>
          <w:iCs/>
          <w:lang w:eastAsia="bg-BG"/>
        </w:rPr>
        <w:t xml:space="preserve">, равна на </w:t>
      </w:r>
      <w:r w:rsidRPr="00A25A63">
        <w:rPr>
          <w:lang w:eastAsia="bg-BG"/>
        </w:rPr>
        <w:t>сумата</w:t>
      </w:r>
      <w:r w:rsidRPr="00A25A63">
        <w:rPr>
          <w:iCs/>
          <w:lang w:eastAsia="bg-BG"/>
        </w:rPr>
        <w:t xml:space="preserve"> от 2021 година.</w:t>
      </w:r>
    </w:p>
    <w:p w14:paraId="4077B031" w14:textId="77777777" w:rsidR="00A25A63" w:rsidRPr="00A25A63" w:rsidRDefault="00A25A63" w:rsidP="00A25A63">
      <w:pPr>
        <w:spacing w:before="120" w:after="120"/>
        <w:jc w:val="both"/>
        <w:rPr>
          <w:color w:val="0070C0"/>
          <w:lang w:eastAsia="bg-BG"/>
        </w:rPr>
      </w:pPr>
      <w:r w:rsidRPr="00A25A63">
        <w:rPr>
          <w:lang w:eastAsia="bg-BG"/>
        </w:rPr>
        <w:t>Нетните постъпления от акциз са от следните основни стокови групи: тютюн и тютюневи изделия (51,4 % от общите постъпления на акциз); горива (42,3 %); алкохол и алкохолни напитки, вкл. бира (5,6 %) и други акцизни стоки (0,7 %). Постъпленията от акциз за 2022 г. по основни стокови групи, са както следва:</w:t>
      </w:r>
    </w:p>
    <w:p w14:paraId="4AAF30A0" w14:textId="77777777" w:rsidR="00A25A63" w:rsidRPr="00A25A63" w:rsidRDefault="00A25A63" w:rsidP="00A25A63">
      <w:pPr>
        <w:numPr>
          <w:ilvl w:val="0"/>
          <w:numId w:val="16"/>
        </w:numPr>
        <w:ind w:firstLine="66"/>
        <w:jc w:val="both"/>
        <w:rPr>
          <w:i/>
          <w:lang w:eastAsia="bg-BG"/>
        </w:rPr>
      </w:pPr>
      <w:r w:rsidRPr="00A25A63">
        <w:rPr>
          <w:i/>
          <w:lang w:eastAsia="bg-BG"/>
        </w:rPr>
        <w:t xml:space="preserve">акцизите от тютюн и тютюневи изделия възлизат на </w:t>
      </w:r>
      <w:r w:rsidRPr="00A25A63">
        <w:rPr>
          <w:lang w:eastAsia="bg-BG"/>
        </w:rPr>
        <w:t>2 931,0 млн. лева</w:t>
      </w:r>
      <w:r w:rsidRPr="00A25A63">
        <w:rPr>
          <w:i/>
          <w:lang w:eastAsia="bg-BG"/>
        </w:rPr>
        <w:t xml:space="preserve">; </w:t>
      </w:r>
    </w:p>
    <w:p w14:paraId="3DE94863" w14:textId="77777777" w:rsidR="00A25A63" w:rsidRPr="00A25A63" w:rsidRDefault="00A25A63" w:rsidP="00A25A63">
      <w:pPr>
        <w:numPr>
          <w:ilvl w:val="0"/>
          <w:numId w:val="16"/>
        </w:numPr>
        <w:ind w:firstLine="66"/>
        <w:jc w:val="both"/>
        <w:rPr>
          <w:i/>
          <w:lang w:eastAsia="bg-BG"/>
        </w:rPr>
      </w:pPr>
      <w:r w:rsidRPr="00A25A63">
        <w:rPr>
          <w:i/>
          <w:lang w:eastAsia="bg-BG"/>
        </w:rPr>
        <w:t xml:space="preserve">акцизите от горива са в размер на </w:t>
      </w:r>
      <w:r w:rsidRPr="00A25A63">
        <w:rPr>
          <w:lang w:eastAsia="bg-BG"/>
        </w:rPr>
        <w:t>2 414,2 млн. лева</w:t>
      </w:r>
      <w:r w:rsidRPr="00A25A63">
        <w:rPr>
          <w:i/>
          <w:lang w:eastAsia="bg-BG"/>
        </w:rPr>
        <w:t xml:space="preserve">; </w:t>
      </w:r>
    </w:p>
    <w:p w14:paraId="398AC4C6" w14:textId="77777777" w:rsidR="00A25A63" w:rsidRPr="00A25A63" w:rsidRDefault="00A25A63" w:rsidP="00A25A63">
      <w:pPr>
        <w:numPr>
          <w:ilvl w:val="0"/>
          <w:numId w:val="16"/>
        </w:numPr>
        <w:ind w:firstLine="66"/>
        <w:jc w:val="both"/>
        <w:rPr>
          <w:i/>
          <w:lang w:eastAsia="bg-BG"/>
        </w:rPr>
      </w:pPr>
      <w:r w:rsidRPr="00A25A63">
        <w:rPr>
          <w:i/>
          <w:lang w:eastAsia="bg-BG"/>
        </w:rPr>
        <w:t xml:space="preserve">акцизите от алкохол и алкохолни напитки (вкл. бира) </w:t>
      </w:r>
      <w:r w:rsidRPr="00A25A63">
        <w:rPr>
          <w:lang w:eastAsia="bg-BG"/>
        </w:rPr>
        <w:t>възлизат на 320,1 млн. лева;</w:t>
      </w:r>
      <w:r w:rsidRPr="00A25A63">
        <w:rPr>
          <w:i/>
          <w:lang w:eastAsia="bg-BG"/>
        </w:rPr>
        <w:t xml:space="preserve"> </w:t>
      </w:r>
    </w:p>
    <w:p w14:paraId="1BABAC5C" w14:textId="77777777" w:rsidR="00A25A63" w:rsidRPr="00A25A63" w:rsidRDefault="00A25A63" w:rsidP="00A25A63">
      <w:pPr>
        <w:numPr>
          <w:ilvl w:val="0"/>
          <w:numId w:val="16"/>
        </w:numPr>
        <w:ind w:firstLine="66"/>
        <w:jc w:val="both"/>
        <w:rPr>
          <w:lang w:eastAsia="bg-BG"/>
        </w:rPr>
      </w:pPr>
      <w:r w:rsidRPr="00A25A63">
        <w:rPr>
          <w:i/>
          <w:lang w:eastAsia="bg-BG"/>
        </w:rPr>
        <w:t xml:space="preserve">приходите от други акцизни стоки </w:t>
      </w:r>
      <w:r w:rsidRPr="00A25A63">
        <w:rPr>
          <w:lang w:eastAsia="bg-BG"/>
        </w:rPr>
        <w:t>възлизат на 41,6 млн. лева.</w:t>
      </w:r>
    </w:p>
    <w:p w14:paraId="24000364" w14:textId="77777777" w:rsidR="00A25A63" w:rsidRPr="00A25A63" w:rsidRDefault="00A25A63" w:rsidP="00A25A63">
      <w:pPr>
        <w:ind w:left="360"/>
        <w:jc w:val="both"/>
        <w:rPr>
          <w:color w:val="0070C0"/>
          <w:sz w:val="8"/>
          <w:szCs w:val="8"/>
          <w:lang w:eastAsia="bg-BG"/>
        </w:rPr>
      </w:pPr>
    </w:p>
    <w:p w14:paraId="2F8ECF1F" w14:textId="77777777" w:rsidR="00A25A63" w:rsidRPr="00A25A63" w:rsidRDefault="00A25A63" w:rsidP="00A25A63">
      <w:pPr>
        <w:ind w:left="360"/>
        <w:jc w:val="both"/>
        <w:rPr>
          <w:color w:val="0070C0"/>
          <w:sz w:val="8"/>
          <w:szCs w:val="8"/>
          <w:lang w:eastAsia="bg-BG"/>
        </w:rPr>
      </w:pPr>
    </w:p>
    <w:p w14:paraId="14ACB028" w14:textId="77777777" w:rsidR="00A25A63" w:rsidRPr="00A25A63" w:rsidRDefault="00A25A63" w:rsidP="00A25A63">
      <w:pPr>
        <w:ind w:left="360"/>
        <w:jc w:val="both"/>
        <w:rPr>
          <w:color w:val="0070C0"/>
          <w:sz w:val="8"/>
          <w:szCs w:val="8"/>
          <w:lang w:eastAsia="bg-BG"/>
        </w:rPr>
      </w:pPr>
    </w:p>
    <w:p w14:paraId="3FEEA47B" w14:textId="77777777" w:rsidR="00A25A63" w:rsidRPr="00A25A63" w:rsidRDefault="00A25A63" w:rsidP="00A25A63">
      <w:pPr>
        <w:spacing w:after="120"/>
        <w:jc w:val="both"/>
        <w:rPr>
          <w:lang w:eastAsia="bg-BG"/>
        </w:rPr>
      </w:pPr>
      <w:r w:rsidRPr="00A25A63">
        <w:rPr>
          <w:b/>
          <w:lang w:eastAsia="bg-BG"/>
        </w:rPr>
        <w:t>Приходите от данък върху застрахователните премии</w:t>
      </w:r>
      <w:r w:rsidRPr="00A25A63">
        <w:rPr>
          <w:lang w:eastAsia="bg-BG"/>
        </w:rPr>
        <w:t xml:space="preserve"> са в размер на </w:t>
      </w:r>
      <w:r w:rsidRPr="00A25A63">
        <w:rPr>
          <w:b/>
          <w:lang w:eastAsia="bg-BG"/>
        </w:rPr>
        <w:t>52,2 млн. лв</w:t>
      </w:r>
      <w:r w:rsidRPr="00A25A63">
        <w:rPr>
          <w:lang w:eastAsia="bg-BG"/>
        </w:rPr>
        <w:t xml:space="preserve">., при планирани за годината 55,1 млн. лева. </w:t>
      </w:r>
    </w:p>
    <w:p w14:paraId="4128D422" w14:textId="77777777" w:rsidR="00A25A63" w:rsidRPr="00A25A63" w:rsidRDefault="00A25A63" w:rsidP="00A25A63">
      <w:pPr>
        <w:tabs>
          <w:tab w:val="right" w:pos="9072"/>
        </w:tabs>
        <w:ind w:right="-2"/>
        <w:jc w:val="both"/>
        <w:rPr>
          <w:color w:val="0070C0"/>
          <w:lang w:eastAsia="bg-BG"/>
        </w:rPr>
      </w:pPr>
      <w:r w:rsidRPr="00A25A63">
        <w:rPr>
          <w:b/>
          <w:lang w:eastAsia="bg-BG"/>
        </w:rPr>
        <w:t>Постъпленията от</w:t>
      </w:r>
      <w:r w:rsidRPr="00A25A63">
        <w:rPr>
          <w:lang w:eastAsia="bg-BG"/>
        </w:rPr>
        <w:t xml:space="preserve"> </w:t>
      </w:r>
      <w:r w:rsidRPr="00A25A63">
        <w:rPr>
          <w:b/>
          <w:bCs/>
          <w:lang w:eastAsia="bg-BG"/>
        </w:rPr>
        <w:t xml:space="preserve">мита </w:t>
      </w:r>
      <w:r w:rsidRPr="00A25A63">
        <w:rPr>
          <w:lang w:eastAsia="bg-BG"/>
        </w:rPr>
        <w:t xml:space="preserve">възлизат на </w:t>
      </w:r>
      <w:r w:rsidRPr="00A25A63">
        <w:rPr>
          <w:b/>
          <w:lang w:eastAsia="bg-BG"/>
        </w:rPr>
        <w:t>451,2 млн. лв</w:t>
      </w:r>
      <w:r w:rsidRPr="00A25A63">
        <w:rPr>
          <w:lang w:eastAsia="bg-BG"/>
        </w:rPr>
        <w:t xml:space="preserve">. или 118,7 % спрямо планираните със ЗДБРБ за 2022 г., като заемат 1,4 % относителен дял в общия размер на данъчните приходи по държавния бюджет. В сравнение с предходната година събраните мита са със 161,5 млн. лв. (55,7 %) повече. </w:t>
      </w:r>
    </w:p>
    <w:p w14:paraId="565EE0D6" w14:textId="77777777" w:rsidR="00A25A63" w:rsidRPr="00A25A63" w:rsidRDefault="00A25A63" w:rsidP="00A25A63">
      <w:pPr>
        <w:tabs>
          <w:tab w:val="left" w:pos="0"/>
        </w:tabs>
        <w:spacing w:before="120"/>
        <w:jc w:val="both"/>
        <w:rPr>
          <w:lang w:eastAsia="bg-BG"/>
        </w:rPr>
      </w:pPr>
      <w:r w:rsidRPr="00A25A63">
        <w:rPr>
          <w:lang w:eastAsia="bg-BG"/>
        </w:rPr>
        <w:lastRenderedPageBreak/>
        <w:t>Основните фактори, които</w:t>
      </w:r>
      <w:r w:rsidRPr="00A25A63">
        <w:rPr>
          <w:lang w:val="ru-RU" w:eastAsia="bg-BG"/>
        </w:rPr>
        <w:t xml:space="preserve"> </w:t>
      </w:r>
      <w:r w:rsidRPr="00A25A63">
        <w:rPr>
          <w:lang w:eastAsia="bg-BG"/>
        </w:rPr>
        <w:t xml:space="preserve">оказват влияние на приходите от </w:t>
      </w:r>
      <w:r w:rsidRPr="00A25A63">
        <w:rPr>
          <w:b/>
          <w:i/>
          <w:lang w:eastAsia="bg-BG"/>
        </w:rPr>
        <w:t>мита и митнически такси</w:t>
      </w:r>
      <w:r w:rsidRPr="00A25A63">
        <w:rPr>
          <w:lang w:eastAsia="bg-BG"/>
        </w:rPr>
        <w:t xml:space="preserve"> са следните:</w:t>
      </w:r>
    </w:p>
    <w:p w14:paraId="10E44C55" w14:textId="77777777" w:rsidR="00A25A63" w:rsidRPr="00A25A63" w:rsidRDefault="00A25A63" w:rsidP="00A25A63">
      <w:pPr>
        <w:numPr>
          <w:ilvl w:val="0"/>
          <w:numId w:val="23"/>
        </w:numPr>
        <w:tabs>
          <w:tab w:val="left" w:pos="0"/>
        </w:tabs>
        <w:ind w:left="851" w:hanging="284"/>
        <w:jc w:val="both"/>
        <w:rPr>
          <w:lang w:eastAsia="bg-BG"/>
        </w:rPr>
      </w:pPr>
      <w:r w:rsidRPr="00A25A63">
        <w:rPr>
          <w:lang w:eastAsia="bg-BG"/>
        </w:rPr>
        <w:t>динамика в цените на енергийни и неенергийни суровини;</w:t>
      </w:r>
    </w:p>
    <w:p w14:paraId="21512382" w14:textId="77777777" w:rsidR="00A25A63" w:rsidRPr="00A25A63" w:rsidRDefault="00A25A63" w:rsidP="00A25A63">
      <w:pPr>
        <w:numPr>
          <w:ilvl w:val="0"/>
          <w:numId w:val="23"/>
        </w:numPr>
        <w:tabs>
          <w:tab w:val="left" w:pos="0"/>
        </w:tabs>
        <w:ind w:left="851" w:hanging="284"/>
        <w:jc w:val="both"/>
        <w:rPr>
          <w:lang w:eastAsia="bg-BG"/>
        </w:rPr>
      </w:pPr>
      <w:r w:rsidRPr="00A25A63">
        <w:rPr>
          <w:lang w:eastAsia="bg-BG"/>
        </w:rPr>
        <w:t>реален растеж на световната и европейска икономика;</w:t>
      </w:r>
    </w:p>
    <w:p w14:paraId="40CC08C5" w14:textId="77777777" w:rsidR="00A25A63" w:rsidRPr="00A25A63" w:rsidRDefault="00A25A63" w:rsidP="00A25A63">
      <w:pPr>
        <w:numPr>
          <w:ilvl w:val="0"/>
          <w:numId w:val="23"/>
        </w:numPr>
        <w:tabs>
          <w:tab w:val="left" w:pos="0"/>
        </w:tabs>
        <w:ind w:left="851" w:hanging="284"/>
        <w:jc w:val="both"/>
        <w:rPr>
          <w:lang w:eastAsia="bg-BG"/>
        </w:rPr>
      </w:pPr>
      <w:r w:rsidRPr="00A25A63">
        <w:rPr>
          <w:lang w:eastAsia="bg-BG"/>
        </w:rPr>
        <w:t>подобряване на ефективността на митническия контрол, чрез извършване на проверки, изготвяне на указания, усъвършенстване на информационните системи за анализ на риска;</w:t>
      </w:r>
    </w:p>
    <w:p w14:paraId="6E793F89" w14:textId="77777777" w:rsidR="00A25A63" w:rsidRPr="00A25A63" w:rsidRDefault="00A25A63" w:rsidP="00A25A63">
      <w:pPr>
        <w:numPr>
          <w:ilvl w:val="0"/>
          <w:numId w:val="23"/>
        </w:numPr>
        <w:tabs>
          <w:tab w:val="left" w:pos="0"/>
        </w:tabs>
        <w:ind w:left="851" w:hanging="284"/>
        <w:jc w:val="both"/>
        <w:rPr>
          <w:lang w:eastAsia="bg-BG"/>
        </w:rPr>
      </w:pPr>
      <w:r w:rsidRPr="00A25A63">
        <w:rPr>
          <w:lang w:eastAsia="bg-BG"/>
        </w:rPr>
        <w:t>синхронизиране на законодателството, процедурите и инструментите за митнически контрол на ЕС, с цел правилното определяне и събиране на  публичните вземания от компетентността на митническата администрация.</w:t>
      </w:r>
    </w:p>
    <w:p w14:paraId="3C876008" w14:textId="77777777" w:rsidR="00A25A63" w:rsidRPr="00A25A63" w:rsidRDefault="00A25A63" w:rsidP="00A25A63">
      <w:pPr>
        <w:tabs>
          <w:tab w:val="right" w:pos="9072"/>
        </w:tabs>
        <w:spacing w:before="120"/>
        <w:jc w:val="both"/>
        <w:rPr>
          <w:color w:val="0070C0"/>
          <w:lang w:eastAsia="bg-BG"/>
        </w:rPr>
      </w:pPr>
      <w:r w:rsidRPr="00A25A63">
        <w:rPr>
          <w:lang w:eastAsia="bg-BG"/>
        </w:rPr>
        <w:t>По-високи постъпления от мита</w:t>
      </w:r>
      <w:r w:rsidRPr="00A25A63">
        <w:rPr>
          <w:b/>
          <w:i/>
          <w:lang w:eastAsia="bg-BG"/>
        </w:rPr>
        <w:t xml:space="preserve"> </w:t>
      </w:r>
      <w:r w:rsidRPr="00A25A63">
        <w:rPr>
          <w:lang w:eastAsia="bg-BG"/>
        </w:rPr>
        <w:t>за 2022 г. се отчитат при следните групи стоки: „Торове“ – събрани са повече с 24,1 млн. лв. (183,8 %)</w:t>
      </w:r>
      <w:r w:rsidRPr="00A25A63">
        <w:rPr>
          <w:lang w:val="ru-RU" w:eastAsia="bg-BG"/>
        </w:rPr>
        <w:t xml:space="preserve">; </w:t>
      </w:r>
      <w:r w:rsidRPr="00A25A63">
        <w:rPr>
          <w:lang w:eastAsia="bg-BG"/>
        </w:rPr>
        <w:t xml:space="preserve">„Чугун, желязо и стомана“ – </w:t>
      </w:r>
      <w:r w:rsidRPr="00A25A63">
        <w:rPr>
          <w:lang w:val="ru-RU" w:eastAsia="bg-BG"/>
        </w:rPr>
        <w:t>събрани са с 17,6 млн. лв.</w:t>
      </w:r>
      <w:r w:rsidRPr="00A25A63">
        <w:rPr>
          <w:lang w:eastAsia="bg-BG"/>
        </w:rPr>
        <w:t xml:space="preserve"> (</w:t>
      </w:r>
      <w:r w:rsidRPr="00A25A63">
        <w:rPr>
          <w:lang w:val="ru-RU" w:eastAsia="bg-BG"/>
        </w:rPr>
        <w:t>63</w:t>
      </w:r>
      <w:r w:rsidRPr="00A25A63">
        <w:rPr>
          <w:lang w:eastAsia="bg-BG"/>
        </w:rPr>
        <w:t>,7 %) повече спрямо 2021 г.; „Алуминий и изделия от алуминий</w:t>
      </w:r>
      <w:r w:rsidRPr="00A25A63">
        <w:rPr>
          <w:lang w:val="ru-RU" w:eastAsia="bg-BG"/>
        </w:rPr>
        <w:t>”</w:t>
      </w:r>
      <w:r w:rsidRPr="00A25A63">
        <w:rPr>
          <w:lang w:eastAsia="bg-BG"/>
        </w:rPr>
        <w:t> - увеличение в размер на 13,7 млн. лв. (88,9 %) спрямо постъпленията за 2021 г.</w:t>
      </w:r>
      <w:r w:rsidRPr="00A25A63">
        <w:rPr>
          <w:lang w:val="ru-RU" w:eastAsia="bg-BG"/>
        </w:rPr>
        <w:t>;</w:t>
      </w:r>
      <w:r w:rsidRPr="00A25A63">
        <w:rPr>
          <w:lang w:eastAsia="bg-BG"/>
        </w:rPr>
        <w:t xml:space="preserve"> „</w:t>
      </w:r>
      <w:proofErr w:type="spellStart"/>
      <w:r w:rsidRPr="00A25A63">
        <w:rPr>
          <w:lang w:eastAsia="bg-BG"/>
        </w:rPr>
        <w:t>Aвтомобилни</w:t>
      </w:r>
      <w:proofErr w:type="spellEnd"/>
      <w:r w:rsidRPr="00A25A63">
        <w:rPr>
          <w:lang w:eastAsia="bg-BG"/>
        </w:rPr>
        <w:t xml:space="preserve"> превозни средства, трактори, мотоциклети и велосипеди и други сухопътни превозни средства, техните части и принадлежности </w:t>
      </w:r>
      <w:r w:rsidRPr="00A25A63">
        <w:rPr>
          <w:lang w:val="ru-RU" w:eastAsia="bg-BG"/>
        </w:rPr>
        <w:t>”</w:t>
      </w:r>
      <w:r w:rsidRPr="00A25A63">
        <w:rPr>
          <w:lang w:eastAsia="bg-BG"/>
        </w:rPr>
        <w:t> - увеличение в размер на 9,4 млн. лв. (32,4 %) спрямо постъпленията за 2021 г.</w:t>
      </w:r>
      <w:r w:rsidRPr="00A25A63">
        <w:rPr>
          <w:lang w:val="ru-RU" w:eastAsia="bg-BG"/>
        </w:rPr>
        <w:t>;</w:t>
      </w:r>
      <w:r w:rsidRPr="00A25A63">
        <w:rPr>
          <w:lang w:eastAsia="bg-BG"/>
        </w:rPr>
        <w:t xml:space="preserve"> „Пластмаси и пластмасови изделия“ – приходите нарастват с 9,0</w:t>
      </w:r>
      <w:r w:rsidRPr="00A25A63">
        <w:rPr>
          <w:lang w:val="en-US" w:eastAsia="bg-BG"/>
        </w:rPr>
        <w:t> </w:t>
      </w:r>
      <w:r w:rsidRPr="00A25A63">
        <w:rPr>
          <w:lang w:eastAsia="bg-BG"/>
        </w:rPr>
        <w:t>млн. лв. (</w:t>
      </w:r>
      <w:r w:rsidRPr="00A25A63">
        <w:rPr>
          <w:lang w:val="ru-RU" w:eastAsia="bg-BG"/>
        </w:rPr>
        <w:t>32,1 </w:t>
      </w:r>
      <w:r w:rsidRPr="00A25A63">
        <w:rPr>
          <w:lang w:eastAsia="bg-BG"/>
        </w:rPr>
        <w:t>%) спрямо тези за 2021 г. В зависимост от произхода на внасяните стоки през 2022 г., най-голям е делът на приходите от мита при внос на стоки от Китай. Декларираната сума е 221,9 млн. лева, което представлява 49,4 % от всички мита. За отчетния период приходите от мита за стоки, внесени от Китай, бележат ръст от 66,6 % спрямо 2021 година. На второ място са приходите от мита при внос на стоки с произход Русия – 51,9 млн. лева, 11,6 % дял и ръст от 75,8 %. Следват приходите от мита за стоки, внесени от Турция (30,2 млн. лева приходи, 6,7 % относителен дял и ръст от 128,7 %), САЩ (12,4 млн. лева приходи, 2,8 % относителен дял и ръст от 12,2 %) и Индия (11,2 млн. лева, 2,5 % дял и ръст от 15,1 %)</w:t>
      </w:r>
      <w:r w:rsidRPr="00A25A63">
        <w:rPr>
          <w:color w:val="0070C0"/>
          <w:lang w:eastAsia="bg-BG"/>
        </w:rPr>
        <w:t>.</w:t>
      </w:r>
    </w:p>
    <w:p w14:paraId="307BF716" w14:textId="77777777" w:rsidR="00A25A63" w:rsidRPr="00A25A63" w:rsidRDefault="00A25A63" w:rsidP="00A25A63">
      <w:pPr>
        <w:numPr>
          <w:ilvl w:val="0"/>
          <w:numId w:val="4"/>
        </w:numPr>
        <w:tabs>
          <w:tab w:val="clear" w:pos="1440"/>
          <w:tab w:val="num" w:pos="540"/>
        </w:tabs>
        <w:spacing w:before="240"/>
        <w:ind w:left="0" w:firstLine="181"/>
        <w:jc w:val="both"/>
        <w:rPr>
          <w:b/>
          <w:bCs/>
          <w:lang w:eastAsia="bg-BG"/>
        </w:rPr>
      </w:pPr>
      <w:r w:rsidRPr="00A25A63">
        <w:rPr>
          <w:b/>
          <w:bCs/>
          <w:lang w:eastAsia="bg-BG"/>
        </w:rPr>
        <w:t>Други данъци</w:t>
      </w:r>
    </w:p>
    <w:p w14:paraId="1EC2DB37" w14:textId="4D08DA88" w:rsidR="00A25A63" w:rsidRPr="00A25A63" w:rsidRDefault="00A25A63" w:rsidP="00A25A63">
      <w:pPr>
        <w:spacing w:before="120"/>
        <w:jc w:val="both"/>
        <w:rPr>
          <w:lang w:eastAsia="bg-BG"/>
        </w:rPr>
      </w:pPr>
      <w:r w:rsidRPr="00A25A63">
        <w:rPr>
          <w:lang w:eastAsia="bg-BG"/>
        </w:rPr>
        <w:t>Постъпленията от други данъци по държавния бюджет за 2022 г. са в размер на 226,7 млн. лв. (вкл. 72,0 млн. лв. авансова вноска от „Лукойл България“)  или 151,1 % спрямо планираните със ЗДБРБ за 2022 година. При елиминиране на авансовата вноска (която не е разчетена в бюджета за 2022 г.) приходите в групата са в размер на 154,7 млн. лв., което представлява 103,1</w:t>
      </w:r>
      <w:r w:rsidR="001B3EC4">
        <w:rPr>
          <w:lang w:eastAsia="bg-BG"/>
        </w:rPr>
        <w:t> </w:t>
      </w:r>
      <w:r w:rsidRPr="00A25A63">
        <w:rPr>
          <w:lang w:eastAsia="bg-BG"/>
        </w:rPr>
        <w:t>% спрямо планираните в ЗДБРБ за 2022 г.</w:t>
      </w:r>
    </w:p>
    <w:p w14:paraId="346086C0" w14:textId="77777777" w:rsidR="00A25A63" w:rsidRPr="00A25A63" w:rsidRDefault="00A25A63" w:rsidP="00A25A63">
      <w:pPr>
        <w:numPr>
          <w:ilvl w:val="0"/>
          <w:numId w:val="3"/>
        </w:numPr>
        <w:tabs>
          <w:tab w:val="num" w:pos="720"/>
        </w:tabs>
        <w:spacing w:before="120"/>
        <w:ind w:left="0" w:firstLine="181"/>
        <w:jc w:val="both"/>
        <w:rPr>
          <w:lang w:eastAsia="bg-BG"/>
        </w:rPr>
      </w:pPr>
      <w:r w:rsidRPr="00A25A63">
        <w:rPr>
          <w:b/>
          <w:bCs/>
          <w:lang w:eastAsia="bg-BG"/>
        </w:rPr>
        <w:t>Неданъчни приходи</w:t>
      </w:r>
    </w:p>
    <w:p w14:paraId="761E4F4F" w14:textId="05CC92B5" w:rsidR="00A25A63" w:rsidRPr="00A25A63" w:rsidRDefault="00A25A63" w:rsidP="00A25A63">
      <w:pPr>
        <w:tabs>
          <w:tab w:val="left" w:pos="900"/>
        </w:tabs>
        <w:spacing w:after="120"/>
        <w:jc w:val="both"/>
        <w:rPr>
          <w:lang w:eastAsia="bg-BG"/>
        </w:rPr>
      </w:pPr>
      <w:r w:rsidRPr="00A25A63">
        <w:rPr>
          <w:lang w:eastAsia="bg-BG"/>
        </w:rPr>
        <w:t>Отчетените</w:t>
      </w:r>
      <w:r w:rsidRPr="00A25A63">
        <w:rPr>
          <w:b/>
          <w:bCs/>
          <w:lang w:eastAsia="bg-BG"/>
        </w:rPr>
        <w:t xml:space="preserve"> неданъчни приходи</w:t>
      </w:r>
      <w:r w:rsidRPr="00A25A63">
        <w:rPr>
          <w:lang w:eastAsia="bg-BG"/>
        </w:rPr>
        <w:t xml:space="preserve"> по държавния бюджет </w:t>
      </w:r>
      <w:r w:rsidRPr="00A25A63">
        <w:rPr>
          <w:bCs/>
          <w:lang w:eastAsia="bg-BG"/>
        </w:rPr>
        <w:t>за 2022</w:t>
      </w:r>
      <w:r w:rsidRPr="00A25A63">
        <w:rPr>
          <w:lang w:eastAsia="bg-BG"/>
        </w:rPr>
        <w:t xml:space="preserve"> г. са в размер на </w:t>
      </w:r>
      <w:r w:rsidRPr="00A25A63">
        <w:rPr>
          <w:b/>
          <w:lang w:eastAsia="bg-BG"/>
        </w:rPr>
        <w:t>3 260,5 млн. лв</w:t>
      </w:r>
      <w:r w:rsidRPr="00A25A63">
        <w:rPr>
          <w:lang w:eastAsia="bg-BG"/>
        </w:rPr>
        <w:t xml:space="preserve">. и се формират основно от приходи от държавни такси, приходи и доходи от собственост, приходи от концесии и други. Следва да се има предвид, че през </w:t>
      </w:r>
      <w:r w:rsidR="00D60877">
        <w:rPr>
          <w:lang w:eastAsia="bg-BG"/>
        </w:rPr>
        <w:t>2022 г.</w:t>
      </w:r>
      <w:r w:rsidRPr="00A25A63">
        <w:rPr>
          <w:lang w:eastAsia="bg-BG"/>
        </w:rPr>
        <w:t xml:space="preserve"> отчисленията от АЕЦ „Козлодуй“ за двата фонда – Фонд „Радиоактивни </w:t>
      </w:r>
      <w:r w:rsidR="00347E97" w:rsidRPr="00A25A63">
        <w:rPr>
          <w:lang w:eastAsia="bg-BG"/>
        </w:rPr>
        <w:t>отпадъци</w:t>
      </w:r>
      <w:r w:rsidRPr="00A25A63">
        <w:rPr>
          <w:lang w:eastAsia="bg-BG"/>
        </w:rPr>
        <w:t xml:space="preserve">“ и Фонд „Извеждане от експлоатация на ядрени съоръжения“ значително надвишават разчета за годината и са  </w:t>
      </w:r>
      <w:r w:rsidRPr="00A25A63">
        <w:rPr>
          <w:rFonts w:eastAsiaTheme="minorHAnsi"/>
          <w:szCs w:val="23"/>
        </w:rPr>
        <w:t xml:space="preserve">с </w:t>
      </w:r>
      <w:r w:rsidRPr="00966A3F">
        <w:rPr>
          <w:rFonts w:eastAsiaTheme="minorHAnsi"/>
          <w:szCs w:val="23"/>
          <w:lang w:val="ru-RU"/>
        </w:rPr>
        <w:t>511</w:t>
      </w:r>
      <w:r w:rsidRPr="00A25A63">
        <w:rPr>
          <w:rFonts w:eastAsiaTheme="minorHAnsi"/>
          <w:szCs w:val="23"/>
        </w:rPr>
        <w:t>,6 млн. лв. по-високи от планираните. Това се дължи основно на високите цени на електроенергията на свободния пазар</w:t>
      </w:r>
      <w:r w:rsidRPr="00A25A63">
        <w:rPr>
          <w:lang w:eastAsia="bg-BG"/>
        </w:rPr>
        <w:t>.</w:t>
      </w:r>
    </w:p>
    <w:p w14:paraId="03D5888F" w14:textId="77777777" w:rsidR="00A25A63" w:rsidRPr="00A25A63" w:rsidRDefault="00A25A63" w:rsidP="00A25A63">
      <w:pPr>
        <w:numPr>
          <w:ilvl w:val="0"/>
          <w:numId w:val="3"/>
        </w:numPr>
        <w:tabs>
          <w:tab w:val="num" w:pos="720"/>
        </w:tabs>
        <w:ind w:left="0" w:firstLine="181"/>
        <w:jc w:val="both"/>
        <w:rPr>
          <w:b/>
          <w:bCs/>
          <w:lang w:eastAsia="bg-BG"/>
        </w:rPr>
      </w:pPr>
      <w:r w:rsidRPr="00A25A63">
        <w:rPr>
          <w:b/>
          <w:bCs/>
          <w:lang w:eastAsia="bg-BG"/>
        </w:rPr>
        <w:t>Помощи и дарения</w:t>
      </w:r>
    </w:p>
    <w:p w14:paraId="31E476FE" w14:textId="03868421" w:rsidR="00A25A63" w:rsidRPr="00A25A63" w:rsidRDefault="00A25A63" w:rsidP="00A25A63">
      <w:pPr>
        <w:spacing w:after="120"/>
        <w:jc w:val="both"/>
        <w:rPr>
          <w:b/>
          <w:lang w:eastAsia="bg-BG"/>
        </w:rPr>
      </w:pPr>
      <w:r w:rsidRPr="00A25A63">
        <w:rPr>
          <w:lang w:eastAsia="bg-BG"/>
        </w:rPr>
        <w:t xml:space="preserve">Постъпилите </w:t>
      </w:r>
      <w:r w:rsidRPr="00A25A63">
        <w:rPr>
          <w:b/>
          <w:lang w:eastAsia="bg-BG"/>
        </w:rPr>
        <w:t>помощи</w:t>
      </w:r>
      <w:r w:rsidRPr="00A25A63">
        <w:rPr>
          <w:lang w:eastAsia="bg-BG"/>
        </w:rPr>
        <w:t xml:space="preserve"> </w:t>
      </w:r>
      <w:r w:rsidRPr="00A25A63">
        <w:rPr>
          <w:b/>
          <w:lang w:eastAsia="bg-BG"/>
        </w:rPr>
        <w:t>и дарения</w:t>
      </w:r>
      <w:r w:rsidRPr="00A25A63">
        <w:rPr>
          <w:lang w:eastAsia="bg-BG"/>
        </w:rPr>
        <w:t xml:space="preserve"> по държавния бюджет за 2022 г. са в размер на </w:t>
      </w:r>
      <w:r w:rsidR="005B4291">
        <w:rPr>
          <w:b/>
          <w:lang w:eastAsia="bg-BG"/>
        </w:rPr>
        <w:t>5</w:t>
      </w:r>
      <w:r w:rsidR="00D74C6F">
        <w:rPr>
          <w:b/>
          <w:lang w:eastAsia="bg-BG"/>
        </w:rPr>
        <w:t>,</w:t>
      </w:r>
      <w:r w:rsidR="005B4291">
        <w:rPr>
          <w:b/>
          <w:lang w:eastAsia="bg-BG"/>
        </w:rPr>
        <w:t>5</w:t>
      </w:r>
      <w:r w:rsidRPr="00A25A63">
        <w:rPr>
          <w:b/>
          <w:lang w:eastAsia="bg-BG"/>
        </w:rPr>
        <w:t> млн. лева.</w:t>
      </w:r>
    </w:p>
    <w:p w14:paraId="24B5CC16" w14:textId="77777777" w:rsidR="00A25A63" w:rsidRPr="00A25A63" w:rsidRDefault="00A25A63" w:rsidP="00A25A63">
      <w:pPr>
        <w:numPr>
          <w:ilvl w:val="0"/>
          <w:numId w:val="6"/>
        </w:numPr>
        <w:tabs>
          <w:tab w:val="clear" w:pos="7650"/>
          <w:tab w:val="num" w:pos="426"/>
          <w:tab w:val="num" w:pos="786"/>
        </w:tabs>
        <w:spacing w:before="240"/>
        <w:ind w:left="0" w:firstLine="0"/>
        <w:jc w:val="both"/>
        <w:rPr>
          <w:b/>
          <w:bCs/>
          <w:lang w:eastAsia="bg-BG"/>
        </w:rPr>
      </w:pPr>
      <w:r w:rsidRPr="00A25A63">
        <w:rPr>
          <w:b/>
          <w:bCs/>
          <w:lang w:eastAsia="bg-BG"/>
        </w:rPr>
        <w:t>Разходи по държавния бюджет</w:t>
      </w:r>
    </w:p>
    <w:p w14:paraId="6D632B5A" w14:textId="77777777" w:rsidR="00A25A63" w:rsidRPr="00A25A63" w:rsidRDefault="00A25A63" w:rsidP="00A25A63">
      <w:pPr>
        <w:jc w:val="both"/>
        <w:rPr>
          <w:b/>
          <w:bCs/>
          <w:color w:val="0070C0"/>
          <w:sz w:val="4"/>
          <w:szCs w:val="4"/>
          <w:lang w:eastAsia="bg-BG"/>
        </w:rPr>
      </w:pPr>
    </w:p>
    <w:p w14:paraId="108300DA" w14:textId="77777777" w:rsidR="00A25A63" w:rsidRPr="00A25A63" w:rsidRDefault="00A25A63" w:rsidP="00A25A63">
      <w:pPr>
        <w:jc w:val="both"/>
      </w:pPr>
      <w:r w:rsidRPr="00A25A63">
        <w:t xml:space="preserve">Общият размер на </w:t>
      </w:r>
      <w:r w:rsidRPr="00A25A63">
        <w:rPr>
          <w:b/>
        </w:rPr>
        <w:t>разходите по държавния бюджет</w:t>
      </w:r>
      <w:r w:rsidRPr="00A25A63">
        <w:t xml:space="preserve"> (вкл. трансферите за др. бюджети и вноската в бюджета на ЕС) </w:t>
      </w:r>
      <w:r w:rsidRPr="00A25A63">
        <w:rPr>
          <w:bCs/>
        </w:rPr>
        <w:t>за 2022</w:t>
      </w:r>
      <w:r w:rsidRPr="00A25A63">
        <w:t xml:space="preserve"> г. е </w:t>
      </w:r>
      <w:r w:rsidRPr="00A25A63">
        <w:rPr>
          <w:b/>
        </w:rPr>
        <w:t>40 609,1 млн. лв</w:t>
      </w:r>
      <w:r w:rsidRPr="00A25A63">
        <w:t>. или 97,3 % от предвидените със ЗДБРБ за 2022 година.</w:t>
      </w:r>
    </w:p>
    <w:p w14:paraId="0CC46711" w14:textId="57ABE489" w:rsidR="00A25A63" w:rsidRDefault="00A25A63" w:rsidP="00A25A63">
      <w:pPr>
        <w:jc w:val="both"/>
        <w:rPr>
          <w:color w:val="0070C0"/>
        </w:rPr>
      </w:pPr>
    </w:p>
    <w:p w14:paraId="786B3AED" w14:textId="249E24EF" w:rsidR="00D8028A" w:rsidRDefault="00D8028A" w:rsidP="00A25A63">
      <w:pPr>
        <w:jc w:val="both"/>
        <w:rPr>
          <w:color w:val="0070C0"/>
        </w:rPr>
      </w:pPr>
    </w:p>
    <w:p w14:paraId="61FB9FCB" w14:textId="31F2AB60" w:rsidR="00D8028A" w:rsidRDefault="00D8028A" w:rsidP="00A25A63">
      <w:pPr>
        <w:jc w:val="both"/>
        <w:rPr>
          <w:color w:val="0070C0"/>
        </w:rPr>
      </w:pPr>
    </w:p>
    <w:p w14:paraId="45A55712" w14:textId="705F880F" w:rsidR="00D8028A" w:rsidRDefault="00D8028A" w:rsidP="00A25A63">
      <w:pPr>
        <w:jc w:val="both"/>
        <w:rPr>
          <w:color w:val="0070C0"/>
        </w:rPr>
      </w:pPr>
    </w:p>
    <w:p w14:paraId="1BF38CC1" w14:textId="77777777" w:rsidR="00D8028A" w:rsidRPr="00A25A63" w:rsidRDefault="00D8028A" w:rsidP="00A25A63">
      <w:pPr>
        <w:jc w:val="both"/>
        <w:rPr>
          <w:color w:val="0070C0"/>
        </w:rPr>
      </w:pPr>
    </w:p>
    <w:p w14:paraId="65B2AFAB" w14:textId="77777777" w:rsidR="00A25A63" w:rsidRPr="00A25A63" w:rsidRDefault="00A25A63" w:rsidP="00A25A63">
      <w:pPr>
        <w:jc w:val="both"/>
        <w:rPr>
          <w:color w:val="0070C0"/>
          <w:sz w:val="8"/>
          <w:lang w:val="ru-RU"/>
        </w:rPr>
      </w:pPr>
    </w:p>
    <w:p w14:paraId="130A31AE" w14:textId="77777777" w:rsidR="00A25A63" w:rsidRPr="00A25A63" w:rsidRDefault="00A25A63" w:rsidP="00A25A63">
      <w:pPr>
        <w:jc w:val="both"/>
        <w:rPr>
          <w:color w:val="0070C0"/>
          <w:sz w:val="8"/>
          <w:lang w:val="ru-RU"/>
        </w:rPr>
      </w:pPr>
    </w:p>
    <w:p w14:paraId="09208BAC" w14:textId="77777777" w:rsidR="00A25A63" w:rsidRPr="00A25A63" w:rsidRDefault="00A25A63" w:rsidP="00A25A63">
      <w:pPr>
        <w:jc w:val="center"/>
        <w:rPr>
          <w:b/>
          <w:color w:val="0070C0"/>
          <w:sz w:val="4"/>
          <w:szCs w:val="4"/>
          <w:u w:val="single"/>
        </w:rPr>
      </w:pPr>
    </w:p>
    <w:p w14:paraId="409B0673" w14:textId="77777777" w:rsidR="00A25A63" w:rsidRPr="00A25A63" w:rsidRDefault="00A25A63" w:rsidP="00A25A63">
      <w:pPr>
        <w:jc w:val="center"/>
        <w:rPr>
          <w:b/>
          <w:u w:val="single"/>
        </w:rPr>
      </w:pPr>
      <w:r w:rsidRPr="00A25A63">
        <w:rPr>
          <w:b/>
          <w:u w:val="single"/>
        </w:rPr>
        <w:lastRenderedPageBreak/>
        <w:t xml:space="preserve">Разходи, трансфери за други бюджети и вноска в бюджета на ЕС </w:t>
      </w:r>
    </w:p>
    <w:p w14:paraId="16532FC3" w14:textId="77777777" w:rsidR="00A25A63" w:rsidRPr="00A25A63" w:rsidRDefault="00A25A63" w:rsidP="00A25A63">
      <w:pPr>
        <w:jc w:val="center"/>
        <w:rPr>
          <w:b/>
          <w:u w:val="single"/>
        </w:rPr>
      </w:pPr>
      <w:r w:rsidRPr="00A25A63">
        <w:rPr>
          <w:b/>
          <w:u w:val="single"/>
        </w:rPr>
        <w:t>за 2021 г. и 2022 г.</w:t>
      </w:r>
    </w:p>
    <w:p w14:paraId="105C1858" w14:textId="77777777" w:rsidR="00A25A63" w:rsidRPr="00A25A63" w:rsidRDefault="00A25A63" w:rsidP="00A25A63">
      <w:pPr>
        <w:jc w:val="center"/>
        <w:rPr>
          <w:b/>
          <w:color w:val="0070C0"/>
          <w:u w:val="single"/>
        </w:rPr>
      </w:pPr>
    </w:p>
    <w:p w14:paraId="381EACE7" w14:textId="77777777" w:rsidR="00A25A63" w:rsidRPr="00A25A63" w:rsidRDefault="00A25A63" w:rsidP="00A25A63">
      <w:pPr>
        <w:jc w:val="center"/>
        <w:rPr>
          <w:b/>
          <w:color w:val="0070C0"/>
          <w:u w:val="single"/>
        </w:rPr>
      </w:pPr>
      <w:r w:rsidRPr="00A25A63">
        <w:rPr>
          <w:noProof/>
          <w:color w:val="0070C0"/>
          <w:lang w:eastAsia="bg-BG"/>
        </w:rPr>
        <w:drawing>
          <wp:inline distT="0" distB="0" distL="0" distR="0" wp14:anchorId="32AF7ED7" wp14:editId="11A1DE04">
            <wp:extent cx="5494020" cy="2926080"/>
            <wp:effectExtent l="0" t="0" r="11430" b="7620"/>
            <wp:docPr id="12" name="Objec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BDBF7F5" w14:textId="77777777" w:rsidR="00A25A63" w:rsidRPr="00A25A63" w:rsidRDefault="00A25A63" w:rsidP="00A25A63">
      <w:pPr>
        <w:jc w:val="center"/>
        <w:rPr>
          <w:b/>
          <w:color w:val="0070C0"/>
          <w:sz w:val="8"/>
          <w:szCs w:val="8"/>
          <w:u w:val="single"/>
        </w:rPr>
      </w:pPr>
    </w:p>
    <w:p w14:paraId="10C423E9" w14:textId="77777777" w:rsidR="00A25A63" w:rsidRPr="00A25A63" w:rsidRDefault="00A25A63" w:rsidP="00A25A63">
      <w:pPr>
        <w:ind w:firstLine="360"/>
        <w:rPr>
          <w:sz w:val="18"/>
          <w:szCs w:val="18"/>
          <w:lang w:eastAsia="bg-BG"/>
        </w:rPr>
      </w:pPr>
      <w:bookmarkStart w:id="72" w:name="_MON_1562146415"/>
      <w:bookmarkStart w:id="73" w:name="_MON_1562146493"/>
      <w:bookmarkStart w:id="74" w:name="_MON_1562146700"/>
      <w:bookmarkStart w:id="75" w:name="_MON_1562146782"/>
      <w:bookmarkStart w:id="76" w:name="_MON_1562146967"/>
      <w:bookmarkStart w:id="77" w:name="_MON_1562147372"/>
      <w:bookmarkStart w:id="78" w:name="_MON_1562147473"/>
      <w:bookmarkStart w:id="79" w:name="_MON_1562147677"/>
      <w:bookmarkStart w:id="80" w:name="_MON_1562147743"/>
      <w:bookmarkStart w:id="81" w:name="_MON_1562147867"/>
      <w:bookmarkStart w:id="82" w:name="_MON_1562147934"/>
      <w:bookmarkStart w:id="83" w:name="_MON_1562148056"/>
      <w:bookmarkStart w:id="84" w:name="_MON_1562148171"/>
      <w:bookmarkStart w:id="85" w:name="_MON_1562148229"/>
      <w:bookmarkStart w:id="86" w:name="_MON_1562148307"/>
      <w:bookmarkStart w:id="87" w:name="_MON_1562148447"/>
      <w:bookmarkStart w:id="88" w:name="_MON_1562148558"/>
      <w:bookmarkStart w:id="89" w:name="_MON_1562152805"/>
      <w:bookmarkStart w:id="90" w:name="_MON_1562152984"/>
      <w:bookmarkStart w:id="91" w:name="_MON_1562153459"/>
      <w:bookmarkStart w:id="92" w:name="_MON_1562153503"/>
      <w:bookmarkStart w:id="93" w:name="_MON_1562153559"/>
      <w:bookmarkStart w:id="94" w:name="_MON_1562153646"/>
      <w:bookmarkStart w:id="95" w:name="_MON_1562153939"/>
      <w:bookmarkStart w:id="96" w:name="_MON_1562154053"/>
      <w:bookmarkStart w:id="97" w:name="_MON_1562154282"/>
      <w:bookmarkStart w:id="98" w:name="_MON_1562146286"/>
      <w:bookmarkStart w:id="99" w:name="_MON_1562154881"/>
      <w:bookmarkStart w:id="100" w:name="_MON_1562154973"/>
      <w:bookmarkStart w:id="101" w:name="_MON_1562155194"/>
      <w:bookmarkStart w:id="102" w:name="_MON_1562155231"/>
      <w:bookmarkStart w:id="103" w:name="_MON_1562155321"/>
      <w:bookmarkStart w:id="104" w:name="_MON_1562155390"/>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Pr="00A25A63">
        <w:rPr>
          <w:sz w:val="18"/>
          <w:szCs w:val="18"/>
          <w:lang w:eastAsia="bg-BG"/>
        </w:rPr>
        <w:t>*</w:t>
      </w:r>
      <w:r w:rsidRPr="00A25A63">
        <w:rPr>
          <w:lang w:eastAsia="bg-BG"/>
        </w:rPr>
        <w:t xml:space="preserve"> </w:t>
      </w:r>
      <w:r w:rsidRPr="00A25A63">
        <w:rPr>
          <w:sz w:val="18"/>
          <w:szCs w:val="18"/>
          <w:lang w:eastAsia="bg-BG"/>
        </w:rPr>
        <w:t>Вкл. нетния прираст на държавния резерв</w:t>
      </w:r>
    </w:p>
    <w:p w14:paraId="4FA25412" w14:textId="77777777" w:rsidR="00A25A63" w:rsidRPr="00A25A63" w:rsidRDefault="00A25A63" w:rsidP="00A25A63">
      <w:pPr>
        <w:numPr>
          <w:ilvl w:val="0"/>
          <w:numId w:val="17"/>
        </w:numPr>
        <w:spacing w:before="120"/>
        <w:jc w:val="both"/>
        <w:rPr>
          <w:b/>
          <w:bCs/>
        </w:rPr>
      </w:pPr>
      <w:r w:rsidRPr="00A25A63">
        <w:rPr>
          <w:b/>
          <w:bCs/>
        </w:rPr>
        <w:t>Нелихвени разходи</w:t>
      </w:r>
    </w:p>
    <w:p w14:paraId="218019BF" w14:textId="77777777" w:rsidR="00A25A63" w:rsidRPr="00A25A63" w:rsidRDefault="00A25A63" w:rsidP="00A25A63">
      <w:pPr>
        <w:spacing w:before="120"/>
        <w:jc w:val="both"/>
        <w:rPr>
          <w:bCs/>
          <w:lang w:eastAsia="bg-BG"/>
        </w:rPr>
      </w:pPr>
      <w:r w:rsidRPr="00A25A63">
        <w:rPr>
          <w:b/>
          <w:bCs/>
          <w:lang w:eastAsia="bg-BG"/>
        </w:rPr>
        <w:t>Нелихвените разходи</w:t>
      </w:r>
      <w:r w:rsidRPr="00A25A63">
        <w:rPr>
          <w:bCs/>
          <w:lang w:eastAsia="bg-BG"/>
        </w:rPr>
        <w:t xml:space="preserve"> по държавния бюджет (без трансферите за др. бюджети) за 2022</w:t>
      </w:r>
      <w:r w:rsidRPr="00A25A63">
        <w:rPr>
          <w:lang w:val="en-US" w:eastAsia="bg-BG"/>
        </w:rPr>
        <w:t> </w:t>
      </w:r>
      <w:r w:rsidRPr="00A25A63">
        <w:rPr>
          <w:lang w:eastAsia="bg-BG"/>
        </w:rPr>
        <w:t xml:space="preserve">г. </w:t>
      </w:r>
      <w:r w:rsidRPr="00A25A63">
        <w:rPr>
          <w:bCs/>
          <w:lang w:eastAsia="bg-BG"/>
        </w:rPr>
        <w:t xml:space="preserve">са в размер на </w:t>
      </w:r>
      <w:r w:rsidRPr="00A25A63">
        <w:rPr>
          <w:b/>
          <w:bCs/>
          <w:lang w:eastAsia="bg-BG"/>
        </w:rPr>
        <w:t>17 841,2 млн. лв</w:t>
      </w:r>
      <w:r w:rsidRPr="00A25A63">
        <w:rPr>
          <w:bCs/>
          <w:lang w:eastAsia="bg-BG"/>
        </w:rPr>
        <w:t>. Съпоставени с данните за 2021 г., нелихвените разходи нарастват с 3 417,0</w:t>
      </w:r>
      <w:r w:rsidRPr="00A25A63">
        <w:rPr>
          <w:bCs/>
          <w:lang w:val="ru-RU" w:eastAsia="bg-BG"/>
        </w:rPr>
        <w:t xml:space="preserve"> </w:t>
      </w:r>
      <w:r w:rsidRPr="00A25A63">
        <w:rPr>
          <w:bCs/>
          <w:lang w:eastAsia="bg-BG"/>
        </w:rPr>
        <w:t>млн. лв. (23,7 %)</w:t>
      </w:r>
      <w:r w:rsidRPr="00A25A63">
        <w:rPr>
          <w:rFonts w:eastAsiaTheme="minorHAnsi"/>
          <w:bCs/>
          <w:szCs w:val="22"/>
        </w:rPr>
        <w:t>.</w:t>
      </w:r>
    </w:p>
    <w:p w14:paraId="4A687ABE" w14:textId="7D12A2D0" w:rsidR="00A25A63" w:rsidRPr="00A25A63" w:rsidRDefault="00A25A63" w:rsidP="00A25A63">
      <w:pPr>
        <w:spacing w:before="120" w:after="120"/>
        <w:jc w:val="both"/>
        <w:rPr>
          <w:bCs/>
          <w:lang w:eastAsia="bg-BG"/>
        </w:rPr>
      </w:pPr>
      <w:r w:rsidRPr="00A25A63">
        <w:rPr>
          <w:bCs/>
          <w:lang w:eastAsia="bg-BG"/>
        </w:rPr>
        <w:t xml:space="preserve">Разходите за персонал (заплати и </w:t>
      </w:r>
      <w:r w:rsidRPr="00A25A63">
        <w:rPr>
          <w:bCs/>
          <w:noProof/>
          <w:lang w:eastAsia="bg-BG"/>
        </w:rPr>
        <w:t>възнаграждения</w:t>
      </w:r>
      <w:r w:rsidRPr="00A25A63">
        <w:rPr>
          <w:bCs/>
          <w:lang w:eastAsia="bg-BG"/>
        </w:rPr>
        <w:t>, други възнаграждения и плащания за персонала и осигурителни вноски) са в общ размер на 7 378,9 млн. лв. Разходите за издръжка (вкл. разходи за членски внос и участие в нетърговски организации и дейности и платени данъци, такси и административни санкции) са в размер на 3 799,2 млн. лв. Социалните разходи (вкл. разходите за стипендии) са в размер на 1 586,4 млн. лв. и са основно разходи по бюджета на МТСП за помощи по Закона за социално подпомагане, Закона за хората с увреждания, Закона за семейните помощи за деца и др. Предоставените текущи и капиталови трансфери за чужбина са в размер на 23,8</w:t>
      </w:r>
      <w:r w:rsidRPr="00A25A63">
        <w:rPr>
          <w:rFonts w:eastAsia="Calibri"/>
          <w:b/>
        </w:rPr>
        <w:t> </w:t>
      </w:r>
      <w:r w:rsidRPr="00A25A63">
        <w:rPr>
          <w:bCs/>
          <w:lang w:eastAsia="bg-BG"/>
        </w:rPr>
        <w:t>млн. лв. Разходите за субсидии са в размер на 2 557,8 млн. лв., като включват: разходи за субсидии по бюджета на Министерство на енергетиката в размер на 499,0 млн. лв. (в т.ч. 49,0 млн. лв. за финансиране от Фонд „Радиоактивни отпадъци” и Фонд „Извеждане от експлоатация на ядрени съоръжения” на извършваните от ДП „Радиоактивни отпадъци“ дейности и 450,0 млн. лв. за покриване високите цени на енергията по приети от МС програми); изплатени през месец септември от Държавен фонд „Земеделие“ (Постановление № 247 на Министерския съвет от 17.08.2022 г.) средства в общ размер на 340,4 млн. лв. за осигуряване на ликвидност на земеделските стопани по Временната рамка във връзка с военните действия в Украйна и за подкрепа на свиневъдите и птицевъдите за хуманно отношение към животните, както и за осигуряване на подкрепа на земеделските стопани по национални мерки за компенсации на повишените цени на енергоносители, фуражи, препарати за растителна защита, горива и торове, за сметка на предвидените разходи по чл.1, ал.5 от ЗДБРБ за 2022 г.; 196,2</w:t>
      </w:r>
      <w:r w:rsidRPr="00A25A63">
        <w:rPr>
          <w:lang w:eastAsia="bg-BG"/>
        </w:rPr>
        <w:t xml:space="preserve"> </w:t>
      </w:r>
      <w:r w:rsidRPr="00A25A63">
        <w:rPr>
          <w:bCs/>
          <w:lang w:eastAsia="bg-BG"/>
        </w:rPr>
        <w:t xml:space="preserve">млн. лв. са за </w:t>
      </w:r>
      <w:r w:rsidRPr="00A25A63">
        <w:rPr>
          <w:lang w:eastAsia="bg-BG"/>
        </w:rPr>
        <w:t>„БДЖ – Пътнически превози” ЕООД</w:t>
      </w:r>
      <w:r w:rsidRPr="00A25A63">
        <w:rPr>
          <w:bCs/>
          <w:lang w:eastAsia="bg-BG"/>
        </w:rPr>
        <w:t>; 280,4 млн. лв. за Национална компания „Железопътна инфраструктура”</w:t>
      </w:r>
      <w:r w:rsidRPr="00A25A63">
        <w:rPr>
          <w:bCs/>
          <w:lang w:val="ru-RU" w:eastAsia="bg-BG"/>
        </w:rPr>
        <w:t xml:space="preserve"> </w:t>
      </w:r>
      <w:r w:rsidRPr="00A25A63">
        <w:rPr>
          <w:bCs/>
          <w:lang w:eastAsia="bg-BG"/>
        </w:rPr>
        <w:t>(в т.ч. 1,6 млн. лв. за предотвратяване на последици от стихийни бедствия – ПМС № 154, ПМС № 188, ПМС № 387 от 2022 г.</w:t>
      </w:r>
      <w:r w:rsidRPr="00A25A63">
        <w:rPr>
          <w:bCs/>
          <w:lang w:val="ru-RU" w:eastAsia="bg-BG"/>
        </w:rPr>
        <w:t>)</w:t>
      </w:r>
      <w:r w:rsidRPr="00A25A63">
        <w:rPr>
          <w:bCs/>
          <w:lang w:eastAsia="bg-BG"/>
        </w:rPr>
        <w:t xml:space="preserve"> </w:t>
      </w:r>
      <w:r w:rsidRPr="00A25A63">
        <w:rPr>
          <w:lang w:eastAsia="bg-BG"/>
        </w:rPr>
        <w:t xml:space="preserve">и </w:t>
      </w:r>
      <w:r w:rsidRPr="00A25A63">
        <w:rPr>
          <w:lang w:val="ru-RU" w:eastAsia="bg-BG"/>
        </w:rPr>
        <w:t>89,8</w:t>
      </w:r>
      <w:r w:rsidR="00B709FA">
        <w:rPr>
          <w:lang w:eastAsia="bg-BG"/>
        </w:rPr>
        <w:t> </w:t>
      </w:r>
      <w:r w:rsidRPr="00A25A63">
        <w:rPr>
          <w:lang w:eastAsia="bg-BG"/>
        </w:rPr>
        <w:t xml:space="preserve">млн. лв. за „Български пощи” ЕАД </w:t>
      </w:r>
      <w:r w:rsidRPr="00A25A63">
        <w:rPr>
          <w:lang w:val="ru-RU" w:eastAsia="bg-BG"/>
        </w:rPr>
        <w:t>(</w:t>
      </w:r>
      <w:r w:rsidRPr="00A25A63">
        <w:rPr>
          <w:lang w:eastAsia="bg-BG"/>
        </w:rPr>
        <w:t xml:space="preserve">в т.ч. </w:t>
      </w:r>
      <w:r w:rsidRPr="00A25A63">
        <w:rPr>
          <w:lang w:val="ru-RU" w:eastAsia="bg-BG"/>
        </w:rPr>
        <w:t>65,9</w:t>
      </w:r>
      <w:r w:rsidRPr="00A25A63">
        <w:rPr>
          <w:lang w:eastAsia="bg-BG"/>
        </w:rPr>
        <w:t xml:space="preserve"> млн. лв. за извършване на универсална пощенска услуга и </w:t>
      </w:r>
      <w:r w:rsidRPr="00A25A63">
        <w:rPr>
          <w:lang w:val="ru-RU" w:eastAsia="bg-BG"/>
        </w:rPr>
        <w:t>23,8</w:t>
      </w:r>
      <w:r w:rsidRPr="00A25A63">
        <w:rPr>
          <w:lang w:eastAsia="bg-BG"/>
        </w:rPr>
        <w:t xml:space="preserve"> млн. лв. за разпространение на периодични печатни издания - вестници и списания</w:t>
      </w:r>
      <w:r w:rsidRPr="00A25A63">
        <w:rPr>
          <w:lang w:val="ru-RU" w:eastAsia="bg-BG"/>
        </w:rPr>
        <w:t>)</w:t>
      </w:r>
      <w:r w:rsidRPr="00A25A63">
        <w:rPr>
          <w:lang w:eastAsia="bg-BG"/>
        </w:rPr>
        <w:t>. За</w:t>
      </w:r>
      <w:r w:rsidRPr="00A25A63">
        <w:rPr>
          <w:bCs/>
          <w:lang w:eastAsia="bg-BG"/>
        </w:rPr>
        <w:t xml:space="preserve"> </w:t>
      </w:r>
      <w:r w:rsidRPr="00A25A63">
        <w:rPr>
          <w:lang w:eastAsia="bg-BG"/>
        </w:rPr>
        <w:t>2022</w:t>
      </w:r>
      <w:r w:rsidRPr="00A25A63">
        <w:rPr>
          <w:rFonts w:eastAsia="Calibri"/>
          <w:b/>
        </w:rPr>
        <w:t> </w:t>
      </w:r>
      <w:r w:rsidRPr="00A25A63">
        <w:rPr>
          <w:bCs/>
          <w:lang w:eastAsia="bg-BG"/>
        </w:rPr>
        <w:t xml:space="preserve">г. ДФ „Земеделие“ e изплатил субсидии в общ размер на </w:t>
      </w:r>
      <w:r w:rsidRPr="00A25A63">
        <w:rPr>
          <w:bCs/>
          <w:lang w:val="ru-RU" w:eastAsia="bg-BG"/>
        </w:rPr>
        <w:t>883,2</w:t>
      </w:r>
      <w:r w:rsidRPr="00A25A63">
        <w:rPr>
          <w:bCs/>
          <w:lang w:eastAsia="bg-BG"/>
        </w:rPr>
        <w:t xml:space="preserve"> млн. лв., от които 731,0 млн. лв. държавна помощ; 70,1 млн. лв. преходна национална помощ за тютюн; 73,9</w:t>
      </w:r>
      <w:r w:rsidRPr="00A25A63">
        <w:rPr>
          <w:bCs/>
          <w:lang w:val="en-US" w:eastAsia="bg-BG"/>
        </w:rPr>
        <w:t> </w:t>
      </w:r>
      <w:r w:rsidRPr="00A25A63">
        <w:rPr>
          <w:bCs/>
          <w:lang w:eastAsia="bg-BG"/>
        </w:rPr>
        <w:t>млн. лв. преходна национална помощ за сектор „Животновъдство“ и 7,0 млн. лв. средства за ДДС по схеми „Училищен плод“ и „Училищно мляко“.</w:t>
      </w:r>
    </w:p>
    <w:p w14:paraId="2539BA5E" w14:textId="77777777" w:rsidR="00A25A63" w:rsidRPr="00A25A63" w:rsidRDefault="00A25A63" w:rsidP="00A25A63">
      <w:pPr>
        <w:spacing w:before="120" w:after="120"/>
        <w:jc w:val="both"/>
        <w:rPr>
          <w:lang w:eastAsia="bg-BG"/>
        </w:rPr>
      </w:pPr>
      <w:r w:rsidRPr="00A25A63">
        <w:rPr>
          <w:bCs/>
          <w:lang w:eastAsia="bg-BG"/>
        </w:rPr>
        <w:lastRenderedPageBreak/>
        <w:t xml:space="preserve">Капиталовите разходи </w:t>
      </w:r>
      <w:r w:rsidRPr="00A25A63">
        <w:rPr>
          <w:lang w:eastAsia="bg-BG"/>
        </w:rPr>
        <w:t>(вкл. нетния прираст на държавния резерв) по държавния бюджет</w:t>
      </w:r>
      <w:r w:rsidRPr="00A25A63">
        <w:rPr>
          <w:bCs/>
          <w:lang w:eastAsia="bg-BG"/>
        </w:rPr>
        <w:t xml:space="preserve"> възлизат на </w:t>
      </w:r>
      <w:r w:rsidRPr="00A25A63">
        <w:rPr>
          <w:bCs/>
          <w:lang w:val="ru-RU" w:eastAsia="bg-BG"/>
        </w:rPr>
        <w:t>2 422,1</w:t>
      </w:r>
      <w:r w:rsidRPr="00A25A63">
        <w:rPr>
          <w:bCs/>
          <w:lang w:eastAsia="bg-BG"/>
        </w:rPr>
        <w:t xml:space="preserve"> млн. лева. Капиталовите разходи по държавния бюджет за 2021 г. са в размер на 800,7 млн. лв. като следва да се има предвид, че през 2021 г. в капиталовите разходи е отразена извършена трансакция по възстановяване на средства по държавния бюджет от сметката за чужди средства на МРРБ в размер на 490 млн. лв., която по същество представлява възстановен разход и се отразява в намаление на разходите на касова основа.</w:t>
      </w:r>
    </w:p>
    <w:p w14:paraId="60575E16" w14:textId="77777777" w:rsidR="00686EF0" w:rsidRPr="00E37E50" w:rsidRDefault="00686EF0" w:rsidP="00ED2B9A">
      <w:pPr>
        <w:numPr>
          <w:ilvl w:val="1"/>
          <w:numId w:val="12"/>
        </w:numPr>
        <w:tabs>
          <w:tab w:val="num" w:pos="720"/>
          <w:tab w:val="num" w:pos="900"/>
        </w:tabs>
        <w:spacing w:before="240" w:after="120"/>
        <w:ind w:left="714" w:hanging="357"/>
        <w:jc w:val="both"/>
        <w:rPr>
          <w:b/>
          <w:bCs/>
        </w:rPr>
      </w:pPr>
      <w:r w:rsidRPr="00E37E50">
        <w:rPr>
          <w:b/>
        </w:rPr>
        <w:t>Просрочени задължения</w:t>
      </w:r>
    </w:p>
    <w:p w14:paraId="12C15B0B" w14:textId="7ECB30EF" w:rsidR="00EB3EAF" w:rsidRPr="00DB12BD" w:rsidRDefault="00EB3EAF" w:rsidP="00EB3EAF">
      <w:pPr>
        <w:spacing w:after="120"/>
        <w:jc w:val="both"/>
        <w:rPr>
          <w:color w:val="0070C0"/>
        </w:rPr>
      </w:pPr>
      <w:r w:rsidRPr="003302F6">
        <w:t xml:space="preserve">Към </w:t>
      </w:r>
      <w:r w:rsidR="003302F6" w:rsidRPr="003302F6">
        <w:t>31</w:t>
      </w:r>
      <w:r w:rsidRPr="003302F6">
        <w:t>.</w:t>
      </w:r>
      <w:r w:rsidR="003302F6" w:rsidRPr="003302F6">
        <w:t>12</w:t>
      </w:r>
      <w:r w:rsidRPr="003302F6">
        <w:t xml:space="preserve">.2022 г. просрочените задължения на централно и местно правителство са в размер </w:t>
      </w:r>
      <w:r w:rsidRPr="00A54F26">
        <w:t xml:space="preserve">на </w:t>
      </w:r>
      <w:r w:rsidR="00A54F26" w:rsidRPr="00A54F26">
        <w:rPr>
          <w:b/>
          <w:lang w:val="ru-RU"/>
        </w:rPr>
        <w:t>646,8</w:t>
      </w:r>
      <w:r w:rsidRPr="00A54F26">
        <w:rPr>
          <w:b/>
        </w:rPr>
        <w:t xml:space="preserve"> млн. лева.</w:t>
      </w:r>
      <w:r w:rsidRPr="00A54F26">
        <w:t xml:space="preserve"> </w:t>
      </w:r>
    </w:p>
    <w:p w14:paraId="1ECE81CD" w14:textId="2425496E" w:rsidR="00EB3EAF" w:rsidRPr="005D60E3" w:rsidRDefault="00EB3EAF" w:rsidP="00D822E5">
      <w:pPr>
        <w:spacing w:before="120"/>
        <w:jc w:val="both"/>
        <w:rPr>
          <w:noProof/>
        </w:rPr>
      </w:pPr>
      <w:r w:rsidRPr="00557150">
        <w:t xml:space="preserve">Размерът на просрочените задължения на </w:t>
      </w:r>
      <w:r w:rsidRPr="00557150">
        <w:rPr>
          <w:b/>
        </w:rPr>
        <w:t>централно правителство</w:t>
      </w:r>
      <w:r w:rsidRPr="00557150">
        <w:t xml:space="preserve"> (министерства, ведомства </w:t>
      </w:r>
      <w:r w:rsidRPr="00B21F4D">
        <w:t>и разпоредителите с бюджет по чл. 13, ал. 3 и ал. 4 на ЗПФ) е</w:t>
      </w:r>
      <w:r w:rsidR="00BD0457" w:rsidRPr="00B21F4D">
        <w:rPr>
          <w:b/>
        </w:rPr>
        <w:t xml:space="preserve"> </w:t>
      </w:r>
      <w:r w:rsidR="00557150" w:rsidRPr="00B21F4D">
        <w:rPr>
          <w:b/>
        </w:rPr>
        <w:t>555,2</w:t>
      </w:r>
      <w:r w:rsidRPr="00B21F4D">
        <w:rPr>
          <w:b/>
        </w:rPr>
        <w:t xml:space="preserve"> млн. лева. </w:t>
      </w:r>
      <w:r w:rsidRPr="00B21F4D">
        <w:t xml:space="preserve">Спрямо отчетените в края на 2021 г. те </w:t>
      </w:r>
      <w:r w:rsidR="00557150" w:rsidRPr="00B21F4D">
        <w:t>се увеличават</w:t>
      </w:r>
      <w:r w:rsidRPr="00B21F4D">
        <w:t xml:space="preserve"> с </w:t>
      </w:r>
      <w:r w:rsidR="00557150" w:rsidRPr="00B21F4D">
        <w:t>357,3</w:t>
      </w:r>
      <w:r w:rsidRPr="00B21F4D">
        <w:t xml:space="preserve"> млн. лв</w:t>
      </w:r>
      <w:r w:rsidR="00557150" w:rsidRPr="00B21F4D">
        <w:t>.</w:t>
      </w:r>
      <w:r w:rsidRPr="00B21F4D">
        <w:t xml:space="preserve"> В обхвата на държавния бюджет по-значими проблеми с наличие на просрочени задължения има </w:t>
      </w:r>
      <w:r w:rsidRPr="00B21F4D">
        <w:rPr>
          <w:bCs/>
        </w:rPr>
        <w:t xml:space="preserve">при </w:t>
      </w:r>
      <w:r w:rsidR="007F052C" w:rsidRPr="00B21F4D">
        <w:rPr>
          <w:bCs/>
        </w:rPr>
        <w:t>следните</w:t>
      </w:r>
      <w:r w:rsidRPr="00B21F4D">
        <w:rPr>
          <w:bCs/>
        </w:rPr>
        <w:t xml:space="preserve"> министерства</w:t>
      </w:r>
      <w:r w:rsidR="007F052C" w:rsidRPr="00B21F4D">
        <w:t xml:space="preserve">: </w:t>
      </w:r>
      <w:r w:rsidRPr="00B21F4D">
        <w:rPr>
          <w:bCs/>
        </w:rPr>
        <w:t xml:space="preserve"> </w:t>
      </w:r>
      <w:r w:rsidR="00B21F4D" w:rsidRPr="00D017FE">
        <w:rPr>
          <w:noProof/>
        </w:rPr>
        <w:t xml:space="preserve">Министерство на регионалното развитие и благоустройството – </w:t>
      </w:r>
      <w:r w:rsidR="003F29D8" w:rsidRPr="00D017FE">
        <w:rPr>
          <w:noProof/>
        </w:rPr>
        <w:t>506,5</w:t>
      </w:r>
      <w:r w:rsidR="00B21F4D" w:rsidRPr="00D017FE">
        <w:rPr>
          <w:noProof/>
        </w:rPr>
        <w:t xml:space="preserve"> млн. лв. (увеличение с </w:t>
      </w:r>
      <w:r w:rsidR="003F29D8" w:rsidRPr="00D017FE">
        <w:rPr>
          <w:noProof/>
        </w:rPr>
        <w:t>346,5</w:t>
      </w:r>
      <w:r w:rsidR="00B21F4D" w:rsidRPr="00D017FE">
        <w:rPr>
          <w:noProof/>
        </w:rPr>
        <w:t xml:space="preserve"> млн. лв. </w:t>
      </w:r>
      <w:r w:rsidR="00B21F4D" w:rsidRPr="00D017FE">
        <w:t>спрямо просрочията в края на 202</w:t>
      </w:r>
      <w:r w:rsidR="003F29D8" w:rsidRPr="00D017FE">
        <w:t>1</w:t>
      </w:r>
      <w:r w:rsidR="00B21F4D" w:rsidRPr="00D017FE">
        <w:t> г.</w:t>
      </w:r>
      <w:r w:rsidR="00B21F4D" w:rsidRPr="00D017FE">
        <w:rPr>
          <w:noProof/>
        </w:rPr>
        <w:t xml:space="preserve">) - </w:t>
      </w:r>
      <w:r w:rsidR="00D017FE" w:rsidRPr="00D017FE">
        <w:rPr>
          <w:noProof/>
        </w:rPr>
        <w:t>просрочени задължения за извършени и приети дейности, възложени на основание допълнителни споразумения от 2021 г. и 2022 г. към договори за текущ ремонт и поддържане на републиканските пътища, в т.ч. и зимно поддържане, които не са обезпечени със средства по утвърдения за 2021 г. и 2022 г. бюджет на Агенция „Пътна инфраструктура“</w:t>
      </w:r>
      <w:r w:rsidR="00B21F4D" w:rsidRPr="00D017FE">
        <w:rPr>
          <w:noProof/>
        </w:rPr>
        <w:t xml:space="preserve">; </w:t>
      </w:r>
      <w:r w:rsidR="00F722BE" w:rsidRPr="00291201">
        <w:rPr>
          <w:noProof/>
        </w:rPr>
        <w:t xml:space="preserve">Министерство на земеделието – </w:t>
      </w:r>
      <w:r w:rsidR="00291201">
        <w:rPr>
          <w:noProof/>
        </w:rPr>
        <w:t>20,4</w:t>
      </w:r>
      <w:r w:rsidR="00F722BE" w:rsidRPr="00291201">
        <w:rPr>
          <w:noProof/>
        </w:rPr>
        <w:t xml:space="preserve"> млн. лв. (увеличение с </w:t>
      </w:r>
      <w:r w:rsidR="00291201">
        <w:rPr>
          <w:noProof/>
        </w:rPr>
        <w:t>6,1</w:t>
      </w:r>
      <w:r w:rsidR="00F722BE" w:rsidRPr="00291201">
        <w:rPr>
          <w:noProof/>
        </w:rPr>
        <w:t xml:space="preserve"> млн. лв. </w:t>
      </w:r>
      <w:r w:rsidR="00F722BE" w:rsidRPr="00291201">
        <w:t xml:space="preserve">спрямо просрочията в края на </w:t>
      </w:r>
      <w:r w:rsidR="00F722BE" w:rsidRPr="00526790">
        <w:t>2021 г.</w:t>
      </w:r>
      <w:r w:rsidR="00F722BE" w:rsidRPr="00526790">
        <w:rPr>
          <w:noProof/>
        </w:rPr>
        <w:t xml:space="preserve">); </w:t>
      </w:r>
      <w:r w:rsidRPr="00526790">
        <w:t xml:space="preserve">Министерство на околната среда и водите – </w:t>
      </w:r>
      <w:r w:rsidR="00AF4109" w:rsidRPr="00987ED4">
        <w:t>2,9</w:t>
      </w:r>
      <w:r w:rsidRPr="00987ED4">
        <w:t xml:space="preserve"> млн. лв. (увеличение с </w:t>
      </w:r>
      <w:r w:rsidR="00AF4109" w:rsidRPr="00987ED4">
        <w:t>2,9</w:t>
      </w:r>
      <w:r w:rsidRPr="00987ED4">
        <w:t xml:space="preserve"> млн. лв. спрямо отчетените в края на 2021 г.); </w:t>
      </w:r>
      <w:r w:rsidR="00F001EC" w:rsidRPr="00987ED4">
        <w:rPr>
          <w:noProof/>
        </w:rPr>
        <w:t xml:space="preserve">Министерство на отбраната – </w:t>
      </w:r>
      <w:r w:rsidR="004C1F3B" w:rsidRPr="00987ED4">
        <w:rPr>
          <w:noProof/>
        </w:rPr>
        <w:t>2,</w:t>
      </w:r>
      <w:r w:rsidR="00987ED4" w:rsidRPr="00987ED4">
        <w:rPr>
          <w:noProof/>
        </w:rPr>
        <w:t>6</w:t>
      </w:r>
      <w:r w:rsidR="00F001EC" w:rsidRPr="00987ED4">
        <w:rPr>
          <w:noProof/>
        </w:rPr>
        <w:t xml:space="preserve"> млн. лв. (намаление с </w:t>
      </w:r>
      <w:r w:rsidR="00987ED4" w:rsidRPr="00987ED4">
        <w:rPr>
          <w:noProof/>
        </w:rPr>
        <w:t>0,9</w:t>
      </w:r>
      <w:r w:rsidR="00F001EC" w:rsidRPr="00987ED4">
        <w:rPr>
          <w:noProof/>
        </w:rPr>
        <w:t xml:space="preserve"> млн. лв. спрямо </w:t>
      </w:r>
      <w:r w:rsidR="00F001EC" w:rsidRPr="00987ED4">
        <w:t>отчетените в края на 2021 г.</w:t>
      </w:r>
      <w:r w:rsidR="00F001EC" w:rsidRPr="00987ED4">
        <w:rPr>
          <w:noProof/>
        </w:rPr>
        <w:t xml:space="preserve">), в т.ч. </w:t>
      </w:r>
      <w:r w:rsidR="00FA7D36" w:rsidRPr="00987ED4">
        <w:rPr>
          <w:noProof/>
        </w:rPr>
        <w:t>2,</w:t>
      </w:r>
      <w:r w:rsidR="00987ED4" w:rsidRPr="00987ED4">
        <w:rPr>
          <w:noProof/>
        </w:rPr>
        <w:t>5</w:t>
      </w:r>
      <w:r w:rsidR="00F001EC" w:rsidRPr="00987ED4">
        <w:rPr>
          <w:noProof/>
        </w:rPr>
        <w:t xml:space="preserve"> млн. лв. </w:t>
      </w:r>
      <w:r w:rsidR="00F001EC" w:rsidRPr="00113D6E">
        <w:rPr>
          <w:noProof/>
        </w:rPr>
        <w:t>на ВМА</w:t>
      </w:r>
      <w:r w:rsidR="00113D6E" w:rsidRPr="00113D6E">
        <w:rPr>
          <w:noProof/>
        </w:rPr>
        <w:t xml:space="preserve"> </w:t>
      </w:r>
      <w:r w:rsidR="00772D55" w:rsidRPr="00113D6E">
        <w:rPr>
          <w:noProof/>
        </w:rPr>
        <w:t xml:space="preserve">и други. </w:t>
      </w:r>
      <w:r w:rsidRPr="00113D6E">
        <w:rPr>
          <w:noProof/>
        </w:rPr>
        <w:t xml:space="preserve">От </w:t>
      </w:r>
      <w:r w:rsidRPr="005C5D22">
        <w:rPr>
          <w:noProof/>
        </w:rPr>
        <w:t xml:space="preserve">разпоредителите с бюджет по чл. 13, ал. 3 на Закона за публичните финанси проблеми с наличието на просрочени задължения има основно </w:t>
      </w:r>
      <w:r w:rsidRPr="000419FC">
        <w:rPr>
          <w:noProof/>
        </w:rPr>
        <w:t>при</w:t>
      </w:r>
      <w:r w:rsidR="005C45AA" w:rsidRPr="005827BE">
        <w:rPr>
          <w:noProof/>
          <w:lang w:val="ru-RU"/>
        </w:rPr>
        <w:t>:</w:t>
      </w:r>
      <w:r w:rsidRPr="000419FC">
        <w:rPr>
          <w:noProof/>
        </w:rPr>
        <w:t xml:space="preserve"> </w:t>
      </w:r>
      <w:r w:rsidR="005C45AA" w:rsidRPr="000419FC">
        <w:rPr>
          <w:noProof/>
        </w:rPr>
        <w:t xml:space="preserve">Българската национална телевизия – </w:t>
      </w:r>
      <w:r w:rsidR="000419FC" w:rsidRPr="005827BE">
        <w:rPr>
          <w:noProof/>
          <w:lang w:val="ru-RU"/>
        </w:rPr>
        <w:t>7</w:t>
      </w:r>
      <w:r w:rsidR="000419FC" w:rsidRPr="000419FC">
        <w:rPr>
          <w:noProof/>
        </w:rPr>
        <w:t>,3</w:t>
      </w:r>
      <w:r w:rsidR="005C45AA" w:rsidRPr="000419FC">
        <w:rPr>
          <w:noProof/>
        </w:rPr>
        <w:t xml:space="preserve"> млн. лв. (увеличение с 1,</w:t>
      </w:r>
      <w:r w:rsidR="000419FC" w:rsidRPr="000419FC">
        <w:rPr>
          <w:noProof/>
        </w:rPr>
        <w:t>7</w:t>
      </w:r>
      <w:r w:rsidR="005C45AA" w:rsidRPr="000419FC">
        <w:rPr>
          <w:noProof/>
        </w:rPr>
        <w:t xml:space="preserve"> млн. лв. </w:t>
      </w:r>
      <w:r w:rsidR="005C45AA" w:rsidRPr="000419FC">
        <w:t>спрямо отчетените в края на 2021 г.</w:t>
      </w:r>
      <w:r w:rsidR="005C45AA" w:rsidRPr="000419FC">
        <w:rPr>
          <w:noProof/>
        </w:rPr>
        <w:t xml:space="preserve">, като това са основно </w:t>
      </w:r>
      <w:r w:rsidR="005C45AA" w:rsidRPr="000419FC">
        <w:t xml:space="preserve">просрочени задължения към доставчици в страната); </w:t>
      </w:r>
      <w:r w:rsidR="00D9744D" w:rsidRPr="000419FC">
        <w:rPr>
          <w:noProof/>
        </w:rPr>
        <w:t xml:space="preserve">държавните висши училища – </w:t>
      </w:r>
      <w:r w:rsidR="000419FC" w:rsidRPr="000419FC">
        <w:rPr>
          <w:noProof/>
        </w:rPr>
        <w:t>7,2</w:t>
      </w:r>
      <w:r w:rsidR="00D9744D" w:rsidRPr="000419FC">
        <w:rPr>
          <w:noProof/>
        </w:rPr>
        <w:t xml:space="preserve"> млн. лв. (увеличение с </w:t>
      </w:r>
      <w:r w:rsidR="000419FC" w:rsidRPr="000419FC">
        <w:rPr>
          <w:noProof/>
        </w:rPr>
        <w:t>0,3</w:t>
      </w:r>
      <w:r w:rsidR="00D9744D" w:rsidRPr="000419FC">
        <w:rPr>
          <w:noProof/>
        </w:rPr>
        <w:t xml:space="preserve"> млн. лв. </w:t>
      </w:r>
      <w:r w:rsidR="00D9744D" w:rsidRPr="000419FC">
        <w:t xml:space="preserve">спрямо отчетените в края на 2021 г. </w:t>
      </w:r>
      <w:r w:rsidR="00D9744D" w:rsidRPr="00F10B54">
        <w:t xml:space="preserve">и включват задължения за внасяне на данъци, вноски, такси  и административни санкции, задължения към доставчици и </w:t>
      </w:r>
      <w:r w:rsidR="00D9744D" w:rsidRPr="006D7BE5">
        <w:t>др.</w:t>
      </w:r>
      <w:r w:rsidR="00D9744D" w:rsidRPr="006D7BE5">
        <w:rPr>
          <w:noProof/>
        </w:rPr>
        <w:t>)</w:t>
      </w:r>
      <w:r w:rsidR="005C45AA" w:rsidRPr="006D7BE5">
        <w:t>;</w:t>
      </w:r>
      <w:r w:rsidR="00D9744D" w:rsidRPr="006D7BE5">
        <w:rPr>
          <w:noProof/>
        </w:rPr>
        <w:t xml:space="preserve"> </w:t>
      </w:r>
      <w:r w:rsidR="00A80BD2" w:rsidRPr="006D7BE5">
        <w:t xml:space="preserve"> </w:t>
      </w:r>
      <w:r w:rsidRPr="006D7BE5">
        <w:rPr>
          <w:noProof/>
        </w:rPr>
        <w:t>Българското национало радио – 2,</w:t>
      </w:r>
      <w:r w:rsidR="006D7BE5">
        <w:rPr>
          <w:noProof/>
        </w:rPr>
        <w:t>5</w:t>
      </w:r>
      <w:r w:rsidRPr="006D7BE5">
        <w:rPr>
          <w:noProof/>
        </w:rPr>
        <w:t xml:space="preserve"> млн. лв. (увеличение с 0,</w:t>
      </w:r>
      <w:r w:rsidR="006D7BE5" w:rsidRPr="006D7BE5">
        <w:rPr>
          <w:noProof/>
        </w:rPr>
        <w:t>1</w:t>
      </w:r>
      <w:r w:rsidRPr="006D7BE5">
        <w:rPr>
          <w:noProof/>
        </w:rPr>
        <w:t xml:space="preserve"> млн. лв. </w:t>
      </w:r>
      <w:r w:rsidRPr="006D7BE5">
        <w:t>спрям</w:t>
      </w:r>
      <w:r w:rsidR="00D9744D" w:rsidRPr="006D7BE5">
        <w:t>о отчетените в края на 2021 г.</w:t>
      </w:r>
      <w:r w:rsidR="004545F8">
        <w:t xml:space="preserve"> и са основно </w:t>
      </w:r>
      <w:r w:rsidR="004545F8" w:rsidRPr="00C56069">
        <w:rPr>
          <w:szCs w:val="20"/>
        </w:rPr>
        <w:t xml:space="preserve">просрочени задължения за данъци, вноски, такси и административни санкции към Столична община за такса битови отпадъци за минали периоди, в т.ч. </w:t>
      </w:r>
      <w:r w:rsidR="004545F8" w:rsidRPr="005827BE">
        <w:rPr>
          <w:szCs w:val="20"/>
          <w:lang w:val="ru-RU"/>
        </w:rPr>
        <w:t>1</w:t>
      </w:r>
      <w:r w:rsidR="004545F8" w:rsidRPr="00C56069">
        <w:rPr>
          <w:szCs w:val="20"/>
        </w:rPr>
        <w:t>,</w:t>
      </w:r>
      <w:r w:rsidR="004545F8" w:rsidRPr="005827BE">
        <w:rPr>
          <w:szCs w:val="20"/>
          <w:lang w:val="ru-RU"/>
        </w:rPr>
        <w:t>0</w:t>
      </w:r>
      <w:r w:rsidR="004545F8" w:rsidRPr="00C56069">
        <w:rPr>
          <w:szCs w:val="20"/>
        </w:rPr>
        <w:t xml:space="preserve"> млн. лв. за лихви</w:t>
      </w:r>
      <w:r w:rsidR="00D9744D" w:rsidRPr="006D7BE5">
        <w:t>)</w:t>
      </w:r>
      <w:r w:rsidRPr="006D7BE5">
        <w:rPr>
          <w:noProof/>
        </w:rPr>
        <w:t>.</w:t>
      </w:r>
      <w:r w:rsidR="00D822E5" w:rsidRPr="006D7BE5">
        <w:rPr>
          <w:noProof/>
        </w:rPr>
        <w:t xml:space="preserve"> </w:t>
      </w:r>
      <w:r w:rsidR="00D822E5" w:rsidRPr="005D60E3">
        <w:rPr>
          <w:noProof/>
        </w:rPr>
        <w:t>От разпоредителите с бюджет по чл. 13, ал. 4 на Закона за публичните финанси проблеми с наличието на просрочени задължения има при Държавно предприятие „Научно-производствен център“ – 1,</w:t>
      </w:r>
      <w:r w:rsidR="005D60E3" w:rsidRPr="005D60E3">
        <w:rPr>
          <w:noProof/>
        </w:rPr>
        <w:t>7</w:t>
      </w:r>
      <w:r w:rsidR="00D822E5" w:rsidRPr="005D60E3">
        <w:rPr>
          <w:noProof/>
        </w:rPr>
        <w:t xml:space="preserve"> млн. лв. (увеличение с 0,</w:t>
      </w:r>
      <w:r w:rsidR="005D60E3" w:rsidRPr="005D60E3">
        <w:rPr>
          <w:noProof/>
        </w:rPr>
        <w:t>2</w:t>
      </w:r>
      <w:r w:rsidR="00D822E5" w:rsidRPr="005D60E3">
        <w:rPr>
          <w:noProof/>
        </w:rPr>
        <w:t xml:space="preserve"> млн. лв. </w:t>
      </w:r>
      <w:r w:rsidR="00D822E5" w:rsidRPr="005D60E3">
        <w:t>спрямо отчетените в края на 2021 г.</w:t>
      </w:r>
      <w:r w:rsidR="006412EB" w:rsidRPr="005D60E3">
        <w:rPr>
          <w:lang w:val="ru-RU"/>
        </w:rPr>
        <w:t>)</w:t>
      </w:r>
      <w:r w:rsidR="006412EB" w:rsidRPr="005D60E3">
        <w:t>.</w:t>
      </w:r>
    </w:p>
    <w:p w14:paraId="73564FEA" w14:textId="77777777" w:rsidR="00EB3EAF" w:rsidRPr="00DB12BD" w:rsidRDefault="00EB3EAF" w:rsidP="00EB3EAF">
      <w:pPr>
        <w:ind w:firstLine="567"/>
        <w:jc w:val="both"/>
        <w:rPr>
          <w:bCs/>
          <w:color w:val="0070C0"/>
          <w:sz w:val="6"/>
          <w:szCs w:val="12"/>
          <w:lang w:val="ru-RU"/>
        </w:rPr>
      </w:pPr>
    </w:p>
    <w:p w14:paraId="5144B7EC" w14:textId="07BA7FAF" w:rsidR="00EB3EAF" w:rsidRPr="00365679" w:rsidRDefault="00EB3EAF" w:rsidP="00EB3EAF">
      <w:pPr>
        <w:spacing w:after="120"/>
        <w:jc w:val="both"/>
        <w:rPr>
          <w:noProof/>
        </w:rPr>
      </w:pPr>
      <w:r w:rsidRPr="00365679">
        <w:rPr>
          <w:noProof/>
        </w:rPr>
        <w:t xml:space="preserve">Просрочените задължения по </w:t>
      </w:r>
      <w:r w:rsidRPr="00365679">
        <w:rPr>
          <w:b/>
          <w:noProof/>
        </w:rPr>
        <w:t>бюджетите на общините</w:t>
      </w:r>
      <w:r w:rsidRPr="00365679">
        <w:rPr>
          <w:noProof/>
        </w:rPr>
        <w:t xml:space="preserve"> към </w:t>
      </w:r>
      <w:r w:rsidR="00036E3B" w:rsidRPr="00365679">
        <w:rPr>
          <w:noProof/>
        </w:rPr>
        <w:t>31</w:t>
      </w:r>
      <w:r w:rsidRPr="00365679">
        <w:rPr>
          <w:noProof/>
        </w:rPr>
        <w:t>.</w:t>
      </w:r>
      <w:r w:rsidR="00036E3B" w:rsidRPr="00365679">
        <w:rPr>
          <w:noProof/>
        </w:rPr>
        <w:t>12</w:t>
      </w:r>
      <w:r w:rsidRPr="00365679">
        <w:rPr>
          <w:noProof/>
        </w:rPr>
        <w:t xml:space="preserve">.2022 г. са в размер на </w:t>
      </w:r>
      <w:r w:rsidR="00036E3B" w:rsidRPr="00365679">
        <w:rPr>
          <w:b/>
          <w:noProof/>
        </w:rPr>
        <w:t>91,5</w:t>
      </w:r>
      <w:r w:rsidRPr="00365679">
        <w:rPr>
          <w:b/>
          <w:noProof/>
        </w:rPr>
        <w:t> млн. лв.,</w:t>
      </w:r>
      <w:r w:rsidRPr="00365679">
        <w:rPr>
          <w:noProof/>
        </w:rPr>
        <w:t xml:space="preserve"> като спрямо </w:t>
      </w:r>
      <w:r w:rsidRPr="00365679">
        <w:t xml:space="preserve">края на 2021 г. </w:t>
      </w:r>
      <w:r w:rsidRPr="00365679">
        <w:rPr>
          <w:noProof/>
        </w:rPr>
        <w:t xml:space="preserve">се отчита </w:t>
      </w:r>
      <w:r w:rsidR="00005A85" w:rsidRPr="00365679">
        <w:rPr>
          <w:noProof/>
        </w:rPr>
        <w:t>намаление</w:t>
      </w:r>
      <w:r w:rsidRPr="00365679">
        <w:rPr>
          <w:noProof/>
        </w:rPr>
        <w:t xml:space="preserve"> с </w:t>
      </w:r>
      <w:r w:rsidR="00036E3B" w:rsidRPr="00365679">
        <w:rPr>
          <w:noProof/>
        </w:rPr>
        <w:t>27,2</w:t>
      </w:r>
      <w:r w:rsidRPr="00365679">
        <w:rPr>
          <w:noProof/>
        </w:rPr>
        <w:t xml:space="preserve"> млн. лева. С най-голям относителен дял в просрочените задължения по бюджетите на общините </w:t>
      </w:r>
      <w:r w:rsidR="00365679" w:rsidRPr="00365679">
        <w:rPr>
          <w:noProof/>
        </w:rPr>
        <w:t>за</w:t>
      </w:r>
      <w:r w:rsidR="00B30909" w:rsidRPr="00365679">
        <w:rPr>
          <w:noProof/>
        </w:rPr>
        <w:t xml:space="preserve"> </w:t>
      </w:r>
      <w:r w:rsidRPr="00365679">
        <w:rPr>
          <w:noProof/>
        </w:rPr>
        <w:t xml:space="preserve">2022 г. са просрочените задължения към доставчици, които са в размер на </w:t>
      </w:r>
      <w:r w:rsidR="00365679" w:rsidRPr="00365679">
        <w:rPr>
          <w:noProof/>
        </w:rPr>
        <w:t>67,5</w:t>
      </w:r>
      <w:r w:rsidRPr="00365679">
        <w:rPr>
          <w:noProof/>
        </w:rPr>
        <w:t xml:space="preserve"> млн. лева. В делегираните от държавата дейности просрочените задължения са в размер на </w:t>
      </w:r>
      <w:r w:rsidR="00EE0456" w:rsidRPr="00365679">
        <w:rPr>
          <w:noProof/>
        </w:rPr>
        <w:t>1,</w:t>
      </w:r>
      <w:r w:rsidR="00365679" w:rsidRPr="00365679">
        <w:rPr>
          <w:noProof/>
        </w:rPr>
        <w:t>8</w:t>
      </w:r>
      <w:r w:rsidRPr="00365679">
        <w:rPr>
          <w:noProof/>
        </w:rPr>
        <w:t xml:space="preserve"> млн. лева.</w:t>
      </w:r>
    </w:p>
    <w:p w14:paraId="1A6C9079" w14:textId="77777777" w:rsidR="00BB059C" w:rsidRPr="00966A3F" w:rsidRDefault="00BB059C" w:rsidP="00BB059C">
      <w:pPr>
        <w:ind w:firstLine="567"/>
        <w:jc w:val="both"/>
        <w:rPr>
          <w:noProof/>
          <w:color w:val="0070C0"/>
          <w:sz w:val="2"/>
          <w:szCs w:val="12"/>
          <w:lang w:val="ru-RU"/>
        </w:rPr>
      </w:pPr>
    </w:p>
    <w:p w14:paraId="51EF3DB5" w14:textId="77777777" w:rsidR="009C2594" w:rsidRPr="00C3100A" w:rsidRDefault="009C2594" w:rsidP="00ED2B9A">
      <w:pPr>
        <w:pStyle w:val="BodyTextIndent"/>
        <w:numPr>
          <w:ilvl w:val="1"/>
          <w:numId w:val="12"/>
        </w:numPr>
        <w:tabs>
          <w:tab w:val="clear" w:pos="2160"/>
          <w:tab w:val="num" w:pos="720"/>
          <w:tab w:val="num" w:pos="900"/>
        </w:tabs>
        <w:spacing w:before="120" w:after="0"/>
        <w:ind w:left="720"/>
        <w:jc w:val="both"/>
        <w:rPr>
          <w:b/>
          <w:bCs/>
        </w:rPr>
      </w:pPr>
      <w:r w:rsidRPr="00C3100A">
        <w:rPr>
          <w:b/>
          <w:bCs/>
        </w:rPr>
        <w:t xml:space="preserve">Разходи по </w:t>
      </w:r>
      <w:r w:rsidR="00850FB1" w:rsidRPr="00C3100A">
        <w:rPr>
          <w:b/>
          <w:bCs/>
        </w:rPr>
        <w:t>централн</w:t>
      </w:r>
      <w:r w:rsidRPr="00C3100A">
        <w:rPr>
          <w:b/>
          <w:bCs/>
          <w:szCs w:val="26"/>
        </w:rPr>
        <w:t xml:space="preserve">ия бюджет </w:t>
      </w:r>
      <w:r w:rsidRPr="00C3100A">
        <w:rPr>
          <w:b/>
          <w:bCs/>
        </w:rPr>
        <w:t>за субсидии</w:t>
      </w:r>
      <w:r w:rsidR="00F202DD" w:rsidRPr="00C3100A">
        <w:rPr>
          <w:b/>
          <w:bCs/>
        </w:rPr>
        <w:t>,</w:t>
      </w:r>
      <w:r w:rsidR="0091667E" w:rsidRPr="00C3100A">
        <w:rPr>
          <w:b/>
          <w:bCs/>
        </w:rPr>
        <w:t xml:space="preserve"> </w:t>
      </w:r>
      <w:r w:rsidR="00F202DD" w:rsidRPr="00C3100A">
        <w:rPr>
          <w:b/>
          <w:bCs/>
        </w:rPr>
        <w:t xml:space="preserve">капиталови </w:t>
      </w:r>
      <w:r w:rsidR="00AF1CA0" w:rsidRPr="00C3100A">
        <w:rPr>
          <w:b/>
          <w:bCs/>
        </w:rPr>
        <w:t>трансфери</w:t>
      </w:r>
      <w:r w:rsidR="00AF1CA0" w:rsidRPr="00C3100A">
        <w:rPr>
          <w:bCs/>
        </w:rPr>
        <w:t xml:space="preserve"> </w:t>
      </w:r>
      <w:r w:rsidRPr="00C3100A">
        <w:rPr>
          <w:b/>
          <w:bCs/>
        </w:rPr>
        <w:t xml:space="preserve">и други разходи, свързани с дейността на реалния сектор </w:t>
      </w:r>
    </w:p>
    <w:p w14:paraId="621F3B18" w14:textId="77777777" w:rsidR="009C2594" w:rsidRPr="00DB12BD" w:rsidRDefault="009C2594" w:rsidP="009C2594">
      <w:pPr>
        <w:pStyle w:val="Header"/>
        <w:jc w:val="both"/>
        <w:rPr>
          <w:color w:val="0070C0"/>
          <w:sz w:val="8"/>
          <w:szCs w:val="8"/>
        </w:rPr>
      </w:pPr>
    </w:p>
    <w:p w14:paraId="01E23895" w14:textId="77777777" w:rsidR="008B27A9" w:rsidRPr="007501B1" w:rsidRDefault="008B27A9" w:rsidP="008B27A9">
      <w:pPr>
        <w:pStyle w:val="Header"/>
        <w:ind w:firstLine="567"/>
        <w:jc w:val="both"/>
      </w:pPr>
      <w:r w:rsidRPr="007501B1">
        <w:t>Със ЗДБРБ за 2022 г. са утвърдени 116,3 млн. лв</w:t>
      </w:r>
      <w:r w:rsidRPr="007501B1">
        <w:rPr>
          <w:b/>
        </w:rPr>
        <w:t>.</w:t>
      </w:r>
      <w:r w:rsidRPr="007501B1">
        <w:t xml:space="preserve"> </w:t>
      </w:r>
      <w:r w:rsidRPr="007501B1">
        <w:rPr>
          <w:b/>
          <w:i/>
        </w:rPr>
        <w:t>субсидии</w:t>
      </w:r>
      <w:r w:rsidRPr="007501B1">
        <w:rPr>
          <w:i/>
        </w:rPr>
        <w:t xml:space="preserve"> </w:t>
      </w:r>
      <w:r w:rsidRPr="007501B1">
        <w:t>за нефинансови предприятия от централния бюджет.</w:t>
      </w:r>
    </w:p>
    <w:p w14:paraId="5EA15AA8" w14:textId="77777777" w:rsidR="008B27A9" w:rsidRPr="00DB12BD" w:rsidRDefault="008B27A9" w:rsidP="008B27A9">
      <w:pPr>
        <w:pStyle w:val="Header"/>
        <w:ind w:firstLine="567"/>
        <w:jc w:val="both"/>
        <w:rPr>
          <w:color w:val="0070C0"/>
          <w:sz w:val="4"/>
          <w:szCs w:val="4"/>
        </w:rPr>
      </w:pPr>
    </w:p>
    <w:p w14:paraId="6F1FD784" w14:textId="77777777" w:rsidR="008B27A9" w:rsidRPr="00E41523" w:rsidRDefault="008B27A9" w:rsidP="008B27A9">
      <w:pPr>
        <w:pStyle w:val="BodyText2"/>
        <w:spacing w:after="0" w:line="240" w:lineRule="auto"/>
        <w:ind w:firstLine="567"/>
        <w:jc w:val="both"/>
      </w:pPr>
      <w:r w:rsidRPr="00E41523">
        <w:t xml:space="preserve">Средствата за </w:t>
      </w:r>
      <w:r w:rsidRPr="00E41523">
        <w:rPr>
          <w:bCs/>
        </w:rPr>
        <w:t>субсидии</w:t>
      </w:r>
      <w:r w:rsidRPr="00E41523">
        <w:t xml:space="preserve"> са предназначени за търговски дружества, осъществяващи превоза на пътниците по нерентабилни автобусни линии във вътрешноградския транспорт и транспорта в планински и други райони, за текущо поддържане и експлоатация на железопътната инфраструктура и др.</w:t>
      </w:r>
    </w:p>
    <w:p w14:paraId="339BD6CB" w14:textId="77777777" w:rsidR="008B27A9" w:rsidRPr="00DB12BD" w:rsidRDefault="008B27A9" w:rsidP="008B27A9">
      <w:pPr>
        <w:pStyle w:val="BodyText2"/>
        <w:spacing w:after="0" w:line="240" w:lineRule="auto"/>
        <w:jc w:val="both"/>
        <w:rPr>
          <w:color w:val="0070C0"/>
          <w:sz w:val="12"/>
          <w:szCs w:val="12"/>
        </w:rPr>
      </w:pPr>
    </w:p>
    <w:p w14:paraId="7C8BFCB0" w14:textId="77777777" w:rsidR="008B27A9" w:rsidRPr="00E41523" w:rsidRDefault="008B27A9" w:rsidP="008B27A9">
      <w:pPr>
        <w:pStyle w:val="BodyTextIndent"/>
        <w:ind w:left="0" w:firstLine="357"/>
        <w:jc w:val="both"/>
      </w:pPr>
      <w:r w:rsidRPr="00E41523">
        <w:t>-</w:t>
      </w:r>
      <w:r w:rsidRPr="00DB12BD">
        <w:rPr>
          <w:color w:val="0070C0"/>
        </w:rPr>
        <w:t xml:space="preserve"> </w:t>
      </w:r>
      <w:r w:rsidRPr="00E41523">
        <w:t xml:space="preserve">Със ЗДБРБ за 2022 г. за Национална компания „Железопътна инфраструктура” са предвидени средства под формата на субсидии, предназначени за поддържане и експлоатация </w:t>
      </w:r>
      <w:r w:rsidRPr="00E41523">
        <w:lastRenderedPageBreak/>
        <w:t xml:space="preserve">на железопътната инфраструктура, в размер на 46,3 млн. лева. Средствата са усвоени изцяло, като същите са предоставени в съответствие с утвърдения от министъра на транспорта и съобщенията График за превеждане на субсидиите, съобразен с необходимостта от средства за финансиране на текущите дейности на предприятието. </w:t>
      </w:r>
    </w:p>
    <w:p w14:paraId="2169EF10" w14:textId="77777777" w:rsidR="008B27A9" w:rsidRPr="00E41523" w:rsidRDefault="008B27A9" w:rsidP="008B27A9">
      <w:pPr>
        <w:pStyle w:val="BodyTextIndent2"/>
        <w:spacing w:line="240" w:lineRule="auto"/>
        <w:ind w:left="0" w:firstLine="357"/>
        <w:jc w:val="both"/>
        <w:rPr>
          <w:noProof/>
        </w:rPr>
      </w:pPr>
      <w:r w:rsidRPr="00E41523">
        <w:t>- Със Закона за държавния бюджет на Република България за 2022 г. (</w:t>
      </w:r>
      <w:proofErr w:type="spellStart"/>
      <w:r w:rsidRPr="00E41523">
        <w:t>Oбн</w:t>
      </w:r>
      <w:proofErr w:type="spellEnd"/>
      <w:r w:rsidRPr="00E41523">
        <w:t xml:space="preserve">., ДВ, бр. 18 от 4.03.2022 г., в сила от 1.01.2022 г., изм. и доп., бр. 52 от 5.07.2022 г., в сила от 1.07.2022 г.) са предвидени средства за субсидиране на превоза на пътници по нерентабилни автобусни линии във вътрешноградския транспорт и транспорта в планински и други райони в общ размер на 160,5 млн. лв., в т.ч. за Столична община - в размер на 89,0 млн. лв. </w:t>
      </w:r>
      <w:r w:rsidRPr="006D4849">
        <w:t>През 2022 г. предоставените средства са в размер на 160,4 млн. лв., в т.ч. за Столична община - в размер на 89,0 млн. лв., или 99,96 на сто от предвидените по годишния план. Средствата се разпределят по общини от Министерство на транспорта и съобщенията, с изключение на тези за Столична община, които са определени на самостоятелен ред в Закона за държавния бюджет на Република България за 2022 г</w:t>
      </w:r>
      <w:r>
        <w:t>.</w:t>
      </w:r>
      <w:r w:rsidRPr="006D4849">
        <w:t xml:space="preserve"> </w:t>
      </w:r>
      <w:r w:rsidRPr="00E41523">
        <w:t>С изменението на ЗДБРБ за 2022 г., в чл. 1, ал. 5, т. 13.4 от същия закон са предвидени допълнителни средства в размер на 20,0 млн. лв. за превоз на пътници по междуселищни автобусни линии извън тези по § 4, ал. 1 и 2 от Заключителните разпоредби на Закона за автомобилните превози. Средствата са усвоени изцяло</w:t>
      </w:r>
      <w:r w:rsidRPr="00E41523">
        <w:rPr>
          <w:noProof/>
        </w:rPr>
        <w:t>.</w:t>
      </w:r>
    </w:p>
    <w:p w14:paraId="78050DDA" w14:textId="177B0AA9" w:rsidR="008B27A9" w:rsidRPr="00EE4388" w:rsidRDefault="008B27A9" w:rsidP="008B27A9">
      <w:pPr>
        <w:ind w:firstLine="567"/>
        <w:jc w:val="both"/>
        <w:rPr>
          <w:bCs/>
        </w:rPr>
      </w:pPr>
      <w:r w:rsidRPr="006D4849">
        <w:rPr>
          <w:b/>
          <w:i/>
        </w:rPr>
        <w:t>Капиталовите трансфери</w:t>
      </w:r>
      <w:r w:rsidRPr="006D4849">
        <w:t xml:space="preserve"> по централния бюджет към 31.12.2022 г. възлизат на 41,3</w:t>
      </w:r>
      <w:r w:rsidR="004E414E">
        <w:t> </w:t>
      </w:r>
      <w:r w:rsidRPr="006D4849">
        <w:t xml:space="preserve">млн. лева. </w:t>
      </w:r>
      <w:r w:rsidRPr="00EE4388">
        <w:rPr>
          <w:bCs/>
        </w:rPr>
        <w:t>За капиталови трансфери от централния бюджет за нефинансови предприятия със ЗДБРБ за 2022 г. са предвидени 49,9 млн. лева.</w:t>
      </w:r>
      <w:r w:rsidRPr="00EE4388">
        <w:t xml:space="preserve"> През месец януари 2022 г. са </w:t>
      </w:r>
      <w:r w:rsidRPr="00EE4388">
        <w:rPr>
          <w:bCs/>
        </w:rPr>
        <w:t>възстановени средства от предоставени капиталови трансфери през 2021 г. на „БДЖ-Пътнически превози“ ЕООД и Национална компания „Железопътна инфраструктура“ в съответствие с чл. 10, ал. 8 от ПМС № 408/2020 г. в размер на 3,4 млн. лева.</w:t>
      </w:r>
      <w:r w:rsidRPr="00DB12BD">
        <w:rPr>
          <w:bCs/>
          <w:color w:val="0070C0"/>
        </w:rPr>
        <w:t xml:space="preserve"> </w:t>
      </w:r>
      <w:r w:rsidRPr="00EE4388">
        <w:rPr>
          <w:bCs/>
        </w:rPr>
        <w:t>Преведените и усвоени средства за 2022 г. са в размер на 4</w:t>
      </w:r>
      <w:r w:rsidRPr="004A2E93">
        <w:rPr>
          <w:bCs/>
          <w:lang w:val="ru-RU"/>
        </w:rPr>
        <w:t>4</w:t>
      </w:r>
      <w:r w:rsidRPr="00EE4388">
        <w:rPr>
          <w:bCs/>
        </w:rPr>
        <w:t>,</w:t>
      </w:r>
      <w:r w:rsidRPr="004A2E93">
        <w:rPr>
          <w:bCs/>
          <w:lang w:val="ru-RU"/>
        </w:rPr>
        <w:t>8</w:t>
      </w:r>
      <w:r w:rsidRPr="00EE4388">
        <w:rPr>
          <w:bCs/>
        </w:rPr>
        <w:t xml:space="preserve"> млн. лв. или 89,8 % от годишния размер, както следва:</w:t>
      </w:r>
    </w:p>
    <w:p w14:paraId="74F16A9D" w14:textId="77777777" w:rsidR="008B27A9" w:rsidRPr="00EE4388" w:rsidRDefault="008B27A9" w:rsidP="008B27A9">
      <w:pPr>
        <w:numPr>
          <w:ilvl w:val="0"/>
          <w:numId w:val="5"/>
        </w:numPr>
        <w:tabs>
          <w:tab w:val="clear" w:pos="1440"/>
          <w:tab w:val="left" w:pos="851"/>
          <w:tab w:val="left" w:pos="1134"/>
        </w:tabs>
        <w:ind w:left="0" w:firstLine="567"/>
        <w:jc w:val="both"/>
        <w:rPr>
          <w:i/>
        </w:rPr>
      </w:pPr>
      <w:r w:rsidRPr="00EE4388">
        <w:rPr>
          <w:i/>
        </w:rPr>
        <w:t>капиталови трансфери за  Национална компания „Железопътна инфраструктура</w:t>
      </w:r>
      <w:r w:rsidRPr="00EE4388">
        <w:t>” - ф</w:t>
      </w:r>
      <w:r w:rsidRPr="00EE4388">
        <w:rPr>
          <w:noProof/>
        </w:rPr>
        <w:t>инансовото подпомагане от страна на държавата за изграждане и развитие на железопътната инфраструктура е насочено към повишаване на качеството и нивото на безопасност на транспортните услуги, ускоряване реализацията на проекти, свързани с европейските транспортни оси и коридори на територията на страната, ремонт и рехабилитация на железопътната мрежа</w:t>
      </w:r>
      <w:r w:rsidRPr="00EE4388">
        <w:t xml:space="preserve">. </w:t>
      </w:r>
      <w:r w:rsidRPr="00EE4388">
        <w:rPr>
          <w:noProof/>
        </w:rPr>
        <w:t>За 2022 г. от централния бюджет за компанията е предвиден капиталов трансфер в размер на 11,1 млн. лева. Средствата са усвоени изцяло. Изпълняват се проекти за ремонт и придобиване на дълготрайни материални активи, за възстановяване и подобряване на експлоатационното състояние на железния път и съоръженията, както и ремонт и преустройство на възлови жп гари в съответствие с европейските изисквания;</w:t>
      </w:r>
    </w:p>
    <w:p w14:paraId="6C940424" w14:textId="77777777" w:rsidR="008B27A9" w:rsidRPr="00EE4388" w:rsidRDefault="008B27A9" w:rsidP="008B27A9">
      <w:pPr>
        <w:numPr>
          <w:ilvl w:val="0"/>
          <w:numId w:val="5"/>
        </w:numPr>
        <w:tabs>
          <w:tab w:val="clear" w:pos="1440"/>
          <w:tab w:val="num" w:pos="360"/>
          <w:tab w:val="left" w:pos="851"/>
        </w:tabs>
        <w:ind w:left="0" w:firstLine="567"/>
        <w:jc w:val="both"/>
        <w:rPr>
          <w:i/>
        </w:rPr>
      </w:pPr>
      <w:r w:rsidRPr="00EE4388">
        <w:rPr>
          <w:i/>
        </w:rPr>
        <w:t xml:space="preserve">капиталови трансфери за „БДЖ – Пътнически превози” - ЕООД – </w:t>
      </w:r>
      <w:r w:rsidRPr="00EE4388">
        <w:t>предвидените средства със ЗДБРБ за 2022 г. са в размер на 18,3 млн. лева. Средствата са у</w:t>
      </w:r>
      <w:r w:rsidRPr="00EE4388">
        <w:rPr>
          <w:noProof/>
        </w:rPr>
        <w:t xml:space="preserve">своени изцяло и </w:t>
      </w:r>
      <w:r w:rsidRPr="00EE4388">
        <w:t>са предназначени за планов заводски (среден и капитален) ремонт и модернизация на пътнически вагони и подемен и капитален ремонт и преустройство на електрически локомотиви;</w:t>
      </w:r>
    </w:p>
    <w:p w14:paraId="056FC3B4" w14:textId="5CBBE79F" w:rsidR="008B27A9" w:rsidRPr="00EE4388" w:rsidRDefault="008B27A9" w:rsidP="008B27A9">
      <w:pPr>
        <w:numPr>
          <w:ilvl w:val="1"/>
          <w:numId w:val="13"/>
        </w:numPr>
        <w:tabs>
          <w:tab w:val="clear" w:pos="1440"/>
          <w:tab w:val="num" w:pos="360"/>
          <w:tab w:val="left" w:pos="851"/>
        </w:tabs>
        <w:ind w:left="0" w:firstLine="567"/>
        <w:jc w:val="both"/>
      </w:pPr>
      <w:r w:rsidRPr="00EE4388">
        <w:rPr>
          <w:i/>
        </w:rPr>
        <w:t>капиталови трансфери за ДП „Пристанищна инфраструктура”</w:t>
      </w:r>
      <w:r w:rsidRPr="00EE4388">
        <w:rPr>
          <w:b/>
          <w:i/>
        </w:rPr>
        <w:t xml:space="preserve"> </w:t>
      </w:r>
      <w:r w:rsidRPr="00EE4388">
        <w:t>- инвестиционната програма на дружеството, която включва изграждане и капиталов ремонт на пристанищна инфраструктура на пристанищата за обществен транспорт с национално значение, се изпълнява с участието на капиталови трансфери от държавния бюджет</w:t>
      </w:r>
      <w:r w:rsidRPr="00EE4388">
        <w:rPr>
          <w:noProof/>
        </w:rPr>
        <w:t>. Предвидените със ЗДБРБ за  2022</w:t>
      </w:r>
      <w:r w:rsidR="004E414E">
        <w:rPr>
          <w:noProof/>
        </w:rPr>
        <w:t> </w:t>
      </w:r>
      <w:r w:rsidRPr="00EE4388">
        <w:rPr>
          <w:noProof/>
        </w:rPr>
        <w:t>г. средства са в размер на 10,5 млн. лева. За 2022 г. са усвоени средства в размер на 10,4 млн. лв. или 99,3 на сто от предвидените по централния бюджет.</w:t>
      </w:r>
    </w:p>
    <w:p w14:paraId="2BB39627" w14:textId="77777777" w:rsidR="008B27A9" w:rsidRPr="00EE4388" w:rsidRDefault="008B27A9" w:rsidP="008B27A9">
      <w:pPr>
        <w:ind w:firstLine="567"/>
        <w:jc w:val="both"/>
      </w:pPr>
      <w:r w:rsidRPr="00EE4388">
        <w:t xml:space="preserve">През 2022 г. продължава изпълнението на Програмите за отстраняване на нанесени щети </w:t>
      </w:r>
      <w:r w:rsidRPr="00EE4388">
        <w:rPr>
          <w:noProof/>
        </w:rPr>
        <w:t>върху околната среда</w:t>
      </w:r>
      <w:r w:rsidRPr="00EE4388">
        <w:t xml:space="preserve">, настъпили от минали действия или бездействия, при приватизация. В ЗДБРБ за 2022 г. за тези програми са предвидени 10,0 млн. лева. </w:t>
      </w:r>
      <w:r w:rsidRPr="00EE4388">
        <w:rPr>
          <w:noProof/>
        </w:rPr>
        <w:t xml:space="preserve">За 2022 г. </w:t>
      </w:r>
      <w:r w:rsidRPr="00EE4388">
        <w:t>са усвоени средства в размер на 5,0 млн. лв. или 49,9 на сто от годишния план.</w:t>
      </w:r>
    </w:p>
    <w:p w14:paraId="23940DC4" w14:textId="7DB68E72" w:rsidR="008B27A9" w:rsidRPr="009B5306" w:rsidRDefault="008B27A9" w:rsidP="008B27A9">
      <w:pPr>
        <w:ind w:firstLine="567"/>
        <w:jc w:val="both"/>
      </w:pPr>
      <w:r w:rsidRPr="009B5306">
        <w:rPr>
          <w:bCs/>
        </w:rPr>
        <w:t xml:space="preserve">Със ЗДБРБ за 2022 г. са предвидени и </w:t>
      </w:r>
      <w:r w:rsidRPr="009B5306">
        <w:rPr>
          <w:b/>
          <w:bCs/>
        </w:rPr>
        <w:t>други разходи по централния бюджет</w:t>
      </w:r>
      <w:r w:rsidRPr="009B5306">
        <w:rPr>
          <w:bCs/>
        </w:rPr>
        <w:t xml:space="preserve">, свързани с дейността на реалния сектор, </w:t>
      </w:r>
      <w:r w:rsidR="00B140BF" w:rsidRPr="00B140BF">
        <w:rPr>
          <w:bCs/>
        </w:rPr>
        <w:t xml:space="preserve">като основна част от тях се предоставят под формата на целеви трансфер на общините </w:t>
      </w:r>
      <w:r w:rsidR="00B140BF">
        <w:rPr>
          <w:bCs/>
        </w:rPr>
        <w:t>и</w:t>
      </w:r>
      <w:r w:rsidRPr="009B5306">
        <w:rPr>
          <w:bCs/>
        </w:rPr>
        <w:t xml:space="preserve"> са</w:t>
      </w:r>
      <w:r w:rsidRPr="009B5306">
        <w:t xml:space="preserve"> предназначени за: </w:t>
      </w:r>
    </w:p>
    <w:p w14:paraId="01E0E981" w14:textId="77777777" w:rsidR="008B27A9" w:rsidRPr="00DB12BD" w:rsidRDefault="008B27A9" w:rsidP="008B27A9">
      <w:pPr>
        <w:jc w:val="both"/>
        <w:rPr>
          <w:color w:val="0070C0"/>
          <w:sz w:val="8"/>
          <w:szCs w:val="8"/>
        </w:rPr>
      </w:pPr>
    </w:p>
    <w:p w14:paraId="2C6AB06A" w14:textId="4E4A84DA" w:rsidR="008B27A9" w:rsidRPr="009B5306" w:rsidRDefault="008B27A9" w:rsidP="008B27A9">
      <w:pPr>
        <w:numPr>
          <w:ilvl w:val="0"/>
          <w:numId w:val="5"/>
        </w:numPr>
        <w:tabs>
          <w:tab w:val="clear" w:pos="1440"/>
          <w:tab w:val="num" w:pos="360"/>
          <w:tab w:val="left" w:pos="851"/>
        </w:tabs>
        <w:ind w:left="0" w:firstLine="567"/>
        <w:jc w:val="both"/>
        <w:rPr>
          <w:sz w:val="8"/>
          <w:szCs w:val="8"/>
        </w:rPr>
      </w:pPr>
      <w:r w:rsidRPr="009B5306">
        <w:rPr>
          <w:i/>
        </w:rPr>
        <w:t xml:space="preserve">Компенсиране на </w:t>
      </w:r>
      <w:r w:rsidRPr="009B5306">
        <w:rPr>
          <w:bCs/>
          <w:i/>
        </w:rPr>
        <w:t>намалените приходи от прилагането на цени за пътуване, предвидени в нормативни актове за определени категории пътници</w:t>
      </w:r>
      <w:r w:rsidRPr="009B5306">
        <w:rPr>
          <w:i/>
        </w:rPr>
        <w:t xml:space="preserve"> по железопътния и </w:t>
      </w:r>
      <w:r w:rsidRPr="009B5306">
        <w:rPr>
          <w:i/>
        </w:rPr>
        <w:lastRenderedPageBreak/>
        <w:t>автомобилния транспорт, със средства от държавния бюджет</w:t>
      </w:r>
      <w:r w:rsidRPr="009B5306">
        <w:t xml:space="preserve"> - предвидените средства са общо в размер на 146,5 млн. лв., от които 133,5 млн. лв. </w:t>
      </w:r>
      <w:r w:rsidRPr="009B5306">
        <w:rPr>
          <w:noProof/>
        </w:rPr>
        <w:t>за пътувания с вътрешноградския транспорт и междуселищния автомобилен транспорт</w:t>
      </w:r>
      <w:r w:rsidRPr="009B5306">
        <w:t>, за транспорт на деца и ученици по чл. 283, ал. 2 от Закона за предучилищното и училищното образование и за превоз на служители, ползващи право на безплатно пътуване при изпълнение на служебните си задължения, и 13,0</w:t>
      </w:r>
      <w:r w:rsidR="004E414E">
        <w:t> </w:t>
      </w:r>
      <w:r w:rsidRPr="009B5306">
        <w:t>млн. лв. за пътувания с железопътния транспорт.</w:t>
      </w:r>
      <w:r w:rsidRPr="00DB12BD">
        <w:rPr>
          <w:color w:val="0070C0"/>
        </w:rPr>
        <w:t xml:space="preserve"> </w:t>
      </w:r>
      <w:r>
        <w:t>Допълнително</w:t>
      </w:r>
      <w:r w:rsidRPr="004A2E93">
        <w:rPr>
          <w:lang w:val="ru-RU"/>
        </w:rPr>
        <w:t>,</w:t>
      </w:r>
      <w:r>
        <w:t xml:space="preserve"> с </w:t>
      </w:r>
      <w:r w:rsidRPr="0047453A">
        <w:t>ПМС № 4</w:t>
      </w:r>
      <w:r>
        <w:t>14</w:t>
      </w:r>
      <w:r w:rsidRPr="0047453A">
        <w:t>/202</w:t>
      </w:r>
      <w:r>
        <w:t>2</w:t>
      </w:r>
      <w:r w:rsidRPr="0047453A">
        <w:t xml:space="preserve"> г.</w:t>
      </w:r>
      <w:r w:rsidRPr="004A2E93">
        <w:rPr>
          <w:lang w:val="ru-RU"/>
        </w:rPr>
        <w:t xml:space="preserve"> </w:t>
      </w:r>
      <w:r>
        <w:t xml:space="preserve">са предоставени средства </w:t>
      </w:r>
      <w:r w:rsidRPr="007F552F">
        <w:t>за транспорт на деца и ученици</w:t>
      </w:r>
      <w:r>
        <w:t xml:space="preserve"> </w:t>
      </w:r>
      <w:r w:rsidRPr="007F552F">
        <w:t>по чл. 283, ал. 2 от Закона за предучилищното и училищното образование</w:t>
      </w:r>
      <w:r>
        <w:t>,</w:t>
      </w:r>
      <w:r w:rsidRPr="0047453A">
        <w:t xml:space="preserve"> в размер </w:t>
      </w:r>
      <w:r>
        <w:t>на 1,6 млн. лв.</w:t>
      </w:r>
      <w:r w:rsidRPr="0047453A">
        <w:t xml:space="preserve"> </w:t>
      </w:r>
      <w:r>
        <w:t>С това общият размер на средствата за к</w:t>
      </w:r>
      <w:r w:rsidRPr="00017FD1">
        <w:t>омпенсиране на намалените приходи от прилагането на цени за пътуване, предвидени в нормативни актове за определени категории пътници</w:t>
      </w:r>
      <w:r>
        <w:t>,</w:t>
      </w:r>
      <w:r w:rsidRPr="00017FD1">
        <w:t xml:space="preserve"> </w:t>
      </w:r>
      <w:r>
        <w:t xml:space="preserve">е увеличен на 148,1 млн. лв. за 2022 г. </w:t>
      </w:r>
      <w:r w:rsidRPr="009B5306">
        <w:t xml:space="preserve">Предоставените средства за 2022 г. са общо в размер на 143,4 млн. лв., в т.ч. за вътрешноградския транспорт, междуселищния автомобилен транспорт и железопътния транспорт, или 97,9 на сто от годишния план. </w:t>
      </w:r>
    </w:p>
    <w:p w14:paraId="13FE8EFB" w14:textId="77777777" w:rsidR="008B27A9" w:rsidRPr="00F2124C" w:rsidRDefault="008B27A9" w:rsidP="008B27A9">
      <w:pPr>
        <w:tabs>
          <w:tab w:val="left" w:pos="851"/>
        </w:tabs>
        <w:ind w:firstLine="567"/>
        <w:jc w:val="both"/>
      </w:pPr>
      <w:r w:rsidRPr="00F2124C">
        <w:t xml:space="preserve">Предоставените средства към 31.12.2022 г. за компенсиране на намалените приходи от прилагането на цени за пътуване, предвидени в нормативни актове за определени категории пътници /компенсации/, структурирани според вида ползван транспорт – </w:t>
      </w:r>
      <w:r w:rsidRPr="00F2124C">
        <w:rPr>
          <w:noProof/>
        </w:rPr>
        <w:t xml:space="preserve">вътрешноградски транспорт и междуселищен </w:t>
      </w:r>
      <w:r w:rsidRPr="00F2124C">
        <w:t>автомобилен транспорт или железопътен транспорт, съгласно ПМС № 31/2022 г., са както следва:</w:t>
      </w:r>
    </w:p>
    <w:p w14:paraId="27BFEDB4" w14:textId="77777777" w:rsidR="008B27A9" w:rsidRPr="00F2124C" w:rsidRDefault="008B27A9" w:rsidP="008B27A9">
      <w:pPr>
        <w:ind w:firstLine="567"/>
        <w:jc w:val="both"/>
      </w:pPr>
      <w:r w:rsidRPr="00F2124C">
        <w:t xml:space="preserve">- компенсации за пътувания с железопътния транспорт в размер на 9,7 млн. лв.,  което е 74,7 на сто от утвърдения годишен план; </w:t>
      </w:r>
    </w:p>
    <w:p w14:paraId="090EE6EA" w14:textId="7EA7E8D7" w:rsidR="008B27A9" w:rsidRPr="00F2124C" w:rsidRDefault="008B27A9" w:rsidP="008B27A9">
      <w:pPr>
        <w:tabs>
          <w:tab w:val="left" w:pos="540"/>
          <w:tab w:val="left" w:pos="709"/>
        </w:tabs>
        <w:ind w:firstLine="567"/>
        <w:jc w:val="both"/>
        <w:rPr>
          <w:noProof/>
        </w:rPr>
      </w:pPr>
      <w:r w:rsidRPr="00F2124C">
        <w:rPr>
          <w:noProof/>
        </w:rPr>
        <w:t xml:space="preserve">- компенсации за пътувания с вътрешноградски транспорт и междуселищния автомобилен транспорт в страната, предоставени </w:t>
      </w:r>
      <w:r w:rsidR="00B140BF" w:rsidRPr="00B140BF">
        <w:rPr>
          <w:bCs/>
        </w:rPr>
        <w:t xml:space="preserve">под формата на целеви трансфер на общините </w:t>
      </w:r>
      <w:r w:rsidRPr="00F2124C">
        <w:rPr>
          <w:noProof/>
        </w:rPr>
        <w:t xml:space="preserve">чрез Системата за електронни бюджетни разплащания – 133,7 млн. лв., което е 99,0 на сто от утвърдения годишен план. </w:t>
      </w:r>
    </w:p>
    <w:p w14:paraId="1BBD4E4A" w14:textId="77777777" w:rsidR="008B27A9" w:rsidRPr="00F2124C" w:rsidRDefault="008B27A9" w:rsidP="008B27A9">
      <w:pPr>
        <w:ind w:firstLine="567"/>
        <w:jc w:val="both"/>
        <w:rPr>
          <w:noProof/>
        </w:rPr>
      </w:pPr>
      <w:r w:rsidRPr="00F2124C">
        <w:rPr>
          <w:noProof/>
        </w:rPr>
        <w:t xml:space="preserve">Предоставените средства за </w:t>
      </w:r>
      <w:r w:rsidRPr="00F2124C">
        <w:t>компенсиране на намалените приходи от прилагането на цени за пътуване, предвидени в нормативни актове за определени категории пътници,</w:t>
      </w:r>
      <w:r w:rsidRPr="00F2124C">
        <w:rPr>
          <w:noProof/>
        </w:rPr>
        <w:t xml:space="preserve"> по вътрешноградския транспорт и междуселищния автомобилен транспорт за 2022 г., диференцирани по групи правоимащи лица и размер на намалението спрямо редовната цена, са както следва:</w:t>
      </w:r>
    </w:p>
    <w:p w14:paraId="487137F6" w14:textId="77777777" w:rsidR="008B27A9" w:rsidRPr="007C6730" w:rsidRDefault="008B27A9" w:rsidP="008B27A9">
      <w:pPr>
        <w:pStyle w:val="BodyTextIndent"/>
        <w:spacing w:after="0"/>
        <w:ind w:left="0" w:firstLine="567"/>
        <w:jc w:val="both"/>
      </w:pPr>
      <w:r w:rsidRPr="007C6730">
        <w:t xml:space="preserve">- 54,1 млн. лв. за транспорт на деца и ученици като средствата са предоставени изцяло; </w:t>
      </w:r>
    </w:p>
    <w:p w14:paraId="3A7CB25B" w14:textId="77777777" w:rsidR="008B27A9" w:rsidRPr="007C6730" w:rsidRDefault="008B27A9" w:rsidP="008B27A9">
      <w:pPr>
        <w:pStyle w:val="BodyTextIndent"/>
        <w:tabs>
          <w:tab w:val="left" w:pos="1026"/>
        </w:tabs>
        <w:spacing w:after="0"/>
        <w:ind w:left="0" w:firstLine="567"/>
        <w:jc w:val="both"/>
      </w:pPr>
      <w:r w:rsidRPr="007C6730">
        <w:t>- 79,6 млн. лв. за безплатни и по намалени цени пътувания по общини. Следва да се има предвид, че по пътя на изпълнението тези разходи се отчитат като текущи трансфери, обезщетения и помощи за домакинствата по бюджетите на общините. Изпълнението спрямо годишния план е 98,3 на сто, в това число:</w:t>
      </w:r>
    </w:p>
    <w:p w14:paraId="5CD32CAA" w14:textId="7B62E436" w:rsidR="008B27A9" w:rsidRPr="007C6730" w:rsidRDefault="008B27A9" w:rsidP="008B27A9">
      <w:pPr>
        <w:numPr>
          <w:ilvl w:val="0"/>
          <w:numId w:val="30"/>
        </w:numPr>
        <w:tabs>
          <w:tab w:val="left" w:pos="993"/>
        </w:tabs>
        <w:jc w:val="both"/>
      </w:pPr>
      <w:r w:rsidRPr="007C6730">
        <w:t>62,6 млн. лв. за безплатни пътувания на деца до седемгодишна възраст, ветерани от войните, военноинвалиди и военнопострадали, както и пътувания по намалени цени на деца от 7 до 10 навършени години, учащи се и лица, получаващи пенсия, с вътрешноградския транспорт и междуселищния автомобилен транспорт, което е 97,8</w:t>
      </w:r>
      <w:r w:rsidR="004E414E">
        <w:t> </w:t>
      </w:r>
      <w:r w:rsidRPr="007C6730">
        <w:t xml:space="preserve">на сто спрямо утвърдения годишен план; </w:t>
      </w:r>
    </w:p>
    <w:p w14:paraId="2C656D45" w14:textId="77777777" w:rsidR="008B27A9" w:rsidRPr="007C6730" w:rsidRDefault="008B27A9" w:rsidP="008B27A9">
      <w:pPr>
        <w:numPr>
          <w:ilvl w:val="0"/>
          <w:numId w:val="30"/>
        </w:numPr>
        <w:tabs>
          <w:tab w:val="left" w:pos="993"/>
        </w:tabs>
        <w:jc w:val="both"/>
      </w:pPr>
      <w:r w:rsidRPr="007C6730">
        <w:t>17,0 млн. лв. за превоз на служители, ползващи право на безплатно пътуване при изпълнение на служебните си задължения, като средствата са предоставени изцяло.</w:t>
      </w:r>
    </w:p>
    <w:p w14:paraId="5F9884CB" w14:textId="77777777" w:rsidR="00333B5E" w:rsidRPr="00DB12BD" w:rsidRDefault="00333B5E" w:rsidP="00333B5E">
      <w:pPr>
        <w:jc w:val="both"/>
        <w:rPr>
          <w:color w:val="0070C0"/>
          <w:sz w:val="12"/>
          <w:szCs w:val="12"/>
        </w:rPr>
      </w:pPr>
    </w:p>
    <w:p w14:paraId="7397520D" w14:textId="77777777" w:rsidR="005B46EE" w:rsidRPr="00E23E5C" w:rsidRDefault="005B46EE" w:rsidP="005B46EE">
      <w:pPr>
        <w:numPr>
          <w:ilvl w:val="0"/>
          <w:numId w:val="7"/>
        </w:numPr>
        <w:spacing w:after="120"/>
        <w:ind w:left="0" w:firstLine="360"/>
        <w:jc w:val="both"/>
        <w:rPr>
          <w:b/>
        </w:rPr>
      </w:pPr>
      <w:r w:rsidRPr="00E23E5C">
        <w:rPr>
          <w:b/>
        </w:rPr>
        <w:t xml:space="preserve">Разходи за лихви </w:t>
      </w:r>
    </w:p>
    <w:p w14:paraId="0F33AD45" w14:textId="77777777" w:rsidR="005B46EE" w:rsidRPr="00E23E5C" w:rsidRDefault="005B46EE" w:rsidP="005B46EE">
      <w:pPr>
        <w:spacing w:after="120"/>
        <w:jc w:val="both"/>
      </w:pPr>
      <w:r w:rsidRPr="00E23E5C">
        <w:rPr>
          <w:b/>
        </w:rPr>
        <w:t xml:space="preserve">Лихвените плащания </w:t>
      </w:r>
      <w:r w:rsidRPr="00E23E5C">
        <w:t xml:space="preserve">по държавния бюджет към </w:t>
      </w:r>
      <w:r w:rsidRPr="00E23E5C">
        <w:rPr>
          <w:lang w:val="ru-RU"/>
        </w:rPr>
        <w:t>31.12.2022</w:t>
      </w:r>
      <w:r w:rsidRPr="00E23E5C">
        <w:t xml:space="preserve"> г. са в общ размер на </w:t>
      </w:r>
      <w:r w:rsidRPr="00E23E5C">
        <w:rPr>
          <w:b/>
        </w:rPr>
        <w:t>611,6 млн. лв</w:t>
      </w:r>
      <w:r w:rsidRPr="00E23E5C">
        <w:t>. или 97,1 % от предвидените в годишните разчети.</w:t>
      </w:r>
    </w:p>
    <w:p w14:paraId="4C8ADCF3" w14:textId="77777777" w:rsidR="005B46EE" w:rsidRPr="00754DEA" w:rsidRDefault="005B46EE" w:rsidP="005B46EE">
      <w:pPr>
        <w:spacing w:after="120"/>
        <w:jc w:val="both"/>
        <w:rPr>
          <w:color w:val="0070C0"/>
        </w:rPr>
      </w:pPr>
      <w:r w:rsidRPr="00FA5752">
        <w:t xml:space="preserve">Разходите за </w:t>
      </w:r>
      <w:r w:rsidRPr="00FA5752">
        <w:rPr>
          <w:b/>
        </w:rPr>
        <w:t>лихви по външни заеми</w:t>
      </w:r>
      <w:r w:rsidRPr="00FA5752">
        <w:t xml:space="preserve"> са в размер на </w:t>
      </w:r>
      <w:r w:rsidRPr="00FA5752">
        <w:rPr>
          <w:b/>
        </w:rPr>
        <w:t xml:space="preserve">485,0 млн. лв., </w:t>
      </w:r>
      <w:r w:rsidRPr="00FA5752">
        <w:t xml:space="preserve">в т.ч. 464,6 млн. лв. по централния бюджет. Разходите за лихви по ДИЗ, управлявани от министерства и ведомства, са в размер на 20,4 млн. лв. От тях 18,7 млн. лв. са лихвите по заемите, управлявани от министерства и ведомства и 1,7 млн. лв. по заемите с краен бенефициент - търговско дружество. </w:t>
      </w:r>
    </w:p>
    <w:p w14:paraId="064B288D" w14:textId="77777777" w:rsidR="005B46EE" w:rsidRPr="00300306" w:rsidRDefault="005B46EE" w:rsidP="005B46EE">
      <w:pPr>
        <w:spacing w:after="120"/>
        <w:jc w:val="both"/>
        <w:rPr>
          <w:b/>
        </w:rPr>
      </w:pPr>
      <w:r w:rsidRPr="002D6E9E">
        <w:t xml:space="preserve">През отчетния период не са използвани средства за покриване на риска от активиране на </w:t>
      </w:r>
      <w:r w:rsidRPr="00300306">
        <w:t>държавни гаранции.</w:t>
      </w:r>
      <w:r w:rsidRPr="00300306">
        <w:rPr>
          <w:b/>
        </w:rPr>
        <w:t xml:space="preserve"> </w:t>
      </w:r>
    </w:p>
    <w:p w14:paraId="0C5F6DA3" w14:textId="77777777" w:rsidR="005B46EE" w:rsidRPr="00754DEA" w:rsidRDefault="005B46EE" w:rsidP="005B46EE">
      <w:pPr>
        <w:spacing w:after="60"/>
        <w:jc w:val="both"/>
        <w:rPr>
          <w:color w:val="0070C0"/>
        </w:rPr>
      </w:pPr>
      <w:r w:rsidRPr="00300306">
        <w:rPr>
          <w:b/>
        </w:rPr>
        <w:t>Лихвите по вътрешни заеми</w:t>
      </w:r>
      <w:r w:rsidRPr="00300306">
        <w:t xml:space="preserve"> по държавния бюджет </w:t>
      </w:r>
      <w:r w:rsidRPr="00300306">
        <w:rPr>
          <w:bCs/>
        </w:rPr>
        <w:t>за 2022</w:t>
      </w:r>
      <w:r w:rsidRPr="00300306">
        <w:t xml:space="preserve"> г. са в размер на </w:t>
      </w:r>
      <w:r w:rsidRPr="00300306">
        <w:rPr>
          <w:b/>
        </w:rPr>
        <w:t>126,7 млн. лв.</w:t>
      </w:r>
      <w:r w:rsidRPr="00300306">
        <w:t xml:space="preserve"> и представляват основно лихви по емисии на ДЦК на вътрешния пазар</w:t>
      </w:r>
      <w:r w:rsidRPr="00754DEA">
        <w:rPr>
          <w:color w:val="0070C0"/>
        </w:rPr>
        <w:t xml:space="preserve">. </w:t>
      </w:r>
    </w:p>
    <w:p w14:paraId="43FDB379" w14:textId="77777777" w:rsidR="005B46EE" w:rsidRPr="00872EC3" w:rsidRDefault="005B46EE" w:rsidP="005B46EE">
      <w:pPr>
        <w:pStyle w:val="ListParagraph"/>
        <w:numPr>
          <w:ilvl w:val="0"/>
          <w:numId w:val="22"/>
        </w:numPr>
        <w:tabs>
          <w:tab w:val="left" w:pos="426"/>
        </w:tabs>
        <w:spacing w:before="120" w:after="60" w:line="240" w:lineRule="auto"/>
        <w:ind w:left="0" w:firstLine="0"/>
        <w:contextualSpacing w:val="0"/>
        <w:rPr>
          <w:rFonts w:ascii="Times New Roman" w:hAnsi="Times New Roman"/>
          <w:b/>
          <w:bCs/>
        </w:rPr>
      </w:pPr>
      <w:r w:rsidRPr="00872EC3">
        <w:rPr>
          <w:rFonts w:ascii="Times New Roman" w:hAnsi="Times New Roman"/>
          <w:b/>
          <w:bCs/>
        </w:rPr>
        <w:lastRenderedPageBreak/>
        <w:t>Нетният размер на трансферите по държавния бюджет</w:t>
      </w:r>
      <w:r w:rsidRPr="00872EC3">
        <w:rPr>
          <w:rFonts w:ascii="Times New Roman" w:hAnsi="Times New Roman"/>
          <w:bCs/>
        </w:rPr>
        <w:t xml:space="preserve">  за 2022</w:t>
      </w:r>
      <w:r w:rsidRPr="00872EC3">
        <w:rPr>
          <w:rFonts w:ascii="Times New Roman" w:hAnsi="Times New Roman"/>
        </w:rPr>
        <w:t xml:space="preserve"> г.</w:t>
      </w:r>
      <w:r w:rsidRPr="00872EC3">
        <w:rPr>
          <w:rFonts w:ascii="Times New Roman" w:hAnsi="Times New Roman"/>
          <w:bCs/>
        </w:rPr>
        <w:t xml:space="preserve"> е</w:t>
      </w:r>
      <w:r w:rsidRPr="00872EC3">
        <w:rPr>
          <w:rFonts w:ascii="Times New Roman" w:hAnsi="Times New Roman"/>
          <w:b/>
          <w:bCs/>
        </w:rPr>
        <w:t xml:space="preserve"> 20 451,2</w:t>
      </w:r>
      <w:r w:rsidRPr="00872EC3">
        <w:rPr>
          <w:rFonts w:ascii="Times New Roman" w:eastAsia="Calibri" w:hAnsi="Times New Roman"/>
          <w:b/>
        </w:rPr>
        <w:t> </w:t>
      </w:r>
      <w:r w:rsidRPr="00872EC3">
        <w:rPr>
          <w:rFonts w:ascii="Times New Roman" w:hAnsi="Times New Roman"/>
          <w:b/>
          <w:bCs/>
        </w:rPr>
        <w:t xml:space="preserve">млн. лв.,  </w:t>
      </w:r>
      <w:r w:rsidRPr="00872EC3">
        <w:rPr>
          <w:rFonts w:ascii="Times New Roman" w:hAnsi="Times New Roman"/>
          <w:bCs/>
        </w:rPr>
        <w:t>в т.ч.:</w:t>
      </w:r>
      <w:r w:rsidRPr="00872EC3">
        <w:rPr>
          <w:rFonts w:ascii="Times New Roman" w:hAnsi="Times New Roman"/>
          <w:b/>
          <w:bCs/>
        </w:rPr>
        <w:t xml:space="preserve"> </w:t>
      </w:r>
    </w:p>
    <w:p w14:paraId="76DAF7B4" w14:textId="77777777" w:rsidR="005B46EE" w:rsidRPr="00754DEA" w:rsidRDefault="005B46EE" w:rsidP="005B46EE">
      <w:pPr>
        <w:numPr>
          <w:ilvl w:val="0"/>
          <w:numId w:val="18"/>
        </w:numPr>
        <w:tabs>
          <w:tab w:val="clear" w:pos="700"/>
          <w:tab w:val="left" w:pos="180"/>
          <w:tab w:val="num" w:pos="540"/>
          <w:tab w:val="num" w:pos="1495"/>
          <w:tab w:val="num" w:pos="9858"/>
        </w:tabs>
        <w:ind w:left="538" w:hanging="357"/>
        <w:jc w:val="both"/>
        <w:rPr>
          <w:color w:val="0070C0"/>
        </w:rPr>
      </w:pPr>
      <w:r w:rsidRPr="00866B97">
        <w:t xml:space="preserve">бюджетните  взаимоотношения  с  общините  включват  нето трансфери  и временни </w:t>
      </w:r>
      <w:r w:rsidRPr="00BD1547">
        <w:t>безлихвени заеми в  размер  на 7 776,8 млн. лв.,</w:t>
      </w:r>
      <w:r w:rsidRPr="00BD1547">
        <w:rPr>
          <w:lang w:val="ru-RU"/>
        </w:rPr>
        <w:t xml:space="preserve"> </w:t>
      </w:r>
      <w:r w:rsidRPr="00BD1547">
        <w:t>от които субсидии от централния бюджет в размер на 6 114,0 млн. лв., други целеви трансфери от централния бюджет в размер на 568,1 млн. лв., нетни трансфери от/за други бюджети в размер на 1 111,1 млн. лв. и възстановени трансфери от предходни години в централния бюджет – 16,4 млн. лева;</w:t>
      </w:r>
    </w:p>
    <w:p w14:paraId="495DB0EC" w14:textId="77777777" w:rsidR="005B46EE" w:rsidRPr="00831956" w:rsidRDefault="005B46EE" w:rsidP="005B46EE">
      <w:pPr>
        <w:numPr>
          <w:ilvl w:val="0"/>
          <w:numId w:val="18"/>
        </w:numPr>
        <w:tabs>
          <w:tab w:val="clear" w:pos="700"/>
          <w:tab w:val="left" w:pos="180"/>
          <w:tab w:val="num" w:pos="540"/>
          <w:tab w:val="num" w:pos="1495"/>
          <w:tab w:val="num" w:pos="9858"/>
        </w:tabs>
        <w:ind w:left="538" w:hanging="357"/>
        <w:jc w:val="both"/>
      </w:pPr>
      <w:r w:rsidRPr="00831956">
        <w:t>на социалноосигурителните фондове (нето) – 10 489,4 млн. лв., което представлява 96,3 % от годишния разчет;</w:t>
      </w:r>
    </w:p>
    <w:p w14:paraId="2A592361" w14:textId="77777777" w:rsidR="005B46EE" w:rsidRPr="00754DEA" w:rsidRDefault="005B46EE" w:rsidP="005B46EE">
      <w:pPr>
        <w:numPr>
          <w:ilvl w:val="0"/>
          <w:numId w:val="18"/>
        </w:numPr>
        <w:tabs>
          <w:tab w:val="clear" w:pos="700"/>
          <w:tab w:val="left" w:pos="180"/>
          <w:tab w:val="num" w:pos="540"/>
          <w:tab w:val="num" w:pos="1495"/>
          <w:tab w:val="num" w:pos="9858"/>
        </w:tabs>
        <w:ind w:left="538" w:hanging="357"/>
        <w:jc w:val="both"/>
        <w:rPr>
          <w:color w:val="0070C0"/>
        </w:rPr>
      </w:pPr>
      <w:r w:rsidRPr="004B58BA">
        <w:t xml:space="preserve">на други автономни бюджети (ДВУ, БАН, ССА, БНТ, БНР и БТА) – 1 206,2 млн. лв., 130,8 % спрямо годишния разчет. Високият процент на усвояване на средствата се </w:t>
      </w:r>
      <w:r w:rsidRPr="004B58BA">
        <w:rPr>
          <w:bCs/>
        </w:rPr>
        <w:t xml:space="preserve">дължи основно на получени допълнителни трансфери за сметка на предвидените разходи по чл. 1, ал. 5. от ЗДБРБ за 2022 г. за изпълнение на политики в </w:t>
      </w:r>
      <w:r w:rsidRPr="004B58BA">
        <w:t>областите „Наука“ и „Образование“.</w:t>
      </w:r>
    </w:p>
    <w:p w14:paraId="38AF0B51" w14:textId="09094707" w:rsidR="005B46EE" w:rsidRPr="00AF1C11" w:rsidRDefault="000A09A2" w:rsidP="005B46EE">
      <w:pPr>
        <w:numPr>
          <w:ilvl w:val="0"/>
          <w:numId w:val="6"/>
        </w:numPr>
        <w:tabs>
          <w:tab w:val="clear" w:pos="7650"/>
          <w:tab w:val="left" w:pos="426"/>
        </w:tabs>
        <w:spacing w:before="120"/>
        <w:ind w:left="0" w:firstLine="0"/>
        <w:jc w:val="both"/>
        <w:rPr>
          <w:bCs/>
        </w:rPr>
      </w:pPr>
      <w:r>
        <w:rPr>
          <w:b/>
        </w:rPr>
        <w:t>В</w:t>
      </w:r>
      <w:r w:rsidR="005B46EE" w:rsidRPr="00AF1C11">
        <w:rPr>
          <w:b/>
        </w:rPr>
        <w:t xml:space="preserve">носката на Република България в общия бюджет на ЕС, </w:t>
      </w:r>
      <w:r w:rsidR="005B46EE" w:rsidRPr="00AF1C11">
        <w:t>изплатена към 31.12.2022 г. от централния бюджет, възлиза на</w:t>
      </w:r>
      <w:r w:rsidR="005B46EE" w:rsidRPr="00AF1C11">
        <w:rPr>
          <w:b/>
        </w:rPr>
        <w:t xml:space="preserve"> 1 705,0 млн. лева.</w:t>
      </w:r>
      <w:r w:rsidR="005B46EE" w:rsidRPr="00AF1C11">
        <w:t xml:space="preserve"> </w:t>
      </w:r>
    </w:p>
    <w:p w14:paraId="2E51FC6B" w14:textId="77777777" w:rsidR="005B46EE" w:rsidRPr="00A25988" w:rsidRDefault="005B46EE" w:rsidP="005B46EE">
      <w:pPr>
        <w:numPr>
          <w:ilvl w:val="0"/>
          <w:numId w:val="6"/>
        </w:numPr>
        <w:tabs>
          <w:tab w:val="clear" w:pos="7650"/>
          <w:tab w:val="num" w:pos="426"/>
        </w:tabs>
        <w:spacing w:before="240" w:after="240"/>
        <w:ind w:left="0" w:firstLine="0"/>
        <w:jc w:val="both"/>
        <w:rPr>
          <w:sz w:val="16"/>
          <w:szCs w:val="16"/>
        </w:rPr>
      </w:pPr>
      <w:r w:rsidRPr="00A25988">
        <w:rPr>
          <w:b/>
        </w:rPr>
        <w:t>Бюджетното салдо по държавния бюджет</w:t>
      </w:r>
      <w:r w:rsidRPr="00A25988">
        <w:t xml:space="preserve"> към </w:t>
      </w:r>
      <w:r w:rsidRPr="00A25988">
        <w:rPr>
          <w:lang w:val="ru-RU"/>
        </w:rPr>
        <w:t>31.12.2022</w:t>
      </w:r>
      <w:r w:rsidRPr="00A25988">
        <w:t xml:space="preserve"> г. </w:t>
      </w:r>
      <w:r w:rsidRPr="00A25988">
        <w:rPr>
          <w:b/>
        </w:rPr>
        <w:t>е отрицателно</w:t>
      </w:r>
      <w:r w:rsidRPr="00A25988">
        <w:t xml:space="preserve"> в размер на </w:t>
      </w:r>
      <w:r w:rsidRPr="00A25988">
        <w:rPr>
          <w:b/>
        </w:rPr>
        <w:t>5 661,2 млн. лева</w:t>
      </w:r>
      <w:r w:rsidRPr="00A25988">
        <w:t xml:space="preserve">. </w:t>
      </w:r>
    </w:p>
    <w:p w14:paraId="1A4D4E1E" w14:textId="77777777" w:rsidR="005B46EE" w:rsidRPr="0054376C" w:rsidRDefault="005B46EE" w:rsidP="005B46EE">
      <w:pPr>
        <w:numPr>
          <w:ilvl w:val="0"/>
          <w:numId w:val="6"/>
        </w:numPr>
        <w:tabs>
          <w:tab w:val="clear" w:pos="7650"/>
          <w:tab w:val="num" w:pos="426"/>
        </w:tabs>
        <w:spacing w:before="240" w:after="240"/>
        <w:ind w:left="0" w:firstLine="0"/>
        <w:jc w:val="both"/>
        <w:rPr>
          <w:b/>
        </w:rPr>
      </w:pPr>
      <w:r w:rsidRPr="0054376C">
        <w:rPr>
          <w:b/>
        </w:rPr>
        <w:t>Финансиране на бюджета чрез операции по дълга</w:t>
      </w:r>
    </w:p>
    <w:p w14:paraId="22BAA60C" w14:textId="77777777" w:rsidR="005B46EE" w:rsidRPr="00454C53" w:rsidRDefault="005B46EE" w:rsidP="005B46EE">
      <w:pPr>
        <w:spacing w:after="120"/>
        <w:jc w:val="both"/>
      </w:pPr>
      <w:r w:rsidRPr="00454C53">
        <w:t>Към 31.12.202</w:t>
      </w:r>
      <w:r>
        <w:t>2</w:t>
      </w:r>
      <w:r w:rsidRPr="00454C53">
        <w:t xml:space="preserve"> г. е отчетено положително нетно външно финансиране по централния бюджет в размер на </w:t>
      </w:r>
      <w:r>
        <w:t>2 676,4</w:t>
      </w:r>
      <w:r w:rsidRPr="00454C53">
        <w:t xml:space="preserve"> млн. лева.</w:t>
      </w:r>
    </w:p>
    <w:p w14:paraId="6D80E955" w14:textId="77777777" w:rsidR="005B46EE" w:rsidRPr="00EF2DDF" w:rsidRDefault="005B46EE" w:rsidP="005B46EE">
      <w:pPr>
        <w:spacing w:after="120"/>
        <w:jc w:val="both"/>
      </w:pPr>
      <w:r w:rsidRPr="00EF2DDF">
        <w:rPr>
          <w:b/>
        </w:rPr>
        <w:t>Постъпленията по централния бюджет</w:t>
      </w:r>
      <w:r w:rsidRPr="00EF2DDF">
        <w:t xml:space="preserve"> възлизат на </w:t>
      </w:r>
      <w:r w:rsidRPr="00026DC8">
        <w:rPr>
          <w:b/>
        </w:rPr>
        <w:t>5 235,9 млн. лв.</w:t>
      </w:r>
      <w:r w:rsidRPr="00EF2DDF">
        <w:t xml:space="preserve"> , в т.ч.:</w:t>
      </w:r>
    </w:p>
    <w:p w14:paraId="05844CF5" w14:textId="77777777" w:rsidR="005B46EE" w:rsidRPr="007A2648" w:rsidRDefault="005B46EE" w:rsidP="005B46EE">
      <w:pPr>
        <w:pStyle w:val="ListParagraph"/>
        <w:numPr>
          <w:ilvl w:val="0"/>
          <w:numId w:val="34"/>
        </w:numPr>
        <w:tabs>
          <w:tab w:val="left" w:pos="851"/>
        </w:tabs>
        <w:spacing w:line="240" w:lineRule="auto"/>
        <w:ind w:left="0" w:firstLine="567"/>
        <w:rPr>
          <w:rFonts w:ascii="Times New Roman" w:hAnsi="Times New Roman"/>
        </w:rPr>
      </w:pPr>
      <w:r w:rsidRPr="007A2648">
        <w:rPr>
          <w:rFonts w:ascii="Times New Roman" w:hAnsi="Times New Roman"/>
        </w:rPr>
        <w:t xml:space="preserve">емисии на облигации, деноминирани в евро, на МКП на 23.09.2022 г. възлизат на </w:t>
      </w:r>
      <w:r w:rsidRPr="007A2648">
        <w:rPr>
          <w:rFonts w:ascii="Times New Roman" w:hAnsi="Times New Roman"/>
          <w:b/>
        </w:rPr>
        <w:t>4 336,2 млн. лв.</w:t>
      </w:r>
      <w:r w:rsidRPr="007A2648">
        <w:rPr>
          <w:rFonts w:ascii="Times New Roman" w:hAnsi="Times New Roman"/>
        </w:rPr>
        <w:t xml:space="preserve"> като са емитирани еврооблигации в общ размер на 2 250,0 млн. евро номинална стойност, разпределени в два транша: първият транш е със </w:t>
      </w:r>
      <w:proofErr w:type="spellStart"/>
      <w:r w:rsidRPr="007A2648">
        <w:rPr>
          <w:rFonts w:ascii="Times New Roman" w:hAnsi="Times New Roman"/>
        </w:rPr>
        <w:t>срочност</w:t>
      </w:r>
      <w:proofErr w:type="spellEnd"/>
      <w:r w:rsidRPr="007A2648">
        <w:rPr>
          <w:rFonts w:ascii="Times New Roman" w:hAnsi="Times New Roman"/>
        </w:rPr>
        <w:t xml:space="preserve"> 7 г., обем от 1 500 млн. евро и лихвен купон от 4,125 %</w:t>
      </w:r>
      <w:r w:rsidRPr="007A2648">
        <w:rPr>
          <w:rFonts w:ascii="Times New Roman" w:hAnsi="Times New Roman"/>
          <w:lang w:val="ru-RU"/>
        </w:rPr>
        <w:t>;</w:t>
      </w:r>
      <w:r w:rsidRPr="007A2648">
        <w:rPr>
          <w:rFonts w:ascii="Times New Roman" w:hAnsi="Times New Roman"/>
        </w:rPr>
        <w:t xml:space="preserve"> вторият транш е със </w:t>
      </w:r>
      <w:proofErr w:type="spellStart"/>
      <w:r w:rsidRPr="007A2648">
        <w:rPr>
          <w:rFonts w:ascii="Times New Roman" w:hAnsi="Times New Roman"/>
        </w:rPr>
        <w:t>срочност</w:t>
      </w:r>
      <w:proofErr w:type="spellEnd"/>
      <w:r w:rsidRPr="007A2648">
        <w:rPr>
          <w:rFonts w:ascii="Times New Roman" w:hAnsi="Times New Roman"/>
        </w:rPr>
        <w:t xml:space="preserve"> 12 г., обем от 750</w:t>
      </w:r>
      <w:r w:rsidRPr="007A2648">
        <w:rPr>
          <w:rFonts w:ascii="Times New Roman" w:hAnsi="Times New Roman"/>
          <w:lang w:val="en-US"/>
        </w:rPr>
        <w:t> </w:t>
      </w:r>
      <w:r w:rsidRPr="007A2648">
        <w:rPr>
          <w:rFonts w:ascii="Times New Roman" w:hAnsi="Times New Roman"/>
        </w:rPr>
        <w:t>млн. евро и лихвен купон в размер на 4,625 %. Среднопретеглената доходност за целия реализиран обем облигации на МКП възлиза на 4,502 %</w:t>
      </w:r>
      <w:r w:rsidRPr="004A2E93">
        <w:rPr>
          <w:rFonts w:ascii="Times New Roman" w:hAnsi="Times New Roman"/>
          <w:lang w:val="ru-RU"/>
        </w:rPr>
        <w:t>;</w:t>
      </w:r>
      <w:r w:rsidRPr="007A2648">
        <w:rPr>
          <w:rFonts w:ascii="Times New Roman" w:hAnsi="Times New Roman"/>
        </w:rPr>
        <w:t xml:space="preserve"> </w:t>
      </w:r>
    </w:p>
    <w:p w14:paraId="3F88F5D9" w14:textId="77777777" w:rsidR="005B46EE" w:rsidRPr="007A2648" w:rsidRDefault="005B46EE" w:rsidP="005B46EE">
      <w:pPr>
        <w:pStyle w:val="ListParagraph"/>
        <w:numPr>
          <w:ilvl w:val="0"/>
          <w:numId w:val="34"/>
        </w:numPr>
        <w:tabs>
          <w:tab w:val="left" w:pos="851"/>
        </w:tabs>
        <w:spacing w:line="240" w:lineRule="auto"/>
        <w:ind w:left="0" w:right="-1" w:firstLine="567"/>
        <w:rPr>
          <w:rFonts w:ascii="Times New Roman" w:hAnsi="Times New Roman"/>
        </w:rPr>
      </w:pPr>
      <w:r w:rsidRPr="007A2648">
        <w:rPr>
          <w:rFonts w:ascii="Times New Roman" w:hAnsi="Times New Roman"/>
        </w:rPr>
        <w:t xml:space="preserve">усвоени средства на 14.12.2022 г. в размер на </w:t>
      </w:r>
      <w:r w:rsidRPr="007A2648">
        <w:rPr>
          <w:rFonts w:ascii="Times New Roman" w:hAnsi="Times New Roman"/>
          <w:b/>
        </w:rPr>
        <w:t>899,7 млн. лв.</w:t>
      </w:r>
      <w:r w:rsidRPr="007A2648">
        <w:rPr>
          <w:rFonts w:ascii="Times New Roman" w:hAnsi="Times New Roman"/>
        </w:rPr>
        <w:t xml:space="preserve"> (460,0 млн. евро) по сключено Допълнение на Споразумението за заем между Европейския съюз като заемодател и Република България като </w:t>
      </w:r>
      <w:proofErr w:type="spellStart"/>
      <w:r w:rsidRPr="007A2648">
        <w:rPr>
          <w:rFonts w:ascii="Times New Roman" w:hAnsi="Times New Roman"/>
        </w:rPr>
        <w:t>заемополучател</w:t>
      </w:r>
      <w:proofErr w:type="spellEnd"/>
      <w:r w:rsidRPr="007A2648">
        <w:rPr>
          <w:rFonts w:ascii="Times New Roman" w:hAnsi="Times New Roman"/>
        </w:rPr>
        <w:t xml:space="preserve">, подписано през 2020 г. за временна подкрепа с цел смекчаване на рисковете от безработица при извънредни обстоятелства (SURE) вследствие на COVID-19 (15-годишен транш). </w:t>
      </w:r>
    </w:p>
    <w:p w14:paraId="044C4B12" w14:textId="77777777" w:rsidR="005B46EE" w:rsidRPr="003A4321" w:rsidRDefault="005B46EE" w:rsidP="005B46EE">
      <w:pPr>
        <w:spacing w:before="120" w:after="120"/>
        <w:jc w:val="both"/>
      </w:pPr>
      <w:r w:rsidRPr="007A2648">
        <w:rPr>
          <w:b/>
        </w:rPr>
        <w:t>Извършените погашения от централен бюджет възлизат на</w:t>
      </w:r>
      <w:r w:rsidRPr="007A2648">
        <w:t xml:space="preserve"> </w:t>
      </w:r>
      <w:r w:rsidRPr="007A2648">
        <w:rPr>
          <w:b/>
        </w:rPr>
        <w:t>2 559,5 млн. лв.</w:t>
      </w:r>
      <w:r w:rsidRPr="007A2648">
        <w:t>, в т.ч. на 28</w:t>
      </w:r>
      <w:r w:rsidRPr="003A4321">
        <w:t xml:space="preserve"> март са изплатени 2 416,6 млн. лв. в полза на държателите на седемгодишни еврооблигации на Република България, които са част от емитираните през март 2015 г. на международните капиталови пазари три транша облигации по средносрочната програма за емитиране на дълг на външните пазари; 142,8 млн. лв. са погашенията към международни финансови институции (68,9 млн. лв. към Международната банка за възстановяване и развитие, 64,2</w:t>
      </w:r>
      <w:r w:rsidRPr="003A4321">
        <w:rPr>
          <w:lang w:val="en-US"/>
        </w:rPr>
        <w:t> </w:t>
      </w:r>
      <w:r w:rsidRPr="003A4321">
        <w:t>млн. лв. към Европейска инвестиционна банка и 9,8 млн. лв. към Банка за развитие на Съвета на Европа).</w:t>
      </w:r>
    </w:p>
    <w:p w14:paraId="7DE89EB8" w14:textId="77777777" w:rsidR="005B46EE" w:rsidRPr="009216E4" w:rsidRDefault="005B46EE" w:rsidP="005B46EE">
      <w:pPr>
        <w:spacing w:before="120" w:after="120"/>
        <w:jc w:val="both"/>
      </w:pPr>
      <w:r w:rsidRPr="009216E4">
        <w:t xml:space="preserve">По </w:t>
      </w:r>
      <w:r w:rsidRPr="009216E4">
        <w:rPr>
          <w:b/>
        </w:rPr>
        <w:t>държавните инвестиционни заеми</w:t>
      </w:r>
      <w:r w:rsidRPr="009216E4">
        <w:t xml:space="preserve">, управлявани от министерства и ведомства, през отчетния период няма </w:t>
      </w:r>
      <w:r w:rsidRPr="009216E4">
        <w:rPr>
          <w:b/>
          <w:i/>
        </w:rPr>
        <w:t>усвоени</w:t>
      </w:r>
      <w:r w:rsidRPr="009216E4">
        <w:t xml:space="preserve"> средства. </w:t>
      </w:r>
    </w:p>
    <w:p w14:paraId="601DE6FD" w14:textId="77777777" w:rsidR="005B46EE" w:rsidRPr="00E11C05" w:rsidRDefault="005B46EE" w:rsidP="005B46EE">
      <w:pPr>
        <w:spacing w:after="120"/>
        <w:jc w:val="both"/>
      </w:pPr>
      <w:r w:rsidRPr="00E11C05">
        <w:rPr>
          <w:b/>
          <w:i/>
        </w:rPr>
        <w:t>Изплатените погашения</w:t>
      </w:r>
      <w:r w:rsidRPr="00E11C05">
        <w:t xml:space="preserve"> по ДИЗ, управлявани от министерства и ведомства, са в размер на </w:t>
      </w:r>
      <w:r w:rsidRPr="004A2E93">
        <w:rPr>
          <w:lang w:val="ru-RU"/>
        </w:rPr>
        <w:t>113</w:t>
      </w:r>
      <w:r w:rsidRPr="00E11C05">
        <w:t>,</w:t>
      </w:r>
      <w:r w:rsidRPr="004A2E93">
        <w:rPr>
          <w:lang w:val="ru-RU"/>
        </w:rPr>
        <w:t>5</w:t>
      </w:r>
      <w:r w:rsidRPr="00E11C05">
        <w:t xml:space="preserve"> млн. лв. По заемите с краен бенефициент търговско дружество извършените погашения са в размер на 14,3 млн. лева. </w:t>
      </w:r>
    </w:p>
    <w:p w14:paraId="76335258" w14:textId="77777777" w:rsidR="005B46EE" w:rsidRPr="00E11C05" w:rsidRDefault="005B46EE" w:rsidP="005B46EE">
      <w:pPr>
        <w:spacing w:after="120"/>
        <w:jc w:val="both"/>
      </w:pPr>
      <w:r w:rsidRPr="00E11C05">
        <w:t>Не са използвани средства, предвидени за покриване на риска от активиране на държавни гаранции.</w:t>
      </w:r>
    </w:p>
    <w:p w14:paraId="29EB0364" w14:textId="77777777" w:rsidR="005B46EE" w:rsidRPr="00291071" w:rsidRDefault="005B46EE" w:rsidP="005B46EE">
      <w:pPr>
        <w:spacing w:after="120"/>
        <w:jc w:val="both"/>
      </w:pPr>
      <w:r w:rsidRPr="00291071">
        <w:lastRenderedPageBreak/>
        <w:t xml:space="preserve">Операции с </w:t>
      </w:r>
      <w:r w:rsidRPr="00291071">
        <w:rPr>
          <w:b/>
        </w:rPr>
        <w:t xml:space="preserve">държавни ценни книжа </w:t>
      </w:r>
      <w:r w:rsidRPr="00291071">
        <w:t xml:space="preserve">по централния бюджет </w:t>
      </w:r>
      <w:r w:rsidRPr="00291071">
        <w:rPr>
          <w:b/>
        </w:rPr>
        <w:t xml:space="preserve">(позиция във вътрешното финансиране): </w:t>
      </w:r>
      <w:r w:rsidRPr="00291071">
        <w:t xml:space="preserve">Към 31 декември 2022 г. е отчетено положително нетно вътрешно финансиране на държавния бюджет с ДЦК в размер на 2 206,4 млн. лв. Общият размер на постъпленията от емисии на ДЦК на вътрешния пазар е 2 510,2 млн. лв. или са емитирани ДЦК с обща номинална стойност 2 633,25 млн. лв., разпределени в четири емисии, както следва: </w:t>
      </w:r>
    </w:p>
    <w:p w14:paraId="37EDCBE6" w14:textId="77777777" w:rsidR="005B46EE" w:rsidRPr="00291071" w:rsidRDefault="005B46EE" w:rsidP="005B46EE">
      <w:pPr>
        <w:numPr>
          <w:ilvl w:val="0"/>
          <w:numId w:val="33"/>
        </w:numPr>
        <w:tabs>
          <w:tab w:val="left" w:pos="851"/>
        </w:tabs>
        <w:spacing w:after="120" w:line="259" w:lineRule="auto"/>
        <w:ind w:left="0" w:firstLine="567"/>
        <w:contextualSpacing/>
        <w:jc w:val="both"/>
      </w:pPr>
      <w:r w:rsidRPr="00291071">
        <w:rPr>
          <w:b/>
          <w:i/>
        </w:rPr>
        <w:t>3,5-годишни ДЦК</w:t>
      </w:r>
      <w:r w:rsidRPr="00291071">
        <w:t xml:space="preserve"> (емисията е пусната в обращение през ноември 2021 г., деноминирана е в лева, с падеж 17.05.2025 г.) с общ пласиран обем от 1 300,0 млн. лв. като през март и април по 500 млн. лв. и през май 300 млн. лв.; </w:t>
      </w:r>
    </w:p>
    <w:p w14:paraId="38B415B7" w14:textId="77777777" w:rsidR="005B46EE" w:rsidRPr="00291071" w:rsidRDefault="005B46EE" w:rsidP="005B46EE">
      <w:pPr>
        <w:numPr>
          <w:ilvl w:val="0"/>
          <w:numId w:val="33"/>
        </w:numPr>
        <w:tabs>
          <w:tab w:val="left" w:pos="851"/>
        </w:tabs>
        <w:spacing w:after="120" w:line="259" w:lineRule="auto"/>
        <w:ind w:left="0" w:firstLine="567"/>
        <w:contextualSpacing/>
        <w:jc w:val="both"/>
      </w:pPr>
      <w:r w:rsidRPr="00291071">
        <w:rPr>
          <w:b/>
          <w:i/>
        </w:rPr>
        <w:t>7,5-годишни облигации</w:t>
      </w:r>
      <w:r w:rsidRPr="00291071">
        <w:t xml:space="preserve"> (пуснати</w:t>
      </w:r>
      <w:r w:rsidRPr="00291071">
        <w:rPr>
          <w:rFonts w:ascii="Calibri" w:eastAsia="Calibri" w:hAnsi="Calibri"/>
          <w:sz w:val="22"/>
          <w:szCs w:val="22"/>
        </w:rPr>
        <w:t xml:space="preserve"> </w:t>
      </w:r>
      <w:r w:rsidRPr="00291071">
        <w:t>в обращение през ноември 2021 г., деноминирани са в лева, с падеж 24.05.2029 г.) в размер на 500,0 млн. лв. през месец март;</w:t>
      </w:r>
    </w:p>
    <w:p w14:paraId="6FB1DB2E" w14:textId="77777777" w:rsidR="005B46EE" w:rsidRPr="00291071" w:rsidRDefault="005B46EE" w:rsidP="005B46EE">
      <w:pPr>
        <w:numPr>
          <w:ilvl w:val="0"/>
          <w:numId w:val="33"/>
        </w:numPr>
        <w:tabs>
          <w:tab w:val="left" w:pos="851"/>
        </w:tabs>
        <w:spacing w:after="120" w:line="259" w:lineRule="auto"/>
        <w:ind w:left="0" w:firstLine="567"/>
        <w:contextualSpacing/>
        <w:jc w:val="both"/>
      </w:pPr>
      <w:r w:rsidRPr="00291071">
        <w:rPr>
          <w:b/>
          <w:i/>
        </w:rPr>
        <w:t>10,5-годишни облигации</w:t>
      </w:r>
      <w:r w:rsidRPr="00291071">
        <w:t xml:space="preserve"> (пуснати в обращение през януари 2016 г., деноминирани са в лева, с падеж 27.07.2026 г.) с общ пласиран обем от 502,75 млн. лв. като през септември възлизат на 200,0 млн. лв. и през октомври 302,75 млн. лв.;  </w:t>
      </w:r>
    </w:p>
    <w:p w14:paraId="15325B6A" w14:textId="77777777" w:rsidR="005B46EE" w:rsidRPr="00291071" w:rsidRDefault="005B46EE" w:rsidP="005B46EE">
      <w:pPr>
        <w:numPr>
          <w:ilvl w:val="0"/>
          <w:numId w:val="33"/>
        </w:numPr>
        <w:tabs>
          <w:tab w:val="left" w:pos="851"/>
        </w:tabs>
        <w:spacing w:after="120" w:line="259" w:lineRule="auto"/>
        <w:ind w:left="0" w:firstLine="567"/>
        <w:contextualSpacing/>
        <w:jc w:val="both"/>
      </w:pPr>
      <w:r w:rsidRPr="00291071">
        <w:rPr>
          <w:b/>
          <w:i/>
        </w:rPr>
        <w:t>5,5-годишни облигации</w:t>
      </w:r>
      <w:r w:rsidRPr="00291071">
        <w:t xml:space="preserve"> (пуснати в обращение през септември 2022 г., деноминирани са в лева, с падеж 28.03.2028 г.) общо в размер на 330,50 млн. лв., в т.ч. 149,95 млн. лв. през септември и 180,55 млн. лв. през октомври.</w:t>
      </w:r>
    </w:p>
    <w:p w14:paraId="47E9B3F8" w14:textId="77777777" w:rsidR="005B46EE" w:rsidRPr="00DC3D32" w:rsidRDefault="005B46EE" w:rsidP="005B46EE">
      <w:pPr>
        <w:spacing w:before="240" w:after="120"/>
        <w:jc w:val="both"/>
      </w:pPr>
      <w:r w:rsidRPr="00DC3D32">
        <w:t xml:space="preserve">През месец декември няма проведени </w:t>
      </w:r>
      <w:proofErr w:type="spellStart"/>
      <w:r w:rsidRPr="00DC3D32">
        <w:t>аукциони</w:t>
      </w:r>
      <w:proofErr w:type="spellEnd"/>
      <w:r w:rsidRPr="00DC3D32">
        <w:t xml:space="preserve"> на ДЦК, респективно постъпления от емисии на ДЦК.</w:t>
      </w:r>
    </w:p>
    <w:p w14:paraId="6BAA0F5A" w14:textId="77777777" w:rsidR="005B46EE" w:rsidRPr="00FA2DBF" w:rsidRDefault="005B46EE" w:rsidP="005B46EE">
      <w:pPr>
        <w:spacing w:before="240" w:after="120"/>
        <w:jc w:val="both"/>
      </w:pPr>
      <w:r w:rsidRPr="00FA2DBF">
        <w:t xml:space="preserve">Среднопретеглената доходност за целия реализиран обем от 2 </w:t>
      </w:r>
      <w:r w:rsidRPr="00FA2DBF">
        <w:rPr>
          <w:lang w:val="ru-RU"/>
        </w:rPr>
        <w:t>633</w:t>
      </w:r>
      <w:r w:rsidRPr="00FA2DBF">
        <w:t>,</w:t>
      </w:r>
      <w:r w:rsidRPr="00FA2DBF">
        <w:rPr>
          <w:lang w:val="ru-RU"/>
        </w:rPr>
        <w:t>3</w:t>
      </w:r>
      <w:r w:rsidRPr="00FA2DBF">
        <w:t xml:space="preserve"> млн. лв. номинална стойност възлиза на </w:t>
      </w:r>
      <w:r w:rsidRPr="00FA2DBF">
        <w:rPr>
          <w:lang w:val="ru-RU"/>
        </w:rPr>
        <w:t>2</w:t>
      </w:r>
      <w:r w:rsidRPr="00FA2DBF">
        <w:t>,</w:t>
      </w:r>
      <w:r w:rsidRPr="00FA2DBF">
        <w:rPr>
          <w:lang w:val="ru-RU"/>
        </w:rPr>
        <w:t xml:space="preserve">0208 </w:t>
      </w:r>
      <w:r w:rsidRPr="00FA2DBF">
        <w:t>%, при среден коефициент на покритие на одобрените</w:t>
      </w:r>
      <w:r w:rsidRPr="00FA2DBF">
        <w:rPr>
          <w:lang w:val="ru-RU"/>
        </w:rPr>
        <w:t xml:space="preserve"> </w:t>
      </w:r>
      <w:proofErr w:type="spellStart"/>
      <w:r w:rsidRPr="00FA2DBF">
        <w:t>аукциони</w:t>
      </w:r>
      <w:proofErr w:type="spellEnd"/>
      <w:r w:rsidRPr="00FA2DBF">
        <w:t xml:space="preserve"> от 1,</w:t>
      </w:r>
      <w:r w:rsidRPr="00FA2DBF">
        <w:rPr>
          <w:lang w:val="ru-RU"/>
        </w:rPr>
        <w:t>38</w:t>
      </w:r>
      <w:r w:rsidRPr="00FA2DBF">
        <w:t xml:space="preserve">. </w:t>
      </w:r>
    </w:p>
    <w:p w14:paraId="761BDCDD" w14:textId="77777777" w:rsidR="005B46EE" w:rsidRPr="00FA2DBF" w:rsidRDefault="005B46EE" w:rsidP="005B46EE">
      <w:pPr>
        <w:tabs>
          <w:tab w:val="left" w:pos="9356"/>
        </w:tabs>
        <w:jc w:val="both"/>
      </w:pPr>
      <w:r w:rsidRPr="00FA2DBF">
        <w:t xml:space="preserve">Отчетените погашения към края на декември 2022 г. са в размер на 303,9 млн. лв., в т.ч. през юли Министерството на финансите погаси емисия 10,5-годишни ДЦК от 2012 г. в обем от </w:t>
      </w:r>
      <w:r w:rsidRPr="00FA2DBF">
        <w:rPr>
          <w:rFonts w:eastAsia="Calibri"/>
        </w:rPr>
        <w:t>305 млн. лв. номинална стойност, като през декември няма извършени погашения</w:t>
      </w:r>
      <w:r w:rsidRPr="00FA2DBF">
        <w:t xml:space="preserve">. </w:t>
      </w:r>
    </w:p>
    <w:p w14:paraId="68DF9049" w14:textId="77777777" w:rsidR="0004753C" w:rsidRPr="00604A2A" w:rsidRDefault="0004753C" w:rsidP="00ED2B9A">
      <w:pPr>
        <w:pStyle w:val="Heading1"/>
        <w:numPr>
          <w:ilvl w:val="1"/>
          <w:numId w:val="9"/>
        </w:numPr>
        <w:spacing w:before="240" w:after="120"/>
        <w:ind w:right="-108" w:hanging="357"/>
        <w:jc w:val="both"/>
        <w:rPr>
          <w:sz w:val="24"/>
        </w:rPr>
      </w:pPr>
      <w:r w:rsidRPr="00604A2A">
        <w:rPr>
          <w:sz w:val="24"/>
        </w:rPr>
        <w:t>Бюджет на съдебната власт</w:t>
      </w:r>
    </w:p>
    <w:p w14:paraId="552A2383" w14:textId="77777777" w:rsidR="00604A2A" w:rsidRPr="000A27BB" w:rsidRDefault="00604A2A" w:rsidP="00604A2A">
      <w:pPr>
        <w:jc w:val="both"/>
      </w:pPr>
      <w:r w:rsidRPr="000A27BB">
        <w:t xml:space="preserve">Със ЗДБРБ за 2022 г. са предвидени общо </w:t>
      </w:r>
      <w:r w:rsidRPr="000A27BB">
        <w:rPr>
          <w:b/>
        </w:rPr>
        <w:t>приходи</w:t>
      </w:r>
      <w:r w:rsidRPr="000A27BB">
        <w:t xml:space="preserve"> по бюджета на съдебната власт в размер на 95,0 млн. лв., от тях 80,0 млн. лв. са приходи от съдебни такси. Отчетените през годината приходи са в размер на 104,5 млн. лв. (110,0 % от планираните), от които 87,9 млн. лв. - приходи от съдебни такси. За сравнение, към 31.12.2021 г. са отчетени общо приходи в размер на 99,8 млн. лв. (91,5 % от закона), от които 83,2 млн. лв. - приходи от съдебни такси.</w:t>
      </w:r>
    </w:p>
    <w:p w14:paraId="4CA14E3A" w14:textId="77777777" w:rsidR="00604A2A" w:rsidRPr="00DB12BD" w:rsidRDefault="00604A2A" w:rsidP="00604A2A">
      <w:pPr>
        <w:tabs>
          <w:tab w:val="left" w:pos="90"/>
        </w:tabs>
        <w:spacing w:before="120"/>
        <w:jc w:val="both"/>
        <w:rPr>
          <w:color w:val="0070C0"/>
        </w:rPr>
      </w:pPr>
      <w:r w:rsidRPr="000A27BB">
        <w:rPr>
          <w:b/>
        </w:rPr>
        <w:t xml:space="preserve">Разходите </w:t>
      </w:r>
      <w:r w:rsidRPr="000A27BB">
        <w:t>по бюджета на съдебната власт</w:t>
      </w:r>
      <w:r w:rsidRPr="000A27BB">
        <w:rPr>
          <w:b/>
        </w:rPr>
        <w:t xml:space="preserve"> </w:t>
      </w:r>
      <w:r w:rsidRPr="000A27BB">
        <w:t>към 31.12.2022 г.</w:t>
      </w:r>
      <w:r w:rsidRPr="000A27BB">
        <w:rPr>
          <w:b/>
        </w:rPr>
        <w:t xml:space="preserve"> </w:t>
      </w:r>
      <w:r w:rsidRPr="000A27BB">
        <w:t>са в размер на 957,6 млн. лв. или 102,0 </w:t>
      </w:r>
      <w:r w:rsidRPr="00413294">
        <w:t>% спрямо планираните за годината (938,7 млн. лв.). За сравнение, през 2021 г. са отчетени разходи в размер 850,9 млн. лв., които представляват 96,7 % от определените с годишния закон 880,3 млн. лева. През 2022 г. с най-голям относителен дял от отчетените разходи са тези за персонал – 89,6 % (858,1 млн. лв.).</w:t>
      </w:r>
    </w:p>
    <w:p w14:paraId="52A37A20" w14:textId="56BF7158" w:rsidR="00F521AA" w:rsidRPr="00B836FA" w:rsidRDefault="00F521AA" w:rsidP="00ED2B9A">
      <w:pPr>
        <w:pStyle w:val="Heading1"/>
        <w:numPr>
          <w:ilvl w:val="0"/>
          <w:numId w:val="9"/>
        </w:numPr>
        <w:tabs>
          <w:tab w:val="left" w:pos="90"/>
          <w:tab w:val="left" w:pos="993"/>
        </w:tabs>
        <w:spacing w:before="240" w:after="120"/>
        <w:ind w:left="0" w:right="-108" w:firstLine="567"/>
        <w:jc w:val="both"/>
        <w:rPr>
          <w:sz w:val="24"/>
        </w:rPr>
      </w:pPr>
      <w:r w:rsidRPr="00B836FA">
        <w:rPr>
          <w:sz w:val="24"/>
        </w:rPr>
        <w:t xml:space="preserve">Сметки за средства от ЕС на Разплащателната агенция към ДФ „Земеделие“ и на Националния фонд към Министерството на финансите </w:t>
      </w:r>
    </w:p>
    <w:p w14:paraId="096C12EA" w14:textId="77777777" w:rsidR="00924745" w:rsidRPr="00DB12BD" w:rsidRDefault="00924745" w:rsidP="00924745">
      <w:pPr>
        <w:rPr>
          <w:color w:val="0070C0"/>
        </w:rPr>
      </w:pPr>
    </w:p>
    <w:p w14:paraId="6490FA3C" w14:textId="2862E6CF" w:rsidR="00F521AA" w:rsidRPr="004D3D6A" w:rsidRDefault="00F521AA" w:rsidP="00ED2B9A">
      <w:pPr>
        <w:pStyle w:val="Heading1"/>
        <w:numPr>
          <w:ilvl w:val="1"/>
          <w:numId w:val="9"/>
        </w:numPr>
        <w:tabs>
          <w:tab w:val="left" w:pos="90"/>
          <w:tab w:val="left" w:pos="993"/>
        </w:tabs>
        <w:spacing w:after="120"/>
        <w:ind w:left="0" w:right="-108" w:firstLine="567"/>
        <w:jc w:val="both"/>
        <w:rPr>
          <w:sz w:val="24"/>
        </w:rPr>
      </w:pPr>
      <w:r w:rsidRPr="004D3D6A">
        <w:rPr>
          <w:sz w:val="24"/>
        </w:rPr>
        <w:t xml:space="preserve"> Сметка за Европейски средства на Разплащателна агенция </w:t>
      </w:r>
      <w:r w:rsidR="00924745" w:rsidRPr="004D3D6A">
        <w:rPr>
          <w:sz w:val="24"/>
        </w:rPr>
        <w:t xml:space="preserve">ДФ „Земеделие“ </w:t>
      </w:r>
      <w:r w:rsidRPr="004D3D6A">
        <w:rPr>
          <w:sz w:val="24"/>
        </w:rPr>
        <w:t xml:space="preserve"> </w:t>
      </w:r>
    </w:p>
    <w:p w14:paraId="28DCBD1E" w14:textId="77777777" w:rsidR="00FF1643" w:rsidRPr="004D3D6A" w:rsidRDefault="00FF1643" w:rsidP="00EF18AD">
      <w:pPr>
        <w:tabs>
          <w:tab w:val="left" w:pos="90"/>
        </w:tabs>
        <w:ind w:firstLine="567"/>
      </w:pPr>
    </w:p>
    <w:p w14:paraId="4C0CCA44" w14:textId="77777777" w:rsidR="00D05EA4" w:rsidRPr="004D3D6A" w:rsidRDefault="00D05EA4" w:rsidP="00D05EA4">
      <w:pPr>
        <w:numPr>
          <w:ilvl w:val="0"/>
          <w:numId w:val="20"/>
        </w:numPr>
        <w:tabs>
          <w:tab w:val="left" w:pos="90"/>
          <w:tab w:val="num" w:pos="540"/>
        </w:tabs>
        <w:spacing w:before="120" w:after="120" w:line="276" w:lineRule="auto"/>
        <w:ind w:left="0" w:firstLine="567"/>
        <w:contextualSpacing/>
        <w:jc w:val="both"/>
        <w:rPr>
          <w:b/>
          <w:lang w:eastAsia="bg-BG"/>
        </w:rPr>
      </w:pPr>
      <w:r w:rsidRPr="004D3D6A">
        <w:rPr>
          <w:b/>
          <w:lang w:eastAsia="bg-BG"/>
        </w:rPr>
        <w:t>Приходи</w:t>
      </w:r>
    </w:p>
    <w:p w14:paraId="21B8662D" w14:textId="77777777" w:rsidR="00D05EA4" w:rsidRPr="004D3D6A" w:rsidRDefault="00D05EA4" w:rsidP="00D05EA4">
      <w:pPr>
        <w:tabs>
          <w:tab w:val="left" w:pos="90"/>
        </w:tabs>
        <w:ind w:firstLine="567"/>
        <w:jc w:val="both"/>
      </w:pPr>
      <w:r w:rsidRPr="004D3D6A">
        <w:t xml:space="preserve">За 2022 г. планираните приходи по утвърдените годишни разчети на сметката за средства от Европейския съюз на Разплащателната агенция към ДФ „Земеделие” са в размер на 266,5 млн. лева. Към 31.12.2022 г. постъпленията са в размер на 264,1 млн. лв., което представлява 99,1 % от годишния план, при 98,8 % изпълнение на годишния план за предходната година. </w:t>
      </w:r>
      <w:r w:rsidRPr="004D3D6A">
        <w:rPr>
          <w:rFonts w:eastAsiaTheme="minorHAnsi"/>
        </w:rPr>
        <w:t>Приходната част е формирана от помощи и дарения от чужбина, приходи от наказателни лихви и коректив на касови постъпления, разпределени както следва:</w:t>
      </w:r>
    </w:p>
    <w:p w14:paraId="3A348D29" w14:textId="77777777" w:rsidR="00D05EA4" w:rsidRPr="00966682" w:rsidRDefault="00D05EA4" w:rsidP="00D05EA4">
      <w:pPr>
        <w:numPr>
          <w:ilvl w:val="0"/>
          <w:numId w:val="19"/>
        </w:numPr>
        <w:tabs>
          <w:tab w:val="left" w:pos="90"/>
          <w:tab w:val="left" w:pos="993"/>
        </w:tabs>
        <w:spacing w:before="120" w:after="120" w:line="276" w:lineRule="auto"/>
        <w:ind w:left="0" w:firstLine="567"/>
        <w:jc w:val="both"/>
        <w:rPr>
          <w:b/>
          <w:i/>
        </w:rPr>
      </w:pPr>
      <w:r w:rsidRPr="00966682">
        <w:rPr>
          <w:b/>
          <w:i/>
        </w:rPr>
        <w:lastRenderedPageBreak/>
        <w:t>Текущи помощи и дарения от Европейския съюз</w:t>
      </w:r>
    </w:p>
    <w:p w14:paraId="0D183C4F" w14:textId="77777777" w:rsidR="00D05EA4" w:rsidRPr="00966682" w:rsidRDefault="00D05EA4" w:rsidP="00D05EA4">
      <w:pPr>
        <w:ind w:firstLine="567"/>
        <w:jc w:val="both"/>
      </w:pPr>
      <w:r w:rsidRPr="00966682">
        <w:t>Общият размер на получените приходи, отчетени в „Текущи помощи и дарения от Европейския съюз“ за 2022 г. е 37,9 млн. лв. при планирани за годината средства в размер на 29,3 млн. лева.</w:t>
      </w:r>
    </w:p>
    <w:p w14:paraId="75CE5114" w14:textId="77777777" w:rsidR="00D05EA4" w:rsidRPr="00966682" w:rsidRDefault="00D05EA4" w:rsidP="00D05EA4">
      <w:pPr>
        <w:ind w:firstLine="567"/>
        <w:jc w:val="both"/>
      </w:pPr>
      <w:r w:rsidRPr="00966682">
        <w:t>Получените текущи приходи от възстановяване на средства от Европейски земеделски фонд за развитие на селските райони (ЕЗФРСР) по линия на Програмата за развитие на селските райони (ПРСР), без директни плащания, към 31.12.2022 г. възлизат на 25,7 млн. лв., което е 144,4 % спрямо планираните за годината 17,8 млн. лева. За сравнение, изпълнението на плана за 2021 г. е 100,0 процента.</w:t>
      </w:r>
    </w:p>
    <w:p w14:paraId="070956D1" w14:textId="77777777" w:rsidR="00D05EA4" w:rsidRPr="00966682" w:rsidRDefault="00D05EA4" w:rsidP="00D05EA4">
      <w:pPr>
        <w:ind w:firstLine="567"/>
        <w:jc w:val="both"/>
      </w:pPr>
      <w:r w:rsidRPr="00966682">
        <w:t xml:space="preserve">Получените текущи приходи от възстановяване на средства по линия на схемите „Училищен плод“ и „Училищно мляко“ от Европейски фонд за гарантиране на земеделието (EФГЗ) към 31.12.2022 г. са 5,9 млн. лв., което представлява 100,0 % на планираните за годината средства. За сравнение, за предходната година възстановените суми по това направление са също 100,0 % на годишния план. </w:t>
      </w:r>
    </w:p>
    <w:p w14:paraId="0C544ECB" w14:textId="74C7E01E" w:rsidR="00D05EA4" w:rsidRPr="00966682" w:rsidRDefault="00D05EA4" w:rsidP="00D05EA4">
      <w:pPr>
        <w:ind w:firstLine="567"/>
        <w:jc w:val="both"/>
      </w:pPr>
      <w:r w:rsidRPr="00966682">
        <w:t>През 2022 г. са получени 6,3 млн. лв. текущи приходи от възстановяване от Европейския фонд за морско дело и рибарство (ЕФМДР), което представлява 11</w:t>
      </w:r>
      <w:r w:rsidR="003D7776">
        <w:t>4</w:t>
      </w:r>
      <w:r w:rsidRPr="00966682">
        <w:t xml:space="preserve">,5 % спрямо планираните за годината 5,5 млн. лева. За предходната година изпълнението е било 100,0 процента. </w:t>
      </w:r>
    </w:p>
    <w:p w14:paraId="195F846F" w14:textId="77777777" w:rsidR="00D05EA4" w:rsidRPr="00966682" w:rsidRDefault="00D05EA4" w:rsidP="00D05EA4">
      <w:pPr>
        <w:numPr>
          <w:ilvl w:val="0"/>
          <w:numId w:val="19"/>
        </w:numPr>
        <w:tabs>
          <w:tab w:val="left" w:pos="90"/>
          <w:tab w:val="left" w:pos="993"/>
        </w:tabs>
        <w:spacing w:before="120" w:after="120" w:line="276" w:lineRule="auto"/>
        <w:ind w:left="0" w:firstLine="567"/>
        <w:jc w:val="both"/>
        <w:rPr>
          <w:b/>
          <w:i/>
        </w:rPr>
      </w:pPr>
      <w:r w:rsidRPr="00966682">
        <w:rPr>
          <w:b/>
          <w:i/>
        </w:rPr>
        <w:t>Капиталови помощи и дарения от Европейския съюз</w:t>
      </w:r>
    </w:p>
    <w:p w14:paraId="00686321" w14:textId="77777777" w:rsidR="00D05EA4" w:rsidRPr="00686103" w:rsidRDefault="00D05EA4" w:rsidP="00D05EA4">
      <w:pPr>
        <w:ind w:firstLine="567"/>
        <w:jc w:val="both"/>
      </w:pPr>
      <w:r w:rsidRPr="00686103">
        <w:t>Общият размер на получените приходи, отчетени в „Капиталови помощи и дарения от Европейския съюз“ към 31.12.2022 г. е 232,9 млн. лв. при планирани за годината 237,2 млн. лева.</w:t>
      </w:r>
    </w:p>
    <w:p w14:paraId="3FAFA36F" w14:textId="77777777" w:rsidR="00D05EA4" w:rsidRPr="00DB12BD" w:rsidRDefault="00D05EA4" w:rsidP="00D05EA4">
      <w:pPr>
        <w:ind w:firstLine="567"/>
        <w:jc w:val="both"/>
        <w:rPr>
          <w:color w:val="0070C0"/>
        </w:rPr>
      </w:pPr>
      <w:r w:rsidRPr="00686103">
        <w:t xml:space="preserve">Получените капиталови приходи от ЕЗФРСР по линия на ПРСР без директни плащания </w:t>
      </w:r>
      <w:r w:rsidRPr="004E4F36">
        <w:t>към 31.12.2022 г. са 218,4 млн. лв., което е 96,5 % от годишния план (226,3 млн. лв.). За сравнение, през 2021 г. са получени 371,0 млн. лв. (100 % от годишния план).</w:t>
      </w:r>
    </w:p>
    <w:p w14:paraId="501DA6E0" w14:textId="77777777" w:rsidR="00D05EA4" w:rsidRDefault="00D05EA4" w:rsidP="00D05EA4">
      <w:pPr>
        <w:ind w:firstLine="567"/>
        <w:jc w:val="both"/>
      </w:pPr>
      <w:r w:rsidRPr="0044414F">
        <w:t xml:space="preserve">Към 31.12.2022 г. са  получени капиталови приходи в размер на 12,7 млн. лв. </w:t>
      </w:r>
      <w:r w:rsidRPr="0044414F">
        <w:rPr>
          <w:rFonts w:eastAsiaTheme="minorHAnsi"/>
        </w:rPr>
        <w:t>от фонд ЕФМДР</w:t>
      </w:r>
      <w:r w:rsidRPr="0044414F">
        <w:t xml:space="preserve"> при планирани за годината 10,9 млн. лв., което е 116,5</w:t>
      </w:r>
      <w:r w:rsidRPr="0044414F">
        <w:rPr>
          <w:rFonts w:eastAsiaTheme="minorHAnsi"/>
        </w:rPr>
        <w:t xml:space="preserve"> % изпълнение на плана за годината. </w:t>
      </w:r>
      <w:r w:rsidRPr="0044414F">
        <w:t>За сравнение, изпълнението на годишния план за 2021 г. е 100 процента.</w:t>
      </w:r>
    </w:p>
    <w:p w14:paraId="1C97C787" w14:textId="77777777" w:rsidR="00D05EA4" w:rsidRPr="0044414F" w:rsidRDefault="00D05EA4" w:rsidP="00D05EA4">
      <w:pPr>
        <w:ind w:firstLine="567"/>
        <w:jc w:val="both"/>
      </w:pPr>
      <w:r w:rsidRPr="0044414F">
        <w:t>През 2022</w:t>
      </w:r>
      <w:r>
        <w:t xml:space="preserve"> </w:t>
      </w:r>
      <w:r w:rsidRPr="0044414F">
        <w:t xml:space="preserve">г. е получен аванс от Европейския фонд за морско дело, рибарство и </w:t>
      </w:r>
      <w:proofErr w:type="spellStart"/>
      <w:r w:rsidRPr="0044414F">
        <w:t>аквакултури</w:t>
      </w:r>
      <w:proofErr w:type="spellEnd"/>
      <w:r w:rsidRPr="0044414F">
        <w:t xml:space="preserve"> (ЕФМДРА) за новата Програма за морско дело, рибарство и </w:t>
      </w:r>
      <w:proofErr w:type="spellStart"/>
      <w:r w:rsidRPr="0044414F">
        <w:t>аквакултури</w:t>
      </w:r>
      <w:proofErr w:type="spellEnd"/>
      <w:r w:rsidRPr="0044414F">
        <w:t xml:space="preserve"> 2021-2027 г. (ПМДРА) в размер на 1,7 млн.</w:t>
      </w:r>
      <w:r>
        <w:t xml:space="preserve"> </w:t>
      </w:r>
      <w:r w:rsidRPr="0044414F">
        <w:t>л</w:t>
      </w:r>
      <w:r>
        <w:t>е</w:t>
      </w:r>
      <w:r w:rsidRPr="0044414F">
        <w:t>в</w:t>
      </w:r>
      <w:r>
        <w:t>а.</w:t>
      </w:r>
      <w:r w:rsidRPr="0044414F">
        <w:tab/>
      </w:r>
    </w:p>
    <w:p w14:paraId="05CE4BF4" w14:textId="77777777" w:rsidR="00D05EA4" w:rsidRPr="0044414F" w:rsidRDefault="00D05EA4" w:rsidP="00D05EA4">
      <w:pPr>
        <w:numPr>
          <w:ilvl w:val="0"/>
          <w:numId w:val="19"/>
        </w:numPr>
        <w:tabs>
          <w:tab w:val="left" w:pos="90"/>
          <w:tab w:val="left" w:pos="993"/>
        </w:tabs>
        <w:spacing w:before="120" w:after="120" w:line="276" w:lineRule="auto"/>
        <w:ind w:left="0" w:firstLine="567"/>
        <w:jc w:val="both"/>
        <w:rPr>
          <w:b/>
          <w:i/>
        </w:rPr>
      </w:pPr>
      <w:r w:rsidRPr="0044414F">
        <w:rPr>
          <w:b/>
          <w:i/>
        </w:rPr>
        <w:t>Приходи от наказателни лихви</w:t>
      </w:r>
    </w:p>
    <w:p w14:paraId="5644952C" w14:textId="77777777" w:rsidR="00D05EA4" w:rsidRDefault="00D05EA4" w:rsidP="00D05EA4">
      <w:pPr>
        <w:tabs>
          <w:tab w:val="left" w:pos="993"/>
        </w:tabs>
        <w:spacing w:before="120" w:after="120"/>
        <w:ind w:firstLine="567"/>
        <w:jc w:val="both"/>
      </w:pPr>
      <w:r w:rsidRPr="0044414F">
        <w:t>През 2022 г. са отчетени приходи от получени наказателни лихви, свързани с вземания за възстановяване на средства от ЕК в размер на 1,0 млн. лева.</w:t>
      </w:r>
    </w:p>
    <w:p w14:paraId="201BA868" w14:textId="77777777" w:rsidR="00D05EA4" w:rsidRPr="00022449" w:rsidRDefault="00D05EA4" w:rsidP="00D05EA4">
      <w:pPr>
        <w:numPr>
          <w:ilvl w:val="0"/>
          <w:numId w:val="19"/>
        </w:numPr>
        <w:tabs>
          <w:tab w:val="left" w:pos="993"/>
        </w:tabs>
        <w:spacing w:before="120" w:after="120"/>
        <w:ind w:left="1321" w:hanging="612"/>
        <w:jc w:val="both"/>
        <w:rPr>
          <w:b/>
          <w:i/>
        </w:rPr>
      </w:pPr>
      <w:r w:rsidRPr="00022449">
        <w:rPr>
          <w:b/>
          <w:i/>
        </w:rPr>
        <w:t xml:space="preserve">Коректив на касови постъпления </w:t>
      </w:r>
    </w:p>
    <w:p w14:paraId="60185514" w14:textId="77777777" w:rsidR="00D05EA4" w:rsidRPr="0062712A" w:rsidRDefault="00D05EA4" w:rsidP="00D05EA4">
      <w:pPr>
        <w:spacing w:before="120" w:after="120"/>
        <w:jc w:val="both"/>
        <w:rPr>
          <w:bCs/>
          <w:iCs/>
        </w:rPr>
      </w:pPr>
      <w:r>
        <w:rPr>
          <w:bCs/>
          <w:iCs/>
        </w:rPr>
        <w:tab/>
      </w:r>
      <w:r w:rsidRPr="0062712A">
        <w:rPr>
          <w:bCs/>
          <w:iCs/>
        </w:rPr>
        <w:t xml:space="preserve">Към </w:t>
      </w:r>
      <w:r w:rsidRPr="00A84C8B">
        <w:rPr>
          <w:bCs/>
          <w:iCs/>
        </w:rPr>
        <w:t>31</w:t>
      </w:r>
      <w:r>
        <w:rPr>
          <w:bCs/>
          <w:iCs/>
        </w:rPr>
        <w:t xml:space="preserve">.12.2022 </w:t>
      </w:r>
      <w:r w:rsidRPr="0062712A">
        <w:rPr>
          <w:bCs/>
          <w:iCs/>
        </w:rPr>
        <w:t xml:space="preserve">г. отчетеният коректив на касови постъпления е </w:t>
      </w:r>
      <w:r w:rsidRPr="00BF3AFA">
        <w:rPr>
          <w:bCs/>
          <w:iCs/>
        </w:rPr>
        <w:t>минус 7,7</w:t>
      </w:r>
      <w:r>
        <w:rPr>
          <w:bCs/>
          <w:iCs/>
        </w:rPr>
        <w:t xml:space="preserve"> </w:t>
      </w:r>
      <w:r w:rsidRPr="0062712A">
        <w:rPr>
          <w:bCs/>
          <w:iCs/>
        </w:rPr>
        <w:t>млн.</w:t>
      </w:r>
      <w:r>
        <w:rPr>
          <w:bCs/>
          <w:iCs/>
        </w:rPr>
        <w:t xml:space="preserve"> </w:t>
      </w:r>
      <w:r w:rsidRPr="0062712A">
        <w:rPr>
          <w:bCs/>
          <w:iCs/>
        </w:rPr>
        <w:t>л</w:t>
      </w:r>
      <w:r>
        <w:rPr>
          <w:bCs/>
          <w:iCs/>
        </w:rPr>
        <w:t>е</w:t>
      </w:r>
      <w:r w:rsidRPr="0062712A">
        <w:rPr>
          <w:bCs/>
          <w:iCs/>
        </w:rPr>
        <w:t>в</w:t>
      </w:r>
      <w:r>
        <w:rPr>
          <w:bCs/>
          <w:iCs/>
        </w:rPr>
        <w:t>а</w:t>
      </w:r>
      <w:r w:rsidRPr="0062712A">
        <w:rPr>
          <w:bCs/>
          <w:iCs/>
        </w:rPr>
        <w:t>. Той е формиран от размера на принудително събрани суми от НАП</w:t>
      </w:r>
      <w:r>
        <w:rPr>
          <w:bCs/>
          <w:iCs/>
        </w:rPr>
        <w:t xml:space="preserve"> в полза на ДФЗ-РА</w:t>
      </w:r>
      <w:r w:rsidRPr="0062712A">
        <w:rPr>
          <w:bCs/>
          <w:iCs/>
        </w:rPr>
        <w:t xml:space="preserve">, за които не е </w:t>
      </w:r>
      <w:r>
        <w:rPr>
          <w:bCs/>
          <w:iCs/>
        </w:rPr>
        <w:t>извършен превод на средства</w:t>
      </w:r>
      <w:r w:rsidRPr="0062712A">
        <w:rPr>
          <w:bCs/>
          <w:iCs/>
        </w:rPr>
        <w:t>.</w:t>
      </w:r>
    </w:p>
    <w:p w14:paraId="2084BC0E" w14:textId="77777777" w:rsidR="00D05EA4" w:rsidRPr="0044414F" w:rsidRDefault="00D05EA4" w:rsidP="00D05EA4">
      <w:pPr>
        <w:ind w:firstLine="567"/>
        <w:jc w:val="both"/>
        <w:rPr>
          <w:sz w:val="10"/>
        </w:rPr>
      </w:pPr>
    </w:p>
    <w:p w14:paraId="1F2F2C1F" w14:textId="77777777" w:rsidR="00D05EA4" w:rsidRPr="007D4FAD" w:rsidRDefault="00D05EA4" w:rsidP="00D05EA4">
      <w:pPr>
        <w:numPr>
          <w:ilvl w:val="0"/>
          <w:numId w:val="20"/>
        </w:numPr>
        <w:tabs>
          <w:tab w:val="num" w:pos="540"/>
        </w:tabs>
        <w:spacing w:before="120" w:after="120" w:line="276" w:lineRule="auto"/>
        <w:contextualSpacing/>
        <w:jc w:val="both"/>
        <w:rPr>
          <w:b/>
          <w:lang w:eastAsia="bg-BG"/>
        </w:rPr>
      </w:pPr>
      <w:r w:rsidRPr="007D4FAD">
        <w:rPr>
          <w:b/>
          <w:lang w:eastAsia="bg-BG"/>
        </w:rPr>
        <w:t xml:space="preserve">Разходи </w:t>
      </w:r>
    </w:p>
    <w:p w14:paraId="6FBC5C3A" w14:textId="77777777" w:rsidR="00D05EA4" w:rsidRPr="007D4FAD" w:rsidRDefault="00D05EA4" w:rsidP="00D05EA4">
      <w:pPr>
        <w:ind w:firstLine="567"/>
        <w:jc w:val="both"/>
      </w:pPr>
      <w:r w:rsidRPr="007D4FAD">
        <w:t xml:space="preserve">Общият размер на планираните за 2022 г. разходи по утвърдените годишни разчети на сметката за средства от Европейския съюз на Разплащателната агенция към ДФ „Земеделие” е 572,7 млн. лева. </w:t>
      </w:r>
    </w:p>
    <w:p w14:paraId="282B1B67" w14:textId="77777777" w:rsidR="00D05EA4" w:rsidRPr="007D4FAD" w:rsidRDefault="00D05EA4" w:rsidP="00D05EA4">
      <w:pPr>
        <w:ind w:firstLine="567"/>
        <w:jc w:val="both"/>
      </w:pPr>
      <w:r w:rsidRPr="007D4FAD">
        <w:t>Уточненият план на субсидиите за текуща дейност и капиталовите трансфери за 2022 г. е 386,2 млн. лева. Изпълнението към 31.12.2022 г. възлиза на 87,8 % от годишния план и е в размер на 338,9 млн. лева.</w:t>
      </w:r>
    </w:p>
    <w:p w14:paraId="18C6FB7D" w14:textId="77777777" w:rsidR="00D05EA4" w:rsidRPr="007D4FAD" w:rsidRDefault="00D05EA4" w:rsidP="00D05EA4">
      <w:pPr>
        <w:ind w:firstLine="567"/>
        <w:jc w:val="both"/>
      </w:pPr>
      <w:r w:rsidRPr="007D4FAD">
        <w:t>Разпределението на разходите е както следва:</w:t>
      </w:r>
    </w:p>
    <w:p w14:paraId="24AA9F50" w14:textId="77777777" w:rsidR="00D05EA4" w:rsidRPr="007D4FAD" w:rsidRDefault="00D05EA4" w:rsidP="00D05EA4">
      <w:pPr>
        <w:numPr>
          <w:ilvl w:val="0"/>
          <w:numId w:val="19"/>
        </w:numPr>
        <w:tabs>
          <w:tab w:val="left" w:pos="90"/>
          <w:tab w:val="left" w:pos="993"/>
        </w:tabs>
        <w:spacing w:before="120" w:after="120" w:line="276" w:lineRule="auto"/>
        <w:ind w:left="0" w:firstLine="567"/>
        <w:jc w:val="both"/>
        <w:rPr>
          <w:b/>
          <w:i/>
        </w:rPr>
      </w:pPr>
      <w:r w:rsidRPr="007D4FAD">
        <w:rPr>
          <w:b/>
          <w:i/>
        </w:rPr>
        <w:t>Субсидии и други текущи трансфери за нефинансови предприятия</w:t>
      </w:r>
    </w:p>
    <w:p w14:paraId="40AE7CAE" w14:textId="652E5643" w:rsidR="00D05EA4" w:rsidRPr="00EE41F7" w:rsidRDefault="00D05EA4" w:rsidP="00D05EA4">
      <w:pPr>
        <w:ind w:firstLine="567"/>
        <w:jc w:val="both"/>
      </w:pPr>
      <w:r w:rsidRPr="00EE41F7">
        <w:t xml:space="preserve">За 2022 г. са планирани средства в размер на 207,4 млн. лв. за субсидии и други текущи трансфери за нефинансови предприятия. Отчетените към 31.12.2022 г. средства представляват </w:t>
      </w:r>
      <w:r w:rsidRPr="00EE41F7">
        <w:lastRenderedPageBreak/>
        <w:t>90,8 % от планираните за годината и са в размер на 188,4</w:t>
      </w:r>
      <w:r w:rsidR="003D7776">
        <w:t>5</w:t>
      </w:r>
      <w:r w:rsidRPr="00EE41F7">
        <w:t xml:space="preserve"> млн. лева. За предходната година, изпълнението е 141,5 млн. лв. </w:t>
      </w:r>
      <w:r w:rsidRPr="006C03B6">
        <w:rPr>
          <w:lang w:val="ru-RU"/>
        </w:rPr>
        <w:t>(</w:t>
      </w:r>
      <w:r w:rsidRPr="00EE41F7">
        <w:t>83,6 %</w:t>
      </w:r>
      <w:r w:rsidRPr="006C03B6">
        <w:rPr>
          <w:lang w:val="ru-RU"/>
        </w:rPr>
        <w:t>)</w:t>
      </w:r>
      <w:r w:rsidRPr="00EE41F7">
        <w:t>.</w:t>
      </w:r>
    </w:p>
    <w:p w14:paraId="00F1F708" w14:textId="77777777" w:rsidR="00D05EA4" w:rsidRPr="00EE41F7" w:rsidRDefault="00D05EA4" w:rsidP="00D05EA4">
      <w:pPr>
        <w:ind w:firstLine="567"/>
        <w:jc w:val="both"/>
      </w:pPr>
      <w:r w:rsidRPr="00EE41F7">
        <w:t>Изпълнението по дейности е както следва:</w:t>
      </w:r>
    </w:p>
    <w:p w14:paraId="5D9E9CE3" w14:textId="77777777" w:rsidR="00D05EA4" w:rsidRPr="007054D0" w:rsidRDefault="00D05EA4" w:rsidP="00D05EA4">
      <w:pPr>
        <w:ind w:firstLine="567"/>
        <w:contextualSpacing/>
        <w:jc w:val="both"/>
      </w:pPr>
      <w:r w:rsidRPr="007054D0">
        <w:t>- национално съфинансиране към ЕЗФРСР за директни плащания – 77,7 млн. лв., изпълнение 91,5 % на планираните за годината 84,9 млн. лева;</w:t>
      </w:r>
    </w:p>
    <w:p w14:paraId="28F58609" w14:textId="77777777" w:rsidR="00D05EA4" w:rsidRPr="007054D0" w:rsidRDefault="00D05EA4" w:rsidP="00D05EA4">
      <w:pPr>
        <w:ind w:firstLine="567"/>
        <w:contextualSpacing/>
        <w:jc w:val="both"/>
      </w:pPr>
      <w:r w:rsidRPr="007054D0">
        <w:t>-  текущи субсидии по Програмата за морско дело и рибарство – 2,6 млн. лв., изпълнение 57,8 % на планираните за годината 4,5 млн. лева;</w:t>
      </w:r>
    </w:p>
    <w:p w14:paraId="6E23D6D7" w14:textId="77777777" w:rsidR="00D05EA4" w:rsidRPr="007054D0" w:rsidRDefault="00D05EA4" w:rsidP="00D05EA4">
      <w:pPr>
        <w:ind w:firstLine="567"/>
        <w:contextualSpacing/>
        <w:jc w:val="both"/>
      </w:pPr>
      <w:r w:rsidRPr="007054D0">
        <w:t>- текущи субсидии по Програмата за развитие на селските райони – 31,1 млн. лв., изпълнение от 68,5 % на планираните за годината 45,4 млн. лева;</w:t>
      </w:r>
    </w:p>
    <w:p w14:paraId="6FF5F28F" w14:textId="77777777" w:rsidR="00D05EA4" w:rsidRPr="007054D0" w:rsidRDefault="00D05EA4" w:rsidP="00D05EA4">
      <w:pPr>
        <w:tabs>
          <w:tab w:val="left" w:pos="851"/>
          <w:tab w:val="left" w:pos="1134"/>
        </w:tabs>
        <w:ind w:firstLine="567"/>
        <w:contextualSpacing/>
        <w:jc w:val="both"/>
      </w:pPr>
      <w:r w:rsidRPr="007054D0">
        <w:t>- текущи субсидии за пазарни мерки – 77,0 млн. лв., изпълнение от 106,1 % на планираните за 2022 г. 72,6 млн. лева. Превишението се дължи на изплатената извънредна помощ във връзка с преодоляване на последиците от войната в Украйна.</w:t>
      </w:r>
    </w:p>
    <w:p w14:paraId="49674CE9" w14:textId="77777777" w:rsidR="00D05EA4" w:rsidRPr="00C96AE2" w:rsidRDefault="00D05EA4" w:rsidP="00D05EA4">
      <w:pPr>
        <w:numPr>
          <w:ilvl w:val="0"/>
          <w:numId w:val="19"/>
        </w:numPr>
        <w:tabs>
          <w:tab w:val="left" w:pos="90"/>
          <w:tab w:val="left" w:pos="993"/>
        </w:tabs>
        <w:spacing w:before="120" w:after="120" w:line="276" w:lineRule="auto"/>
        <w:ind w:left="0" w:firstLine="567"/>
        <w:jc w:val="both"/>
        <w:rPr>
          <w:b/>
          <w:i/>
        </w:rPr>
      </w:pPr>
      <w:r w:rsidRPr="00C96AE2">
        <w:rPr>
          <w:b/>
          <w:i/>
        </w:rPr>
        <w:t>Субсидии и други текущи трансфери за юридически лица с нестопанска цел</w:t>
      </w:r>
    </w:p>
    <w:p w14:paraId="1AFE7551" w14:textId="4E8B9583" w:rsidR="00D05EA4" w:rsidRPr="00C96AE2" w:rsidRDefault="00D05EA4" w:rsidP="00D05EA4">
      <w:pPr>
        <w:ind w:firstLine="567"/>
        <w:contextualSpacing/>
        <w:jc w:val="both"/>
      </w:pPr>
      <w:r w:rsidRPr="00C96AE2">
        <w:tab/>
        <w:t>За 2022 г. за субсидии и други текущи трансфери за юридически лица с нестопанска цел са планирани 18,1 млн. лева. За 2022 г. са отчетени разходи в размер на 15,0 млн. лв. (82,9 % от годишния план). За 2021 год</w:t>
      </w:r>
      <w:r w:rsidR="009D2EED">
        <w:t xml:space="preserve">ина са отчетени 12,1 млн. лв., </w:t>
      </w:r>
      <w:r w:rsidRPr="00C96AE2">
        <w:t>63,0 % от годишния план.</w:t>
      </w:r>
    </w:p>
    <w:p w14:paraId="2EE762C4" w14:textId="77777777" w:rsidR="00D05EA4" w:rsidRPr="00C96AE2" w:rsidRDefault="00D05EA4" w:rsidP="00D05EA4">
      <w:pPr>
        <w:ind w:firstLine="567"/>
        <w:contextualSpacing/>
        <w:jc w:val="both"/>
      </w:pPr>
      <w:r w:rsidRPr="00C96AE2">
        <w:t>Разпределението по дейности е както следва:</w:t>
      </w:r>
    </w:p>
    <w:p w14:paraId="7DC4D7D6" w14:textId="77777777" w:rsidR="00D05EA4" w:rsidRPr="00C96AE2" w:rsidRDefault="00D05EA4" w:rsidP="00D05EA4">
      <w:pPr>
        <w:ind w:firstLine="567"/>
        <w:contextualSpacing/>
        <w:jc w:val="both"/>
      </w:pPr>
      <w:r w:rsidRPr="00C96AE2">
        <w:t xml:space="preserve">-  национално съфинансиране към ЕЗФРСР за директни плащания  – 0,1 млн. лева; </w:t>
      </w:r>
    </w:p>
    <w:p w14:paraId="03991665" w14:textId="77777777" w:rsidR="00D05EA4" w:rsidRPr="00C96AE2" w:rsidRDefault="00D05EA4" w:rsidP="00D05EA4">
      <w:pPr>
        <w:tabs>
          <w:tab w:val="left" w:pos="851"/>
        </w:tabs>
        <w:ind w:firstLine="567"/>
        <w:contextualSpacing/>
        <w:jc w:val="both"/>
      </w:pPr>
      <w:r w:rsidRPr="00C96AE2">
        <w:t>-  текущи субсидии по ПМДР – 3,4 млн. лв., 69,4 % от планираните 4,9 млн. лева;</w:t>
      </w:r>
    </w:p>
    <w:p w14:paraId="22FCD8AA" w14:textId="77777777" w:rsidR="00D05EA4" w:rsidRPr="00C96AE2" w:rsidRDefault="00D05EA4" w:rsidP="00D05EA4">
      <w:pPr>
        <w:ind w:firstLine="567"/>
        <w:contextualSpacing/>
        <w:jc w:val="both"/>
      </w:pPr>
      <w:r w:rsidRPr="00C96AE2">
        <w:t>- текущи субсидии по Програмата за развитие на селските райони – 12,1 млн. лв., изпълнение 92,4 % на планираните 13,1 млн. лева;</w:t>
      </w:r>
    </w:p>
    <w:p w14:paraId="5910BF88" w14:textId="77777777" w:rsidR="00D05EA4" w:rsidRPr="00C96AE2" w:rsidRDefault="00D05EA4" w:rsidP="00D05EA4">
      <w:pPr>
        <w:ind w:firstLine="567"/>
        <w:contextualSpacing/>
        <w:jc w:val="both"/>
      </w:pPr>
      <w:r w:rsidRPr="00C96AE2">
        <w:t>-  текущи субсидии за пазарни мерки – възстановени средства в размер на 0,6 млн. лева.</w:t>
      </w:r>
    </w:p>
    <w:p w14:paraId="7290B313" w14:textId="77777777" w:rsidR="00D05EA4" w:rsidRPr="00C96AE2" w:rsidRDefault="00D05EA4" w:rsidP="00D05EA4">
      <w:pPr>
        <w:numPr>
          <w:ilvl w:val="0"/>
          <w:numId w:val="19"/>
        </w:numPr>
        <w:tabs>
          <w:tab w:val="left" w:pos="90"/>
          <w:tab w:val="left" w:pos="993"/>
        </w:tabs>
        <w:spacing w:before="120" w:after="120" w:line="276" w:lineRule="auto"/>
        <w:ind w:left="0" w:firstLine="567"/>
        <w:jc w:val="both"/>
        <w:rPr>
          <w:b/>
          <w:i/>
        </w:rPr>
      </w:pPr>
      <w:r w:rsidRPr="00C96AE2">
        <w:rPr>
          <w:b/>
          <w:i/>
        </w:rPr>
        <w:t>Капиталови трансфери за нефинансови предприятия</w:t>
      </w:r>
    </w:p>
    <w:p w14:paraId="3432C49B" w14:textId="77777777" w:rsidR="00D05EA4" w:rsidRPr="008551F9" w:rsidRDefault="00D05EA4" w:rsidP="00D05EA4">
      <w:pPr>
        <w:ind w:firstLine="567"/>
        <w:jc w:val="both"/>
      </w:pPr>
      <w:r w:rsidRPr="008551F9">
        <w:t>За 2022 г. за капиталови трансфери за нефинансови предприятия са планирани 143,7 млн. лева. Към 31.12.2022 г. са отчетени 125,9 млн. лв., което е 87,6 % изпълнение на годишния план. Изпълнението за предходната година е 141,8 млн. лв., 74,5 % от  годишния план.</w:t>
      </w:r>
    </w:p>
    <w:p w14:paraId="1AAD4CF2" w14:textId="77777777" w:rsidR="00D05EA4" w:rsidRPr="008551F9" w:rsidRDefault="00D05EA4" w:rsidP="00D05EA4">
      <w:pPr>
        <w:ind w:firstLine="567"/>
        <w:jc w:val="both"/>
      </w:pPr>
      <w:r w:rsidRPr="008551F9">
        <w:t>Разпределението по дейности е както следва:</w:t>
      </w:r>
    </w:p>
    <w:p w14:paraId="056DA334" w14:textId="77777777" w:rsidR="00D05EA4" w:rsidRPr="008551F9" w:rsidRDefault="00D05EA4" w:rsidP="00D05EA4">
      <w:pPr>
        <w:ind w:firstLine="567"/>
        <w:contextualSpacing/>
        <w:jc w:val="both"/>
      </w:pPr>
      <w:r w:rsidRPr="008551F9">
        <w:t>-  капиталови трансфери по Програмата за морско дело и рибарство (ПМДР) – 5,5 млн. лв., което е 60,4 %  изпълнение на годишния план (</w:t>
      </w:r>
      <w:r w:rsidRPr="008551F9">
        <w:rPr>
          <w:lang w:val="ru-RU"/>
        </w:rPr>
        <w:t>9</w:t>
      </w:r>
      <w:r w:rsidRPr="008551F9">
        <w:t>,1 млн. лева);</w:t>
      </w:r>
    </w:p>
    <w:p w14:paraId="5A1AB9B6" w14:textId="277F275E" w:rsidR="00D05EA4" w:rsidRPr="008551F9" w:rsidRDefault="00D05EA4" w:rsidP="00D05EA4">
      <w:pPr>
        <w:ind w:firstLine="567"/>
        <w:contextualSpacing/>
        <w:jc w:val="both"/>
      </w:pPr>
      <w:r w:rsidRPr="008551F9">
        <w:t xml:space="preserve">-  капиталови трансфери по ПРСР – </w:t>
      </w:r>
      <w:r w:rsidRPr="008551F9">
        <w:rPr>
          <w:lang w:val="ru-RU"/>
        </w:rPr>
        <w:t>120</w:t>
      </w:r>
      <w:r w:rsidR="003D7776">
        <w:rPr>
          <w:lang w:val="ru-RU"/>
        </w:rPr>
        <w:t>,</w:t>
      </w:r>
      <w:r w:rsidRPr="008551F9">
        <w:rPr>
          <w:lang w:val="ru-RU"/>
        </w:rPr>
        <w:t>0</w:t>
      </w:r>
      <w:r w:rsidRPr="008551F9">
        <w:t xml:space="preserve"> млн. лв., </w:t>
      </w:r>
      <w:r w:rsidRPr="008551F9">
        <w:rPr>
          <w:lang w:val="ru-RU"/>
        </w:rPr>
        <w:t>89</w:t>
      </w:r>
      <w:r w:rsidR="003D7776">
        <w:rPr>
          <w:lang w:val="ru-RU"/>
        </w:rPr>
        <w:t>,</w:t>
      </w:r>
      <w:r w:rsidRPr="008551F9">
        <w:rPr>
          <w:lang w:val="ru-RU"/>
        </w:rPr>
        <w:t>4</w:t>
      </w:r>
      <w:r w:rsidRPr="008551F9">
        <w:t xml:space="preserve"> %  изпълнение на годишния план (</w:t>
      </w:r>
      <w:r w:rsidRPr="008551F9">
        <w:rPr>
          <w:lang w:val="ru-RU"/>
        </w:rPr>
        <w:t>134</w:t>
      </w:r>
      <w:r w:rsidR="003D7776">
        <w:rPr>
          <w:lang w:val="ru-RU"/>
        </w:rPr>
        <w:t>,</w:t>
      </w:r>
      <w:r w:rsidRPr="008551F9">
        <w:rPr>
          <w:lang w:val="ru-RU"/>
        </w:rPr>
        <w:t>2</w:t>
      </w:r>
      <w:r w:rsidRPr="008551F9">
        <w:t xml:space="preserve"> млн. лв.);</w:t>
      </w:r>
    </w:p>
    <w:p w14:paraId="4E536152" w14:textId="77777777" w:rsidR="00D05EA4" w:rsidRPr="008551F9" w:rsidRDefault="00D05EA4" w:rsidP="00D05EA4">
      <w:pPr>
        <w:ind w:firstLine="567"/>
        <w:contextualSpacing/>
        <w:jc w:val="both"/>
      </w:pPr>
      <w:r w:rsidRPr="008551F9">
        <w:t xml:space="preserve">-  капиталови трансфери за пазарни мерки – 0,4 млн. лв., изпълнение от </w:t>
      </w:r>
      <w:r w:rsidRPr="008551F9">
        <w:rPr>
          <w:lang w:val="ru-RU"/>
        </w:rPr>
        <w:t>100</w:t>
      </w:r>
      <w:r>
        <w:rPr>
          <w:lang w:val="ru-RU"/>
        </w:rPr>
        <w:t>,</w:t>
      </w:r>
      <w:r w:rsidRPr="008551F9">
        <w:rPr>
          <w:lang w:val="ru-RU"/>
        </w:rPr>
        <w:t>0</w:t>
      </w:r>
      <w:r w:rsidRPr="008551F9">
        <w:t xml:space="preserve"> % на годишния разчет. </w:t>
      </w:r>
    </w:p>
    <w:p w14:paraId="6FC95756" w14:textId="77777777" w:rsidR="00D05EA4" w:rsidRPr="008551F9" w:rsidRDefault="00D05EA4" w:rsidP="00D05EA4">
      <w:pPr>
        <w:numPr>
          <w:ilvl w:val="0"/>
          <w:numId w:val="19"/>
        </w:numPr>
        <w:tabs>
          <w:tab w:val="left" w:pos="90"/>
          <w:tab w:val="left" w:pos="993"/>
        </w:tabs>
        <w:spacing w:before="120" w:after="120" w:line="276" w:lineRule="auto"/>
        <w:ind w:left="0" w:firstLine="567"/>
        <w:jc w:val="both"/>
        <w:rPr>
          <w:b/>
          <w:i/>
        </w:rPr>
      </w:pPr>
      <w:r w:rsidRPr="008551F9">
        <w:rPr>
          <w:b/>
          <w:i/>
        </w:rPr>
        <w:t>Капиталови трансфери за организации с нестопанска цел</w:t>
      </w:r>
    </w:p>
    <w:p w14:paraId="1A286233" w14:textId="75345C74" w:rsidR="00D05EA4" w:rsidRPr="008551F9" w:rsidRDefault="00D05EA4" w:rsidP="00D05EA4">
      <w:pPr>
        <w:ind w:firstLine="567"/>
        <w:jc w:val="both"/>
      </w:pPr>
      <w:r w:rsidRPr="008551F9">
        <w:t xml:space="preserve">За 2022 г. са планирани капиталови трансфери за организации с нестопанска цел в размер на </w:t>
      </w:r>
      <w:r w:rsidRPr="008551F9">
        <w:rPr>
          <w:lang w:val="ru-RU"/>
        </w:rPr>
        <w:t>1</w:t>
      </w:r>
      <w:r w:rsidRPr="008551F9">
        <w:t>7,</w:t>
      </w:r>
      <w:r w:rsidRPr="008551F9">
        <w:rPr>
          <w:lang w:val="ru-RU"/>
        </w:rPr>
        <w:t>0</w:t>
      </w:r>
      <w:r w:rsidRPr="008551F9">
        <w:t xml:space="preserve"> млн. лева. Към 3</w:t>
      </w:r>
      <w:r w:rsidRPr="008551F9">
        <w:rPr>
          <w:lang w:val="ru-RU"/>
        </w:rPr>
        <w:t>1</w:t>
      </w:r>
      <w:r w:rsidRPr="008551F9">
        <w:t>.</w:t>
      </w:r>
      <w:r w:rsidRPr="008551F9">
        <w:rPr>
          <w:lang w:val="ru-RU"/>
        </w:rPr>
        <w:t>12</w:t>
      </w:r>
      <w:r w:rsidRPr="008551F9">
        <w:t xml:space="preserve">.2022 г. са отчетени капиталови трансфери по ПРСР в размер на </w:t>
      </w:r>
      <w:r w:rsidRPr="008551F9">
        <w:rPr>
          <w:lang w:val="ru-RU"/>
        </w:rPr>
        <w:t>9,6</w:t>
      </w:r>
      <w:r w:rsidR="00CC0BDA">
        <w:rPr>
          <w:lang w:val="ru-RU"/>
        </w:rPr>
        <w:t>5</w:t>
      </w:r>
      <w:r w:rsidRPr="008551F9">
        <w:t xml:space="preserve"> млн. лв., </w:t>
      </w:r>
      <w:r w:rsidRPr="008551F9">
        <w:rPr>
          <w:lang w:val="ru-RU"/>
        </w:rPr>
        <w:t>56,5</w:t>
      </w:r>
      <w:r w:rsidRPr="008551F9">
        <w:t xml:space="preserve"> % изпълнение на годишния план. За 2021 г. изпълнението е 31,2 процента.</w:t>
      </w:r>
    </w:p>
    <w:p w14:paraId="1A4BFDFF" w14:textId="77777777" w:rsidR="00D05EA4" w:rsidRPr="00DB12BD" w:rsidRDefault="00D05EA4" w:rsidP="00D05EA4">
      <w:pPr>
        <w:ind w:firstLine="567"/>
        <w:jc w:val="both"/>
        <w:rPr>
          <w:color w:val="0070C0"/>
        </w:rPr>
      </w:pPr>
    </w:p>
    <w:p w14:paraId="705BCD57" w14:textId="77777777" w:rsidR="00D05EA4" w:rsidRPr="007D4FAD" w:rsidRDefault="00D05EA4" w:rsidP="00D05EA4">
      <w:pPr>
        <w:spacing w:before="120"/>
        <w:ind w:firstLine="567"/>
        <w:jc w:val="both"/>
      </w:pPr>
      <w:r w:rsidRPr="007D4FAD">
        <w:t>Планираните разходи в размер на 186,5 млн. лв., в т.ч.: за заплати и възнаграждения на персонала 8,9 млн. лв., задължителни осигурителни вноски от работодатели 2,5 млн. лв., издръжка 6,1 млн. лв. и придобиване на ДМА 168,9 млн. лв., подлежат на отчитане в § 63-00 „Трансфери между сметки за средствата от ЕС“.</w:t>
      </w:r>
    </w:p>
    <w:p w14:paraId="0CE17B2B" w14:textId="77777777" w:rsidR="00D05EA4" w:rsidRPr="00DB12BD" w:rsidRDefault="00D05EA4" w:rsidP="00D05EA4">
      <w:pPr>
        <w:ind w:firstLine="567"/>
        <w:jc w:val="both"/>
        <w:rPr>
          <w:b/>
          <w:color w:val="0070C0"/>
          <w:sz w:val="12"/>
          <w:u w:val="single"/>
        </w:rPr>
      </w:pPr>
    </w:p>
    <w:p w14:paraId="413EDE23" w14:textId="77777777" w:rsidR="00D05EA4" w:rsidRPr="00AD79F1" w:rsidRDefault="00D05EA4" w:rsidP="00D05EA4">
      <w:pPr>
        <w:numPr>
          <w:ilvl w:val="0"/>
          <w:numId w:val="20"/>
        </w:numPr>
        <w:tabs>
          <w:tab w:val="num" w:pos="540"/>
        </w:tabs>
        <w:spacing w:before="120" w:after="120" w:line="276" w:lineRule="auto"/>
        <w:contextualSpacing/>
        <w:jc w:val="both"/>
        <w:rPr>
          <w:b/>
          <w:lang w:eastAsia="bg-BG"/>
        </w:rPr>
      </w:pPr>
      <w:r w:rsidRPr="00AD79F1">
        <w:rPr>
          <w:b/>
          <w:lang w:eastAsia="bg-BG"/>
        </w:rPr>
        <w:t xml:space="preserve">Трансфери </w:t>
      </w:r>
    </w:p>
    <w:p w14:paraId="23DCC36D" w14:textId="77777777" w:rsidR="00D05EA4" w:rsidRDefault="00D05EA4" w:rsidP="00D05EA4">
      <w:pPr>
        <w:ind w:firstLine="567"/>
        <w:jc w:val="both"/>
      </w:pPr>
      <w:r w:rsidRPr="00AD79F1">
        <w:t>В частта на трансферите, в касовия отчет на ДФЗ-РА към 31.12.2022 г. са отразени следните касови потоци:</w:t>
      </w:r>
    </w:p>
    <w:p w14:paraId="6741F6D9" w14:textId="77777777" w:rsidR="00D05EA4" w:rsidRPr="00865922" w:rsidRDefault="00D05EA4" w:rsidP="00D05EA4">
      <w:pPr>
        <w:numPr>
          <w:ilvl w:val="0"/>
          <w:numId w:val="19"/>
        </w:numPr>
        <w:tabs>
          <w:tab w:val="left" w:pos="993"/>
        </w:tabs>
        <w:spacing w:before="120" w:after="120"/>
        <w:ind w:left="1321" w:hanging="612"/>
        <w:jc w:val="both"/>
        <w:rPr>
          <w:b/>
          <w:i/>
          <w:lang w:eastAsia="bg-BG"/>
        </w:rPr>
      </w:pPr>
      <w:r w:rsidRPr="00865922">
        <w:rPr>
          <w:b/>
          <w:i/>
          <w:lang w:eastAsia="bg-BG"/>
        </w:rPr>
        <w:t xml:space="preserve">Трансфери между ЦБ и сметки за средства от Европейския съюз </w:t>
      </w:r>
    </w:p>
    <w:p w14:paraId="68A7E342" w14:textId="77777777" w:rsidR="00D05EA4" w:rsidRDefault="00D05EA4" w:rsidP="00D05EA4">
      <w:pPr>
        <w:tabs>
          <w:tab w:val="left" w:pos="540"/>
          <w:tab w:val="left" w:pos="993"/>
        </w:tabs>
        <w:jc w:val="both"/>
      </w:pPr>
      <w:r w:rsidRPr="00865922">
        <w:tab/>
        <w:t xml:space="preserve">Планираната сума на трансфера от ЦБ е в размер </w:t>
      </w:r>
      <w:r>
        <w:t>215,5</w:t>
      </w:r>
      <w:r w:rsidRPr="00865922">
        <w:t xml:space="preserve"> млн.</w:t>
      </w:r>
      <w:r>
        <w:t xml:space="preserve"> </w:t>
      </w:r>
      <w:r w:rsidRPr="00865922">
        <w:t>л</w:t>
      </w:r>
      <w:r>
        <w:t>е</w:t>
      </w:r>
      <w:r w:rsidRPr="00865922">
        <w:t>в</w:t>
      </w:r>
      <w:r>
        <w:t>а</w:t>
      </w:r>
      <w:r w:rsidRPr="00865922">
        <w:t xml:space="preserve">. Отчетената стойност е </w:t>
      </w:r>
      <w:r>
        <w:t>211,5</w:t>
      </w:r>
      <w:r w:rsidRPr="00865922">
        <w:t xml:space="preserve"> млн.</w:t>
      </w:r>
      <w:r>
        <w:t xml:space="preserve"> </w:t>
      </w:r>
      <w:r w:rsidRPr="00865922">
        <w:t>лв., съответстваща на получения в края на 202</w:t>
      </w:r>
      <w:r>
        <w:t xml:space="preserve">2 </w:t>
      </w:r>
      <w:r w:rsidRPr="00865922">
        <w:t xml:space="preserve">г. трансфер от ЦБ за компенсиране </w:t>
      </w:r>
      <w:r w:rsidRPr="00865922">
        <w:lastRenderedPageBreak/>
        <w:t>на средствата, изплатени от РА за сметка на национално съфинансиране към фондовете ЕФГЗ, ЕЗФРСР, ЕФМДР и ЕФР.</w:t>
      </w:r>
    </w:p>
    <w:p w14:paraId="0BC6418F" w14:textId="77777777" w:rsidR="00D05EA4" w:rsidRPr="00AD79F1" w:rsidRDefault="00D05EA4" w:rsidP="00D05EA4">
      <w:pPr>
        <w:ind w:firstLine="567"/>
        <w:jc w:val="both"/>
      </w:pPr>
    </w:p>
    <w:p w14:paraId="4FCDB19D" w14:textId="77777777" w:rsidR="00D05EA4" w:rsidRPr="00DD0AE0" w:rsidRDefault="00D05EA4" w:rsidP="00D05EA4">
      <w:pPr>
        <w:numPr>
          <w:ilvl w:val="0"/>
          <w:numId w:val="19"/>
        </w:numPr>
        <w:tabs>
          <w:tab w:val="left" w:pos="90"/>
          <w:tab w:val="left" w:pos="993"/>
        </w:tabs>
        <w:spacing w:before="120" w:after="120" w:line="276" w:lineRule="auto"/>
        <w:ind w:left="0" w:firstLine="567"/>
        <w:jc w:val="both"/>
        <w:rPr>
          <w:b/>
          <w:i/>
        </w:rPr>
      </w:pPr>
      <w:r w:rsidRPr="00DD0AE0">
        <w:rPr>
          <w:b/>
          <w:i/>
        </w:rPr>
        <w:t xml:space="preserve">Трансфери между бюджети и сметки за средства от Европейския съюз </w:t>
      </w:r>
    </w:p>
    <w:p w14:paraId="2123A363" w14:textId="77777777" w:rsidR="00D05EA4" w:rsidRPr="00DD0AE0" w:rsidRDefault="00D05EA4" w:rsidP="00D05EA4">
      <w:pPr>
        <w:ind w:firstLine="567"/>
        <w:jc w:val="both"/>
      </w:pPr>
      <w:r w:rsidRPr="00DD0AE0">
        <w:t xml:space="preserve">Получените трансфери от бюджетни сметки на бюджетни организации и общини са формирани при възстановяване на суми по вземания по ПРСР, ПМДР и директни плащания. Към 31.12.2022 г. техният размер е 2,6 млн. лева. </w:t>
      </w:r>
    </w:p>
    <w:p w14:paraId="6F3FCE26" w14:textId="77777777" w:rsidR="00D05EA4" w:rsidRPr="003454BD" w:rsidRDefault="00D05EA4" w:rsidP="00D05EA4">
      <w:pPr>
        <w:ind w:firstLine="567"/>
        <w:jc w:val="both"/>
      </w:pPr>
      <w:r w:rsidRPr="00DD0AE0">
        <w:tab/>
        <w:t xml:space="preserve">Предоставените за 2022 г. трансфери във връзка с чл.14 от Закона за подпомагане на </w:t>
      </w:r>
      <w:r w:rsidRPr="003454BD">
        <w:t>земеделските производители възлизат на 0,7 млн. лева.</w:t>
      </w:r>
    </w:p>
    <w:p w14:paraId="7DD4890D" w14:textId="77777777" w:rsidR="00D05EA4" w:rsidRPr="003454BD" w:rsidRDefault="00D05EA4" w:rsidP="00D05EA4">
      <w:pPr>
        <w:numPr>
          <w:ilvl w:val="0"/>
          <w:numId w:val="19"/>
        </w:numPr>
        <w:tabs>
          <w:tab w:val="left" w:pos="90"/>
          <w:tab w:val="left" w:pos="993"/>
        </w:tabs>
        <w:spacing w:before="120" w:after="120" w:line="276" w:lineRule="auto"/>
        <w:ind w:left="0" w:firstLine="567"/>
        <w:jc w:val="both"/>
        <w:rPr>
          <w:b/>
          <w:i/>
        </w:rPr>
      </w:pPr>
      <w:r w:rsidRPr="003454BD">
        <w:rPr>
          <w:b/>
          <w:i/>
        </w:rPr>
        <w:t>Трансфери между сметки за средства от Европейския съюз:</w:t>
      </w:r>
    </w:p>
    <w:p w14:paraId="5D9AC4A9" w14:textId="77777777" w:rsidR="00D05EA4" w:rsidRPr="003454BD" w:rsidRDefault="00D05EA4" w:rsidP="00D05EA4">
      <w:pPr>
        <w:ind w:firstLine="567"/>
        <w:jc w:val="both"/>
      </w:pPr>
      <w:r w:rsidRPr="003454BD">
        <w:t>Предоставените трансфери са формирани от изплатените субсидии на публични бенефициенти и възстановените от тях суми. За 2022 г. са отчетени 174,3 млн. лв., в т.ч.:</w:t>
      </w:r>
    </w:p>
    <w:p w14:paraId="15777ADD" w14:textId="77777777" w:rsidR="00D05EA4" w:rsidRPr="003454BD" w:rsidRDefault="00D05EA4" w:rsidP="00D05EA4">
      <w:pPr>
        <w:pStyle w:val="ListParagraph"/>
        <w:numPr>
          <w:ilvl w:val="0"/>
          <w:numId w:val="18"/>
        </w:numPr>
        <w:tabs>
          <w:tab w:val="left" w:pos="993"/>
        </w:tabs>
        <w:spacing w:line="240" w:lineRule="auto"/>
        <w:ind w:left="706" w:firstLine="14"/>
        <w:rPr>
          <w:rFonts w:ascii="Times New Roman" w:hAnsi="Times New Roman"/>
        </w:rPr>
      </w:pPr>
      <w:r w:rsidRPr="003454BD">
        <w:rPr>
          <w:rFonts w:ascii="Times New Roman" w:hAnsi="Times New Roman"/>
        </w:rPr>
        <w:t>по Програмата за развитие на селските райони – 162,2 млн. лв.;</w:t>
      </w:r>
    </w:p>
    <w:p w14:paraId="23B1203E" w14:textId="77777777" w:rsidR="00D05EA4" w:rsidRPr="003454BD" w:rsidRDefault="00D05EA4" w:rsidP="00D05EA4">
      <w:pPr>
        <w:pStyle w:val="ListParagraph"/>
        <w:numPr>
          <w:ilvl w:val="0"/>
          <w:numId w:val="18"/>
        </w:numPr>
        <w:tabs>
          <w:tab w:val="left" w:pos="993"/>
        </w:tabs>
        <w:spacing w:line="240" w:lineRule="auto"/>
        <w:ind w:left="706" w:firstLine="14"/>
        <w:rPr>
          <w:rFonts w:ascii="Times New Roman" w:hAnsi="Times New Roman"/>
        </w:rPr>
      </w:pPr>
      <w:r w:rsidRPr="003454BD">
        <w:rPr>
          <w:rFonts w:ascii="Times New Roman" w:hAnsi="Times New Roman"/>
        </w:rPr>
        <w:t>национално съфинансиране към директни плащания – 0,2 млн. лв.;</w:t>
      </w:r>
    </w:p>
    <w:p w14:paraId="5D2EA797" w14:textId="77777777" w:rsidR="00D05EA4" w:rsidRPr="003454BD" w:rsidRDefault="00D05EA4" w:rsidP="00D05EA4">
      <w:pPr>
        <w:pStyle w:val="ListParagraph"/>
        <w:numPr>
          <w:ilvl w:val="0"/>
          <w:numId w:val="18"/>
        </w:numPr>
        <w:tabs>
          <w:tab w:val="left" w:pos="993"/>
        </w:tabs>
        <w:spacing w:line="240" w:lineRule="auto"/>
        <w:ind w:left="706" w:firstLine="14"/>
        <w:rPr>
          <w:rFonts w:ascii="Times New Roman" w:hAnsi="Times New Roman"/>
        </w:rPr>
      </w:pPr>
      <w:r w:rsidRPr="003454BD">
        <w:rPr>
          <w:rFonts w:ascii="Times New Roman" w:hAnsi="Times New Roman"/>
        </w:rPr>
        <w:t>по Програмата за морско дело и рибарство – 11,8 млн. лв.;</w:t>
      </w:r>
    </w:p>
    <w:p w14:paraId="61E0271E" w14:textId="77777777" w:rsidR="00D05EA4" w:rsidRPr="003454BD" w:rsidRDefault="00D05EA4" w:rsidP="00D05EA4">
      <w:pPr>
        <w:pStyle w:val="ListParagraph"/>
        <w:numPr>
          <w:ilvl w:val="0"/>
          <w:numId w:val="18"/>
        </w:numPr>
        <w:tabs>
          <w:tab w:val="left" w:pos="993"/>
        </w:tabs>
        <w:spacing w:line="240" w:lineRule="auto"/>
        <w:ind w:left="706" w:firstLine="14"/>
        <w:rPr>
          <w:rFonts w:ascii="Times New Roman" w:hAnsi="Times New Roman"/>
        </w:rPr>
      </w:pPr>
      <w:r w:rsidRPr="003454BD">
        <w:rPr>
          <w:rFonts w:ascii="Times New Roman" w:hAnsi="Times New Roman"/>
        </w:rPr>
        <w:t>пазарни мерки – 0,1 млн. лева.</w:t>
      </w:r>
    </w:p>
    <w:p w14:paraId="6F498CE0" w14:textId="77777777" w:rsidR="00D05EA4" w:rsidRPr="003454BD" w:rsidRDefault="00D05EA4" w:rsidP="00D05EA4">
      <w:pPr>
        <w:ind w:firstLine="567"/>
        <w:jc w:val="both"/>
      </w:pPr>
      <w:r w:rsidRPr="003454BD">
        <w:t>През 2021 г. са предоставени трансфери в размер на 290,1 млн. лв.</w:t>
      </w:r>
    </w:p>
    <w:p w14:paraId="73AE6B8D" w14:textId="77777777" w:rsidR="00D05EA4" w:rsidRPr="003454BD" w:rsidRDefault="00D05EA4" w:rsidP="00D05EA4">
      <w:pPr>
        <w:tabs>
          <w:tab w:val="left" w:pos="540"/>
        </w:tabs>
        <w:ind w:firstLine="567"/>
        <w:jc w:val="both"/>
      </w:pPr>
      <w:r w:rsidRPr="003454BD">
        <w:rPr>
          <w:lang w:eastAsia="bg-BG"/>
        </w:rPr>
        <w:tab/>
      </w:r>
    </w:p>
    <w:p w14:paraId="0560FBEF" w14:textId="77777777" w:rsidR="00D05EA4" w:rsidRPr="003454BD" w:rsidRDefault="00D05EA4" w:rsidP="00D05EA4">
      <w:pPr>
        <w:numPr>
          <w:ilvl w:val="0"/>
          <w:numId w:val="20"/>
        </w:numPr>
        <w:tabs>
          <w:tab w:val="num" w:pos="540"/>
        </w:tabs>
        <w:spacing w:before="120" w:after="120" w:line="276" w:lineRule="auto"/>
        <w:contextualSpacing/>
        <w:jc w:val="both"/>
        <w:rPr>
          <w:b/>
          <w:lang w:eastAsia="bg-BG"/>
        </w:rPr>
      </w:pPr>
      <w:r w:rsidRPr="003454BD">
        <w:rPr>
          <w:b/>
          <w:lang w:eastAsia="bg-BG"/>
        </w:rPr>
        <w:t>Финансиране</w:t>
      </w:r>
    </w:p>
    <w:p w14:paraId="74ADAF1A" w14:textId="77777777" w:rsidR="00D05EA4" w:rsidRPr="0043415D" w:rsidRDefault="00D05EA4" w:rsidP="00D05EA4">
      <w:pPr>
        <w:numPr>
          <w:ilvl w:val="0"/>
          <w:numId w:val="19"/>
        </w:numPr>
        <w:tabs>
          <w:tab w:val="left" w:pos="90"/>
          <w:tab w:val="left" w:pos="993"/>
        </w:tabs>
        <w:spacing w:before="120" w:after="120" w:line="276" w:lineRule="auto"/>
        <w:ind w:left="0" w:firstLine="567"/>
        <w:jc w:val="both"/>
        <w:rPr>
          <w:b/>
          <w:i/>
        </w:rPr>
      </w:pPr>
      <w:r w:rsidRPr="0043415D">
        <w:rPr>
          <w:b/>
          <w:i/>
        </w:rPr>
        <w:t>Суми по разчети за поети осигурителни вноски и данъци</w:t>
      </w:r>
    </w:p>
    <w:p w14:paraId="462369E3" w14:textId="77777777" w:rsidR="00D05EA4" w:rsidRPr="0043415D" w:rsidRDefault="00D05EA4" w:rsidP="00D05EA4">
      <w:pPr>
        <w:ind w:firstLine="851"/>
        <w:jc w:val="both"/>
        <w:rPr>
          <w:lang w:eastAsia="bg-BG"/>
        </w:rPr>
      </w:pPr>
      <w:r w:rsidRPr="0043415D">
        <w:rPr>
          <w:lang w:eastAsia="bg-BG"/>
        </w:rPr>
        <w:t>Към края на 2022 г. сумата по разчети за поети данъци, формирани от удържан и внесен окончателен данък на физически лица, съгл. чл. 65, ал. 14 от ЗДДФЛ възлиза нето на минус 0,1 млн. лева.</w:t>
      </w:r>
    </w:p>
    <w:p w14:paraId="57A2039A" w14:textId="77777777" w:rsidR="00D05EA4" w:rsidRPr="00043FB2" w:rsidRDefault="00D05EA4" w:rsidP="00D05EA4">
      <w:pPr>
        <w:numPr>
          <w:ilvl w:val="0"/>
          <w:numId w:val="19"/>
        </w:numPr>
        <w:tabs>
          <w:tab w:val="left" w:pos="90"/>
          <w:tab w:val="left" w:pos="993"/>
        </w:tabs>
        <w:spacing w:before="120" w:after="120" w:line="276" w:lineRule="auto"/>
        <w:ind w:left="0" w:firstLine="567"/>
        <w:jc w:val="both"/>
        <w:rPr>
          <w:b/>
          <w:i/>
        </w:rPr>
      </w:pPr>
      <w:r w:rsidRPr="00043FB2">
        <w:rPr>
          <w:b/>
          <w:i/>
        </w:rPr>
        <w:t>Друго финансиране</w:t>
      </w:r>
    </w:p>
    <w:p w14:paraId="7D71187D" w14:textId="77777777" w:rsidR="00D05EA4" w:rsidRPr="00043FB2" w:rsidRDefault="00D05EA4" w:rsidP="00D05EA4">
      <w:pPr>
        <w:ind w:firstLine="567"/>
        <w:jc w:val="both"/>
      </w:pPr>
      <w:r w:rsidRPr="00043FB2">
        <w:t>Към 31.12.2022 г. извършените плащания, възстановените суми, разчетът с централния бюджет и операциите с чужди средства, включени в отчетността в „Друго финансиране“ са в размер на 35,9 млн. лв., при планирани 90,7 млн. лева.</w:t>
      </w:r>
    </w:p>
    <w:p w14:paraId="76C562AD" w14:textId="77777777" w:rsidR="00D05EA4" w:rsidRPr="00043FB2" w:rsidRDefault="00D05EA4" w:rsidP="00D05EA4">
      <w:pPr>
        <w:ind w:firstLine="567"/>
        <w:jc w:val="both"/>
        <w:rPr>
          <w:lang w:eastAsia="bg-BG"/>
        </w:rPr>
      </w:pPr>
      <w:r w:rsidRPr="00043FB2">
        <w:rPr>
          <w:lang w:eastAsia="bg-BG"/>
        </w:rPr>
        <w:t>Към 31.12.2022 г. са отчетени плащания в общ размер на 1 874,0 млн. лв., 96,4 % от годишните разчети (1 944,7 млн. лв.) при 1 818,7 млн. лв. за 2021 г.</w:t>
      </w:r>
    </w:p>
    <w:p w14:paraId="0D677D03" w14:textId="77777777" w:rsidR="00D05EA4" w:rsidRPr="00043FB2" w:rsidRDefault="00D05EA4" w:rsidP="00D05EA4">
      <w:pPr>
        <w:ind w:firstLine="567"/>
        <w:jc w:val="both"/>
        <w:rPr>
          <w:lang w:eastAsia="bg-BG"/>
        </w:rPr>
      </w:pPr>
      <w:r w:rsidRPr="00043FB2">
        <w:rPr>
          <w:lang w:eastAsia="bg-BG"/>
        </w:rPr>
        <w:t>Отчетени са плащания по следните направления:</w:t>
      </w:r>
    </w:p>
    <w:p w14:paraId="5633A0CC" w14:textId="77777777" w:rsidR="00D05EA4" w:rsidRPr="00CC5CA0" w:rsidRDefault="00D05EA4" w:rsidP="00D05EA4">
      <w:pPr>
        <w:numPr>
          <w:ilvl w:val="0"/>
          <w:numId w:val="21"/>
        </w:numPr>
        <w:tabs>
          <w:tab w:val="left" w:pos="851"/>
        </w:tabs>
        <w:ind w:left="0" w:firstLine="562"/>
        <w:contextualSpacing/>
        <w:jc w:val="both"/>
        <w:rPr>
          <w:szCs w:val="20"/>
        </w:rPr>
      </w:pPr>
      <w:r w:rsidRPr="00CC5CA0">
        <w:rPr>
          <w:szCs w:val="20"/>
        </w:rPr>
        <w:t>1 556,7 млн. лв. за директни плащания за сметка на ЕФГЗ, представляващи 98,5 % от планираните 1 580,2 млн. лева;</w:t>
      </w:r>
    </w:p>
    <w:p w14:paraId="15ACA19B" w14:textId="77777777" w:rsidR="00D05EA4" w:rsidRPr="00CC5CA0" w:rsidRDefault="00D05EA4" w:rsidP="00D05EA4">
      <w:pPr>
        <w:numPr>
          <w:ilvl w:val="0"/>
          <w:numId w:val="21"/>
        </w:numPr>
        <w:tabs>
          <w:tab w:val="left" w:pos="851"/>
        </w:tabs>
        <w:ind w:left="0" w:firstLine="562"/>
        <w:contextualSpacing/>
        <w:jc w:val="both"/>
        <w:rPr>
          <w:szCs w:val="20"/>
        </w:rPr>
      </w:pPr>
      <w:r w:rsidRPr="00CC5CA0">
        <w:rPr>
          <w:szCs w:val="20"/>
        </w:rPr>
        <w:t>267,0 млн. лв. средства от ЕЗФРСР, прехвърлени към директни плащания, което е 89,4 % от планираните 298,6 млн. лева;</w:t>
      </w:r>
    </w:p>
    <w:p w14:paraId="1AC07594" w14:textId="77777777" w:rsidR="00D05EA4" w:rsidRPr="00CC5CA0" w:rsidRDefault="00D05EA4" w:rsidP="00D05EA4">
      <w:pPr>
        <w:numPr>
          <w:ilvl w:val="0"/>
          <w:numId w:val="21"/>
        </w:numPr>
        <w:tabs>
          <w:tab w:val="left" w:pos="851"/>
        </w:tabs>
        <w:ind w:left="0" w:firstLine="562"/>
        <w:contextualSpacing/>
        <w:jc w:val="both"/>
        <w:rPr>
          <w:szCs w:val="20"/>
        </w:rPr>
      </w:pPr>
      <w:r w:rsidRPr="00CC5CA0">
        <w:rPr>
          <w:szCs w:val="20"/>
        </w:rPr>
        <w:t>39,7 млн. лв. за пазарни мерки, което е 89,6 % изпълнение на годишния разчет от 44,3 млн. лева;</w:t>
      </w:r>
    </w:p>
    <w:p w14:paraId="646B6011" w14:textId="77777777" w:rsidR="00D05EA4" w:rsidRPr="00CC5CA0" w:rsidRDefault="00D05EA4" w:rsidP="00D05EA4">
      <w:pPr>
        <w:numPr>
          <w:ilvl w:val="0"/>
          <w:numId w:val="21"/>
        </w:numPr>
        <w:tabs>
          <w:tab w:val="left" w:pos="851"/>
        </w:tabs>
        <w:ind w:left="0" w:firstLine="562"/>
        <w:contextualSpacing/>
        <w:jc w:val="both"/>
        <w:rPr>
          <w:szCs w:val="20"/>
        </w:rPr>
      </w:pPr>
      <w:r w:rsidRPr="00CC5CA0">
        <w:rPr>
          <w:szCs w:val="20"/>
        </w:rPr>
        <w:t>10,6 млн. лв. суми за преструктуриране, 49,1 % от планираните 21,6 млн. лева.</w:t>
      </w:r>
    </w:p>
    <w:p w14:paraId="065159F3" w14:textId="77777777" w:rsidR="00D05EA4" w:rsidRPr="00D211FA" w:rsidRDefault="00D05EA4" w:rsidP="00D05EA4">
      <w:pPr>
        <w:tabs>
          <w:tab w:val="left" w:pos="851"/>
        </w:tabs>
        <w:ind w:firstLine="567"/>
        <w:jc w:val="both"/>
        <w:rPr>
          <w:sz w:val="12"/>
          <w:szCs w:val="12"/>
          <w:lang w:eastAsia="bg-BG"/>
        </w:rPr>
      </w:pPr>
    </w:p>
    <w:p w14:paraId="79F476B9" w14:textId="77777777" w:rsidR="00D05EA4" w:rsidRPr="00D211FA" w:rsidRDefault="00D05EA4" w:rsidP="00D05EA4">
      <w:pPr>
        <w:tabs>
          <w:tab w:val="left" w:pos="851"/>
        </w:tabs>
        <w:ind w:firstLine="567"/>
        <w:jc w:val="both"/>
        <w:rPr>
          <w:lang w:eastAsia="bg-BG"/>
        </w:rPr>
      </w:pPr>
      <w:r w:rsidRPr="00D211FA">
        <w:rPr>
          <w:lang w:eastAsia="bg-BG"/>
        </w:rPr>
        <w:t>Възстановените суми от Европейския съюз към 3</w:t>
      </w:r>
      <w:r w:rsidRPr="00D211FA">
        <w:rPr>
          <w:lang w:val="ru-RU" w:eastAsia="bg-BG"/>
        </w:rPr>
        <w:t>1</w:t>
      </w:r>
      <w:r w:rsidRPr="00D211FA">
        <w:rPr>
          <w:lang w:eastAsia="bg-BG"/>
        </w:rPr>
        <w:t>.</w:t>
      </w:r>
      <w:r w:rsidRPr="00D211FA">
        <w:rPr>
          <w:lang w:val="ru-RU" w:eastAsia="bg-BG"/>
        </w:rPr>
        <w:t>12</w:t>
      </w:r>
      <w:r w:rsidRPr="00D211FA">
        <w:rPr>
          <w:lang w:eastAsia="bg-BG"/>
        </w:rPr>
        <w:t>.2022 г. възлизат общо на 1 </w:t>
      </w:r>
      <w:r w:rsidRPr="00D211FA">
        <w:rPr>
          <w:lang w:val="ru-RU" w:eastAsia="bg-BG"/>
        </w:rPr>
        <w:t>756,4</w:t>
      </w:r>
      <w:r w:rsidRPr="00D211FA">
        <w:t> </w:t>
      </w:r>
      <w:r w:rsidRPr="00D211FA">
        <w:rPr>
          <w:lang w:eastAsia="bg-BG"/>
        </w:rPr>
        <w:t xml:space="preserve">млн. лв., което е изпълнение от </w:t>
      </w:r>
      <w:r w:rsidRPr="00D211FA">
        <w:rPr>
          <w:lang w:val="ru-RU" w:eastAsia="bg-BG"/>
        </w:rPr>
        <w:t>1</w:t>
      </w:r>
      <w:r w:rsidRPr="00D211FA">
        <w:rPr>
          <w:lang w:eastAsia="bg-BG"/>
        </w:rPr>
        <w:t>0</w:t>
      </w:r>
      <w:r w:rsidRPr="00D211FA">
        <w:rPr>
          <w:lang w:val="ru-RU" w:eastAsia="bg-BG"/>
        </w:rPr>
        <w:t>0,0</w:t>
      </w:r>
      <w:r w:rsidRPr="00D211FA">
        <w:rPr>
          <w:lang w:eastAsia="bg-BG"/>
        </w:rPr>
        <w:t xml:space="preserve"> % от планираните за годината средства. За сравнение, към 31.12.2021 г. изпълнението също е било 100,0 процента.</w:t>
      </w:r>
    </w:p>
    <w:p w14:paraId="327B80EF" w14:textId="77777777" w:rsidR="00D05EA4" w:rsidRPr="00D211FA" w:rsidRDefault="00D05EA4" w:rsidP="00D05EA4">
      <w:pPr>
        <w:tabs>
          <w:tab w:val="left" w:pos="851"/>
        </w:tabs>
        <w:ind w:firstLine="567"/>
        <w:jc w:val="both"/>
        <w:rPr>
          <w:lang w:eastAsia="bg-BG"/>
        </w:rPr>
      </w:pPr>
      <w:r w:rsidRPr="00D211FA">
        <w:rPr>
          <w:lang w:eastAsia="bg-BG"/>
        </w:rPr>
        <w:t>Възстановени са суми по следните направления:</w:t>
      </w:r>
    </w:p>
    <w:p w14:paraId="470E0FB0" w14:textId="77777777" w:rsidR="00D05EA4" w:rsidRPr="00D211FA" w:rsidRDefault="00D05EA4" w:rsidP="00D05EA4">
      <w:pPr>
        <w:numPr>
          <w:ilvl w:val="0"/>
          <w:numId w:val="21"/>
        </w:numPr>
        <w:tabs>
          <w:tab w:val="left" w:pos="851"/>
        </w:tabs>
        <w:ind w:left="0" w:firstLine="562"/>
        <w:contextualSpacing/>
        <w:jc w:val="both"/>
        <w:rPr>
          <w:szCs w:val="20"/>
        </w:rPr>
      </w:pPr>
      <w:r w:rsidRPr="00D211FA">
        <w:rPr>
          <w:szCs w:val="20"/>
        </w:rPr>
        <w:t>1 518,2 млн. лв. за директни плащания от ЕФГЗ – 100,0 % на планираните средства;</w:t>
      </w:r>
    </w:p>
    <w:p w14:paraId="017CBBFE" w14:textId="77777777" w:rsidR="00D05EA4" w:rsidRPr="00D211FA" w:rsidRDefault="00D05EA4" w:rsidP="00D05EA4">
      <w:pPr>
        <w:numPr>
          <w:ilvl w:val="0"/>
          <w:numId w:val="21"/>
        </w:numPr>
        <w:tabs>
          <w:tab w:val="left" w:pos="851"/>
        </w:tabs>
        <w:ind w:left="0" w:firstLine="562"/>
        <w:contextualSpacing/>
        <w:jc w:val="both"/>
        <w:rPr>
          <w:szCs w:val="20"/>
        </w:rPr>
      </w:pPr>
      <w:r w:rsidRPr="00D211FA">
        <w:rPr>
          <w:szCs w:val="20"/>
        </w:rPr>
        <w:t xml:space="preserve">182,7 млн. лв. от ЕЗФРСР, прехвърлени към директни плащания – 100,0 % на заложените средства; </w:t>
      </w:r>
    </w:p>
    <w:p w14:paraId="2944A5B7" w14:textId="77777777" w:rsidR="00D05EA4" w:rsidRPr="00D211FA" w:rsidRDefault="00D05EA4" w:rsidP="00D05EA4">
      <w:pPr>
        <w:numPr>
          <w:ilvl w:val="0"/>
          <w:numId w:val="21"/>
        </w:numPr>
        <w:tabs>
          <w:tab w:val="left" w:pos="851"/>
        </w:tabs>
        <w:ind w:left="0" w:firstLine="562"/>
        <w:contextualSpacing/>
        <w:jc w:val="both"/>
        <w:rPr>
          <w:szCs w:val="20"/>
        </w:rPr>
      </w:pPr>
      <w:r w:rsidRPr="00D211FA">
        <w:rPr>
          <w:szCs w:val="20"/>
        </w:rPr>
        <w:t>36,4 млн. лв. за пазарни мерки от ЕФГЗ, 98,1 % изпълнение на планираните за годината 37,1 млн. лева;</w:t>
      </w:r>
    </w:p>
    <w:p w14:paraId="499617ED" w14:textId="77777777" w:rsidR="00D05EA4" w:rsidRPr="00D211FA" w:rsidRDefault="00D05EA4" w:rsidP="00D05EA4">
      <w:pPr>
        <w:numPr>
          <w:ilvl w:val="0"/>
          <w:numId w:val="21"/>
        </w:numPr>
        <w:tabs>
          <w:tab w:val="left" w:pos="851"/>
        </w:tabs>
        <w:ind w:left="0" w:firstLine="562"/>
        <w:contextualSpacing/>
        <w:jc w:val="both"/>
      </w:pPr>
      <w:r w:rsidRPr="00D211FA">
        <w:rPr>
          <w:szCs w:val="20"/>
        </w:rPr>
        <w:t>19,1 млн. лв. суми за преструктуриране от ЕФГЗ при планирани 18,4 млн. лв., изпълнение 103,8 %.</w:t>
      </w:r>
    </w:p>
    <w:p w14:paraId="1E20B827" w14:textId="77777777" w:rsidR="00D05EA4" w:rsidRPr="00D211FA" w:rsidRDefault="00D05EA4" w:rsidP="00D05EA4">
      <w:pPr>
        <w:spacing w:before="120"/>
        <w:ind w:firstLine="567"/>
        <w:jc w:val="both"/>
      </w:pPr>
      <w:r w:rsidRPr="00D211FA">
        <w:lastRenderedPageBreak/>
        <w:t xml:space="preserve">Предоставените суми (нето) по разчети с ЦБ за финансиране на плащания при недостиг на средства по сметки възлизат на 153,5 млн. лева. при планирани 279,0 млн. лева. </w:t>
      </w:r>
    </w:p>
    <w:p w14:paraId="68457241" w14:textId="77777777" w:rsidR="00D05EA4" w:rsidRPr="00D211FA" w:rsidRDefault="00D05EA4" w:rsidP="00D05EA4">
      <w:pPr>
        <w:tabs>
          <w:tab w:val="left" w:pos="540"/>
        </w:tabs>
        <w:spacing w:before="120"/>
        <w:ind w:firstLine="567"/>
        <w:jc w:val="both"/>
      </w:pPr>
      <w:r w:rsidRPr="00D211FA">
        <w:rPr>
          <w:lang w:eastAsia="bg-BG"/>
        </w:rPr>
        <w:tab/>
      </w:r>
    </w:p>
    <w:p w14:paraId="4B3D0965" w14:textId="77777777" w:rsidR="00D05EA4" w:rsidRPr="001F3E55" w:rsidRDefault="00D05EA4" w:rsidP="00D05EA4">
      <w:pPr>
        <w:pStyle w:val="Heading1"/>
        <w:numPr>
          <w:ilvl w:val="1"/>
          <w:numId w:val="9"/>
        </w:numPr>
        <w:spacing w:after="120"/>
        <w:ind w:left="792" w:right="-115" w:hanging="432"/>
        <w:jc w:val="both"/>
        <w:rPr>
          <w:sz w:val="24"/>
        </w:rPr>
      </w:pPr>
      <w:bookmarkStart w:id="105" w:name="_Toc83045529"/>
      <w:r w:rsidRPr="001F3E55">
        <w:rPr>
          <w:sz w:val="24"/>
        </w:rPr>
        <w:t>Сметка за средствата от Европейския съюз на Национален фонд към Министерство на финансите</w:t>
      </w:r>
      <w:bookmarkEnd w:id="105"/>
    </w:p>
    <w:p w14:paraId="7F9E431A" w14:textId="77777777" w:rsidR="00D05EA4" w:rsidRPr="00A43810" w:rsidRDefault="00D05EA4" w:rsidP="00D05EA4">
      <w:pPr>
        <w:ind w:firstLine="686"/>
        <w:jc w:val="both"/>
        <w:rPr>
          <w:bCs/>
          <w:color w:val="00B0F0"/>
        </w:rPr>
      </w:pPr>
      <w:r w:rsidRPr="00781E86">
        <w:rPr>
          <w:bCs/>
        </w:rPr>
        <w:t>По сметките на НФ към 3</w:t>
      </w:r>
      <w:r w:rsidRPr="00781E86">
        <w:rPr>
          <w:bCs/>
          <w:lang w:val="ru-RU"/>
        </w:rPr>
        <w:t>1</w:t>
      </w:r>
      <w:r w:rsidRPr="00781E86">
        <w:rPr>
          <w:bCs/>
        </w:rPr>
        <w:t>.</w:t>
      </w:r>
      <w:r w:rsidRPr="00781E86">
        <w:rPr>
          <w:bCs/>
          <w:lang w:val="ru-RU"/>
        </w:rPr>
        <w:t>12</w:t>
      </w:r>
      <w:r w:rsidRPr="00781E86">
        <w:rPr>
          <w:bCs/>
        </w:rPr>
        <w:t>.2022 г. са постъпили приходи (нето) в размер на 5</w:t>
      </w:r>
      <w:r>
        <w:rPr>
          <w:bCs/>
        </w:rPr>
        <w:t> </w:t>
      </w:r>
      <w:r w:rsidRPr="00781E86">
        <w:rPr>
          <w:bCs/>
        </w:rPr>
        <w:t>291</w:t>
      </w:r>
      <w:r>
        <w:rPr>
          <w:bCs/>
        </w:rPr>
        <w:t>,</w:t>
      </w:r>
      <w:r w:rsidRPr="00781E86">
        <w:rPr>
          <w:bCs/>
        </w:rPr>
        <w:t>5</w:t>
      </w:r>
      <w:r w:rsidRPr="001F3E55">
        <w:rPr>
          <w:bCs/>
          <w:lang w:val="ru-RU"/>
        </w:rPr>
        <w:t xml:space="preserve"> </w:t>
      </w:r>
      <w:r w:rsidRPr="00781E86">
        <w:rPr>
          <w:bCs/>
        </w:rPr>
        <w:t>млн. лева по програмите, съфинансирани от Европейския фонд за регионално развитие, Европейския социален фонд (включително Инициативата за младежка заетост), Кохезионния фонд и Фонда за европейско подпомагане на най-нуждаещите се лица (ФЕПНЛ) на ЕС за финансовата рамка, както Европейския социален фонд+, Механизма за възстановяване и устойчивост (МВУ)</w:t>
      </w:r>
      <w:r>
        <w:rPr>
          <w:bCs/>
        </w:rPr>
        <w:t xml:space="preserve">, </w:t>
      </w:r>
      <w:r w:rsidRPr="00781E86">
        <w:rPr>
          <w:bCs/>
        </w:rPr>
        <w:t>двустранните програми за трансгранично сътрудничество по външните граници на EС (ПТСВГ)</w:t>
      </w:r>
      <w:r>
        <w:rPr>
          <w:bCs/>
        </w:rPr>
        <w:t>,</w:t>
      </w:r>
      <w:r w:rsidRPr="00781E86">
        <w:rPr>
          <w:bCs/>
        </w:rPr>
        <w:t xml:space="preserve"> </w:t>
      </w:r>
      <w:r w:rsidRPr="0031250C">
        <w:rPr>
          <w:bCs/>
        </w:rPr>
        <w:t xml:space="preserve">ФМ </w:t>
      </w:r>
      <w:r>
        <w:rPr>
          <w:bCs/>
        </w:rPr>
        <w:t>на ЕИП и НФМ</w:t>
      </w:r>
      <w:r w:rsidRPr="00781E86">
        <w:rPr>
          <w:bCs/>
        </w:rPr>
        <w:t>, като в тази сума са включени и отразените (нето) в отчетността на НФ операции по постъпването по банковите бюджетни сметки на Министерство на регионалното развитие и благоустройството (МРРБ) на чуждото финансиране по ПТСВГ и изплатените средства от получения ресурс към бенефициенти извън страната.</w:t>
      </w:r>
    </w:p>
    <w:p w14:paraId="75812D5C" w14:textId="77777777" w:rsidR="00D05EA4" w:rsidRPr="0020742E" w:rsidRDefault="00D05EA4" w:rsidP="00D05EA4">
      <w:pPr>
        <w:ind w:firstLine="686"/>
        <w:jc w:val="both"/>
        <w:rPr>
          <w:bCs/>
        </w:rPr>
      </w:pPr>
      <w:r w:rsidRPr="0020742E">
        <w:rPr>
          <w:bCs/>
        </w:rPr>
        <w:t xml:space="preserve">Извършените разходи (нето) за </w:t>
      </w:r>
      <w:r>
        <w:rPr>
          <w:bCs/>
        </w:rPr>
        <w:t>2022 г.</w:t>
      </w:r>
      <w:r w:rsidRPr="0020742E">
        <w:rPr>
          <w:bCs/>
        </w:rPr>
        <w:t xml:space="preserve"> с натрупване чрез сметките на НФ възлизат на 662</w:t>
      </w:r>
      <w:r>
        <w:rPr>
          <w:bCs/>
        </w:rPr>
        <w:t>,</w:t>
      </w:r>
      <w:r w:rsidRPr="0020742E">
        <w:rPr>
          <w:bCs/>
        </w:rPr>
        <w:t>4 млн. лева. По видове разходи изпълнението е както следва: 72</w:t>
      </w:r>
      <w:r>
        <w:rPr>
          <w:bCs/>
        </w:rPr>
        <w:t>,</w:t>
      </w:r>
      <w:r w:rsidRPr="0020742E">
        <w:rPr>
          <w:bCs/>
        </w:rPr>
        <w:t>13</w:t>
      </w:r>
      <w:r>
        <w:rPr>
          <w:bCs/>
        </w:rPr>
        <w:t xml:space="preserve"> </w:t>
      </w:r>
      <w:r w:rsidRPr="0020742E">
        <w:rPr>
          <w:bCs/>
        </w:rPr>
        <w:t>% от общата стойност са капиталови трансфери, 26</w:t>
      </w:r>
      <w:r>
        <w:rPr>
          <w:bCs/>
        </w:rPr>
        <w:t>,</w:t>
      </w:r>
      <w:r w:rsidRPr="0020742E">
        <w:rPr>
          <w:bCs/>
        </w:rPr>
        <w:t>73</w:t>
      </w:r>
      <w:r>
        <w:rPr>
          <w:bCs/>
        </w:rPr>
        <w:t xml:space="preserve"> </w:t>
      </w:r>
      <w:r w:rsidRPr="0020742E">
        <w:rPr>
          <w:bCs/>
        </w:rPr>
        <w:t>% са субсидии, 1</w:t>
      </w:r>
      <w:r>
        <w:rPr>
          <w:bCs/>
        </w:rPr>
        <w:t>,</w:t>
      </w:r>
      <w:r w:rsidRPr="0020742E">
        <w:rPr>
          <w:bCs/>
        </w:rPr>
        <w:t>14</w:t>
      </w:r>
      <w:r>
        <w:rPr>
          <w:bCs/>
        </w:rPr>
        <w:t xml:space="preserve"> </w:t>
      </w:r>
      <w:r w:rsidRPr="0020742E">
        <w:rPr>
          <w:bCs/>
        </w:rPr>
        <w:t>% предоставени текущи и капиталови трансфери за чужбина и 0</w:t>
      </w:r>
      <w:r>
        <w:rPr>
          <w:bCs/>
        </w:rPr>
        <w:t>,</w:t>
      </w:r>
      <w:r w:rsidRPr="0020742E">
        <w:rPr>
          <w:bCs/>
        </w:rPr>
        <w:t>00</w:t>
      </w:r>
      <w:r w:rsidRPr="001F3E55">
        <w:rPr>
          <w:bCs/>
          <w:lang w:val="ru-RU"/>
        </w:rPr>
        <w:t>1</w:t>
      </w:r>
      <w:r>
        <w:rPr>
          <w:bCs/>
          <w:lang w:val="ru-RU"/>
        </w:rPr>
        <w:t xml:space="preserve"> </w:t>
      </w:r>
      <w:r w:rsidRPr="0020742E">
        <w:rPr>
          <w:bCs/>
        </w:rPr>
        <w:t>% - издръжка.</w:t>
      </w:r>
    </w:p>
    <w:p w14:paraId="77B6186E" w14:textId="77777777" w:rsidR="00D05EA4" w:rsidRPr="00972693" w:rsidRDefault="00D05EA4" w:rsidP="00D05EA4">
      <w:pPr>
        <w:ind w:firstLine="686"/>
        <w:jc w:val="both"/>
        <w:rPr>
          <w:bCs/>
        </w:rPr>
      </w:pPr>
      <w:r w:rsidRPr="00972693">
        <w:rPr>
          <w:bCs/>
        </w:rPr>
        <w:t xml:space="preserve">Трансферите (нето), временните безлихвени заеми (нето) и временна възмездна финансова помощ за </w:t>
      </w:r>
      <w:r>
        <w:rPr>
          <w:bCs/>
        </w:rPr>
        <w:t>2022 г.</w:t>
      </w:r>
      <w:r w:rsidRPr="00972693">
        <w:rPr>
          <w:bCs/>
        </w:rPr>
        <w:t xml:space="preserve"> са на стойност 1</w:t>
      </w:r>
      <w:r>
        <w:rPr>
          <w:bCs/>
        </w:rPr>
        <w:t> </w:t>
      </w:r>
      <w:r w:rsidRPr="00972693">
        <w:rPr>
          <w:bCs/>
        </w:rPr>
        <w:t>063</w:t>
      </w:r>
      <w:r>
        <w:rPr>
          <w:bCs/>
        </w:rPr>
        <w:t>,</w:t>
      </w:r>
      <w:r w:rsidRPr="00972693">
        <w:rPr>
          <w:bCs/>
        </w:rPr>
        <w:t>5 млн. лв. (включват предоставените трансфери към бенефициенти по Оперативните програми (ОП) на ЕС - програмен период 2014 – 2020 г., ПТСВГ за периода 2014 – 2020 г., ФМ на ЕИП 2014–2021 г. и НФМ 2014–2021 г., както и възстановени трансфери от бенефициенти-бюджетни организации за неусвоени суми по приключили проекти, за недопустими разходи или други надплащания. В консолидираната отчетност на НФ са отразени и трансфери (нето) към бенефициенти – бюджетни организации, които са за сметка на средства, предоставени от държавите-партньори по ПТСВГ.</w:t>
      </w:r>
    </w:p>
    <w:p w14:paraId="1FD43776" w14:textId="77777777" w:rsidR="00D05EA4" w:rsidRPr="00A43810" w:rsidRDefault="00D05EA4" w:rsidP="00D05EA4">
      <w:pPr>
        <w:ind w:firstLine="686"/>
        <w:jc w:val="both"/>
        <w:rPr>
          <w:bCs/>
          <w:color w:val="00B0F0"/>
        </w:rPr>
      </w:pPr>
      <w:r w:rsidRPr="00141E13">
        <w:rPr>
          <w:bCs/>
        </w:rPr>
        <w:t>Във връзка с изпълнение на програмите и проектите по програмен период 2014 – 2020 г., 2021 – 2027 г., ФМ на ЕИП и НФМ и НПВУ по сметките на НФ са получени трансфери от централния бюджет на стойност 335</w:t>
      </w:r>
      <w:r>
        <w:rPr>
          <w:bCs/>
        </w:rPr>
        <w:t>,</w:t>
      </w:r>
      <w:r w:rsidRPr="00141E13">
        <w:rPr>
          <w:bCs/>
        </w:rPr>
        <w:t>6 млн. лева.</w:t>
      </w:r>
    </w:p>
    <w:p w14:paraId="2B607B51" w14:textId="74C576AB" w:rsidR="00D05EA4" w:rsidRPr="00EB3B1D" w:rsidRDefault="00D05EA4" w:rsidP="00D05EA4">
      <w:pPr>
        <w:ind w:firstLine="686"/>
        <w:jc w:val="both"/>
        <w:rPr>
          <w:bCs/>
        </w:rPr>
      </w:pPr>
      <w:r w:rsidRPr="00EB3B1D">
        <w:rPr>
          <w:bCs/>
        </w:rPr>
        <w:t>Общата сума от други приходи (корективи за касови постъпления, отчетени за дължими суми от бенефициенти), отчетени по сметката за средства от ЕС на НФ, са в размер на 2</w:t>
      </w:r>
      <w:r>
        <w:rPr>
          <w:bCs/>
        </w:rPr>
        <w:t>,</w:t>
      </w:r>
      <w:r w:rsidRPr="00EB3B1D">
        <w:rPr>
          <w:bCs/>
        </w:rPr>
        <w:t>2 млн.</w:t>
      </w:r>
      <w:r>
        <w:rPr>
          <w:bCs/>
        </w:rPr>
        <w:t> </w:t>
      </w:r>
      <w:r w:rsidRPr="00EB3B1D">
        <w:rPr>
          <w:bCs/>
        </w:rPr>
        <w:t>лева.</w:t>
      </w:r>
    </w:p>
    <w:p w14:paraId="2F6796E9" w14:textId="77777777" w:rsidR="00D05EA4" w:rsidRPr="00BF480A" w:rsidRDefault="00D05EA4" w:rsidP="00D05EA4">
      <w:pPr>
        <w:spacing w:before="120"/>
        <w:ind w:firstLine="686"/>
        <w:jc w:val="both"/>
        <w:rPr>
          <w:b/>
          <w:bCs/>
        </w:rPr>
      </w:pPr>
      <w:r w:rsidRPr="00BF480A">
        <w:rPr>
          <w:b/>
          <w:bCs/>
        </w:rPr>
        <w:t>Структурни и Кохезионен фондове (СКФ) 2007 – 2013 г.</w:t>
      </w:r>
    </w:p>
    <w:p w14:paraId="3415433C" w14:textId="77777777" w:rsidR="00D05EA4" w:rsidRPr="00BF480A" w:rsidRDefault="00D05EA4" w:rsidP="00D05EA4">
      <w:pPr>
        <w:ind w:firstLine="686"/>
        <w:jc w:val="both"/>
      </w:pPr>
      <w:r w:rsidRPr="00BF480A">
        <w:rPr>
          <w:bCs/>
        </w:rPr>
        <w:t>През отчетния период са отчетени (нето) възстановени суми от бенефициенти на стойност на 59</w:t>
      </w:r>
      <w:r>
        <w:rPr>
          <w:bCs/>
        </w:rPr>
        <w:t>,</w:t>
      </w:r>
      <w:r w:rsidRPr="00BF480A">
        <w:rPr>
          <w:bCs/>
        </w:rPr>
        <w:t>1 млн. лв., а възстановеното авансово финансиране по реда на ДДС6/2011 г</w:t>
      </w:r>
      <w:r w:rsidRPr="00BF480A">
        <w:t xml:space="preserve">. </w:t>
      </w:r>
      <w:r w:rsidRPr="00BF480A">
        <w:rPr>
          <w:bCs/>
        </w:rPr>
        <w:t>е в размер на 1</w:t>
      </w:r>
      <w:r>
        <w:rPr>
          <w:bCs/>
        </w:rPr>
        <w:t>,</w:t>
      </w:r>
      <w:r w:rsidRPr="00BF480A">
        <w:rPr>
          <w:bCs/>
        </w:rPr>
        <w:t>7 млн. лева.</w:t>
      </w:r>
    </w:p>
    <w:p w14:paraId="2EC11F6D" w14:textId="77777777" w:rsidR="00D05EA4" w:rsidRPr="00595CCB" w:rsidRDefault="00D05EA4" w:rsidP="00D05EA4">
      <w:pPr>
        <w:spacing w:before="120"/>
        <w:ind w:firstLine="686"/>
        <w:jc w:val="both"/>
        <w:rPr>
          <w:b/>
          <w:bCs/>
        </w:rPr>
      </w:pPr>
      <w:r w:rsidRPr="00595CCB">
        <w:rPr>
          <w:bCs/>
        </w:rPr>
        <w:t xml:space="preserve"> </w:t>
      </w:r>
      <w:r w:rsidRPr="00595CCB">
        <w:rPr>
          <w:b/>
          <w:bCs/>
        </w:rPr>
        <w:t>Европейски фонд за регионално развитие, Европейски социален фонд (включително Инициативата за младежка заетост), Кохезионния фонд и ФЕПНЛ на Европейския съюз за финансова рамка 2014 – 2020 г.</w:t>
      </w:r>
    </w:p>
    <w:p w14:paraId="41DF6F24" w14:textId="77777777" w:rsidR="00D05EA4" w:rsidRPr="00595CCB" w:rsidRDefault="00D05EA4" w:rsidP="00D05EA4">
      <w:pPr>
        <w:ind w:firstLine="686"/>
        <w:jc w:val="both"/>
        <w:rPr>
          <w:bCs/>
        </w:rPr>
      </w:pPr>
      <w:r w:rsidRPr="00595CCB">
        <w:rPr>
          <w:bCs/>
        </w:rPr>
        <w:tab/>
        <w:t>Общо получените средства (нето) от ЕК за периода са в размер на 2</w:t>
      </w:r>
      <w:r>
        <w:rPr>
          <w:bCs/>
        </w:rPr>
        <w:t> </w:t>
      </w:r>
      <w:r w:rsidRPr="00595CCB">
        <w:rPr>
          <w:bCs/>
        </w:rPr>
        <w:t>221</w:t>
      </w:r>
      <w:r>
        <w:rPr>
          <w:bCs/>
        </w:rPr>
        <w:t>,</w:t>
      </w:r>
      <w:r w:rsidRPr="00595CCB">
        <w:rPr>
          <w:bCs/>
        </w:rPr>
        <w:t>0 млн. лв. (в тях влизат и получените приходи по REACT-EU в размер на 543</w:t>
      </w:r>
      <w:r>
        <w:rPr>
          <w:bCs/>
        </w:rPr>
        <w:t>,</w:t>
      </w:r>
      <w:r w:rsidRPr="00595CCB">
        <w:rPr>
          <w:bCs/>
        </w:rPr>
        <w:t>5 млн. лева) и са разпределени както следва:</w:t>
      </w:r>
    </w:p>
    <w:p w14:paraId="33B78A0D" w14:textId="77777777" w:rsidR="00D05EA4" w:rsidRPr="002536A9" w:rsidRDefault="00D05EA4" w:rsidP="00D05EA4">
      <w:pPr>
        <w:numPr>
          <w:ilvl w:val="0"/>
          <w:numId w:val="11"/>
        </w:numPr>
        <w:tabs>
          <w:tab w:val="clear" w:pos="1101"/>
          <w:tab w:val="num" w:pos="786"/>
        </w:tabs>
        <w:ind w:left="786"/>
        <w:jc w:val="both"/>
        <w:rPr>
          <w:bCs/>
        </w:rPr>
      </w:pPr>
      <w:r w:rsidRPr="00595CCB">
        <w:rPr>
          <w:bCs/>
        </w:rPr>
        <w:t>ОП „Иновации и конкурентоспособност</w:t>
      </w:r>
      <w:r w:rsidRPr="002536A9">
        <w:rPr>
          <w:bCs/>
        </w:rPr>
        <w:t>” – 723</w:t>
      </w:r>
      <w:r>
        <w:rPr>
          <w:bCs/>
        </w:rPr>
        <w:t>,</w:t>
      </w:r>
      <w:r w:rsidRPr="002536A9">
        <w:rPr>
          <w:bCs/>
        </w:rPr>
        <w:t>5 млн. лв. (вкл. REACT-EU в размер на 246</w:t>
      </w:r>
      <w:r>
        <w:rPr>
          <w:bCs/>
        </w:rPr>
        <w:t>,</w:t>
      </w:r>
      <w:r w:rsidRPr="002536A9">
        <w:rPr>
          <w:bCs/>
        </w:rPr>
        <w:t xml:space="preserve">0 млн. лева);  </w:t>
      </w:r>
    </w:p>
    <w:p w14:paraId="2337E3A0" w14:textId="77777777" w:rsidR="00D05EA4" w:rsidRPr="002536A9" w:rsidRDefault="00D05EA4" w:rsidP="00D05EA4">
      <w:pPr>
        <w:numPr>
          <w:ilvl w:val="0"/>
          <w:numId w:val="11"/>
        </w:numPr>
        <w:tabs>
          <w:tab w:val="clear" w:pos="1101"/>
          <w:tab w:val="num" w:pos="786"/>
        </w:tabs>
        <w:ind w:left="786"/>
        <w:jc w:val="both"/>
        <w:rPr>
          <w:bCs/>
        </w:rPr>
      </w:pPr>
      <w:r w:rsidRPr="002536A9">
        <w:rPr>
          <w:bCs/>
        </w:rPr>
        <w:t>ОП „Добро управление” – 108</w:t>
      </w:r>
      <w:r>
        <w:rPr>
          <w:bCs/>
        </w:rPr>
        <w:t>,</w:t>
      </w:r>
      <w:r w:rsidRPr="002536A9">
        <w:rPr>
          <w:bCs/>
        </w:rPr>
        <w:t>8 млн. лв.;</w:t>
      </w:r>
    </w:p>
    <w:p w14:paraId="32242EDE" w14:textId="77777777" w:rsidR="00D05EA4" w:rsidRPr="00C06F6C" w:rsidRDefault="00D05EA4" w:rsidP="00D05EA4">
      <w:pPr>
        <w:numPr>
          <w:ilvl w:val="0"/>
          <w:numId w:val="11"/>
        </w:numPr>
        <w:tabs>
          <w:tab w:val="clear" w:pos="1101"/>
          <w:tab w:val="num" w:pos="786"/>
        </w:tabs>
        <w:ind w:left="786"/>
        <w:jc w:val="both"/>
        <w:rPr>
          <w:bCs/>
        </w:rPr>
      </w:pPr>
      <w:r w:rsidRPr="00C06F6C">
        <w:rPr>
          <w:bCs/>
        </w:rPr>
        <w:t>ОП „Транспорт и транспортна инфраструктура” – 207</w:t>
      </w:r>
      <w:r>
        <w:rPr>
          <w:bCs/>
        </w:rPr>
        <w:t>,</w:t>
      </w:r>
      <w:r w:rsidRPr="00C06F6C">
        <w:rPr>
          <w:bCs/>
        </w:rPr>
        <w:t>5 млн. лв.;</w:t>
      </w:r>
    </w:p>
    <w:p w14:paraId="3126C7E7" w14:textId="77777777" w:rsidR="00D05EA4" w:rsidRPr="001F3E55" w:rsidRDefault="00D05EA4" w:rsidP="00D05EA4">
      <w:pPr>
        <w:numPr>
          <w:ilvl w:val="0"/>
          <w:numId w:val="11"/>
        </w:numPr>
        <w:tabs>
          <w:tab w:val="clear" w:pos="1101"/>
          <w:tab w:val="num" w:pos="786"/>
        </w:tabs>
        <w:ind w:left="786"/>
        <w:jc w:val="both"/>
        <w:rPr>
          <w:bCs/>
        </w:rPr>
      </w:pPr>
      <w:r w:rsidRPr="001F3E55">
        <w:rPr>
          <w:bCs/>
        </w:rPr>
        <w:t>ОП „Околна среда 2014 – 2020 г.“ – 369,3 млн. лв.;</w:t>
      </w:r>
    </w:p>
    <w:p w14:paraId="37CFA6CF" w14:textId="77777777" w:rsidR="00D05EA4" w:rsidRPr="001F3E55" w:rsidRDefault="00D05EA4" w:rsidP="00D05EA4">
      <w:pPr>
        <w:numPr>
          <w:ilvl w:val="0"/>
          <w:numId w:val="11"/>
        </w:numPr>
        <w:tabs>
          <w:tab w:val="clear" w:pos="1101"/>
          <w:tab w:val="num" w:pos="786"/>
        </w:tabs>
        <w:ind w:left="786"/>
        <w:jc w:val="both"/>
        <w:rPr>
          <w:bCs/>
        </w:rPr>
      </w:pPr>
      <w:r w:rsidRPr="001F3E55">
        <w:rPr>
          <w:bCs/>
        </w:rPr>
        <w:t>ОП „Развитие на човешките ресурси 2014 - 2020 г.” – 349,1 млн. лв.</w:t>
      </w:r>
      <w:r w:rsidRPr="001F3E55">
        <w:t xml:space="preserve"> (</w:t>
      </w:r>
      <w:r w:rsidRPr="001F3E55">
        <w:rPr>
          <w:bCs/>
        </w:rPr>
        <w:t>вкл. REACT-EU в размер на 190,7 млн. лева);</w:t>
      </w:r>
    </w:p>
    <w:p w14:paraId="343F2E63" w14:textId="77777777" w:rsidR="00D05EA4" w:rsidRPr="004E07E3" w:rsidRDefault="00D05EA4" w:rsidP="00D05EA4">
      <w:pPr>
        <w:numPr>
          <w:ilvl w:val="0"/>
          <w:numId w:val="11"/>
        </w:numPr>
        <w:tabs>
          <w:tab w:val="clear" w:pos="1101"/>
          <w:tab w:val="num" w:pos="786"/>
        </w:tabs>
        <w:ind w:left="786"/>
        <w:jc w:val="both"/>
        <w:rPr>
          <w:bCs/>
        </w:rPr>
      </w:pPr>
      <w:r w:rsidRPr="004E07E3">
        <w:rPr>
          <w:bCs/>
        </w:rPr>
        <w:t>Инициативата за младежка заетост – 8</w:t>
      </w:r>
      <w:r>
        <w:rPr>
          <w:bCs/>
        </w:rPr>
        <w:t>,</w:t>
      </w:r>
      <w:r w:rsidRPr="004E07E3">
        <w:rPr>
          <w:bCs/>
        </w:rPr>
        <w:t>5 млн. лв.;</w:t>
      </w:r>
    </w:p>
    <w:p w14:paraId="76E367F9" w14:textId="77777777" w:rsidR="00D05EA4" w:rsidRPr="00296684" w:rsidRDefault="00D05EA4" w:rsidP="00D05EA4">
      <w:pPr>
        <w:numPr>
          <w:ilvl w:val="0"/>
          <w:numId w:val="11"/>
        </w:numPr>
        <w:tabs>
          <w:tab w:val="clear" w:pos="1101"/>
          <w:tab w:val="num" w:pos="786"/>
        </w:tabs>
        <w:ind w:left="786"/>
        <w:jc w:val="both"/>
        <w:rPr>
          <w:bCs/>
        </w:rPr>
      </w:pPr>
      <w:r w:rsidRPr="00296684">
        <w:rPr>
          <w:bCs/>
        </w:rPr>
        <w:lastRenderedPageBreak/>
        <w:t>ОП „Региони в растеж“ – 230</w:t>
      </w:r>
      <w:r>
        <w:rPr>
          <w:bCs/>
        </w:rPr>
        <w:t>,7</w:t>
      </w:r>
      <w:r w:rsidRPr="00296684">
        <w:rPr>
          <w:bCs/>
        </w:rPr>
        <w:t xml:space="preserve"> млн. лв. (вкл. REACT-EU в размер на 44</w:t>
      </w:r>
      <w:r>
        <w:rPr>
          <w:bCs/>
        </w:rPr>
        <w:t>,</w:t>
      </w:r>
      <w:r w:rsidRPr="00296684">
        <w:rPr>
          <w:bCs/>
        </w:rPr>
        <w:t>0 млн. лева);</w:t>
      </w:r>
    </w:p>
    <w:p w14:paraId="0D18BDC3" w14:textId="77777777" w:rsidR="00D05EA4" w:rsidRPr="00FC2924" w:rsidRDefault="00D05EA4" w:rsidP="00D05EA4">
      <w:pPr>
        <w:numPr>
          <w:ilvl w:val="0"/>
          <w:numId w:val="11"/>
        </w:numPr>
        <w:tabs>
          <w:tab w:val="clear" w:pos="1101"/>
          <w:tab w:val="num" w:pos="786"/>
        </w:tabs>
        <w:ind w:left="786"/>
        <w:jc w:val="both"/>
        <w:rPr>
          <w:bCs/>
        </w:rPr>
      </w:pPr>
      <w:r w:rsidRPr="00FC2924">
        <w:rPr>
          <w:bCs/>
        </w:rPr>
        <w:t>ОП за храни и/или основно материално подпомагане от Фонда за европейско подпомагане на най-нуждаещите се лица в България за периода 2014 – 2020 г. – 38</w:t>
      </w:r>
      <w:r>
        <w:rPr>
          <w:bCs/>
        </w:rPr>
        <w:t>,</w:t>
      </w:r>
      <w:r w:rsidRPr="00FC2924">
        <w:rPr>
          <w:bCs/>
        </w:rPr>
        <w:t>1 млн. лв. (вкл. REACT-EU в размер на 36</w:t>
      </w:r>
      <w:r>
        <w:rPr>
          <w:bCs/>
        </w:rPr>
        <w:t>,</w:t>
      </w:r>
      <w:r w:rsidRPr="00FC2924">
        <w:rPr>
          <w:bCs/>
        </w:rPr>
        <w:t>1 млн. лева) и</w:t>
      </w:r>
    </w:p>
    <w:p w14:paraId="09349086" w14:textId="77777777" w:rsidR="00D05EA4" w:rsidRPr="00FC2924" w:rsidRDefault="00D05EA4" w:rsidP="00D05EA4">
      <w:pPr>
        <w:numPr>
          <w:ilvl w:val="0"/>
          <w:numId w:val="11"/>
        </w:numPr>
        <w:tabs>
          <w:tab w:val="clear" w:pos="1101"/>
          <w:tab w:val="num" w:pos="786"/>
        </w:tabs>
        <w:ind w:left="786"/>
        <w:jc w:val="both"/>
        <w:rPr>
          <w:bCs/>
        </w:rPr>
      </w:pPr>
      <w:r w:rsidRPr="00FC2924">
        <w:rPr>
          <w:bCs/>
        </w:rPr>
        <w:t>ОП „Наука и образование за интелигентен растеж” – 185</w:t>
      </w:r>
      <w:r>
        <w:rPr>
          <w:bCs/>
        </w:rPr>
        <w:t>,</w:t>
      </w:r>
      <w:r w:rsidRPr="00FC2924">
        <w:rPr>
          <w:bCs/>
        </w:rPr>
        <w:t>5 млн. лв. (вкл. REACT-EU в размер на 26</w:t>
      </w:r>
      <w:r>
        <w:rPr>
          <w:bCs/>
        </w:rPr>
        <w:t>,</w:t>
      </w:r>
      <w:r w:rsidRPr="00FC2924">
        <w:rPr>
          <w:bCs/>
        </w:rPr>
        <w:t>7 млн. лева).</w:t>
      </w:r>
    </w:p>
    <w:p w14:paraId="40991E60" w14:textId="77777777" w:rsidR="00D05EA4" w:rsidRPr="00345C37" w:rsidRDefault="00D05EA4" w:rsidP="00D05EA4">
      <w:pPr>
        <w:spacing w:before="120"/>
        <w:jc w:val="both"/>
        <w:rPr>
          <w:bCs/>
        </w:rPr>
      </w:pPr>
      <w:r w:rsidRPr="00A43810">
        <w:rPr>
          <w:bCs/>
          <w:color w:val="00B0F0"/>
        </w:rPr>
        <w:t xml:space="preserve">  </w:t>
      </w:r>
      <w:r w:rsidRPr="001C6511">
        <w:rPr>
          <w:bCs/>
        </w:rPr>
        <w:t xml:space="preserve">Направените разходи (нето) по Оперативни програми и трансферите (нето) към бюджетни </w:t>
      </w:r>
      <w:r w:rsidRPr="00345C37">
        <w:rPr>
          <w:bCs/>
        </w:rPr>
        <w:t xml:space="preserve">организации и операции с активи към края на годината са на стойност </w:t>
      </w:r>
      <w:r w:rsidRPr="00345C37">
        <w:rPr>
          <w:bCs/>
          <w:lang w:val="ru-RU"/>
        </w:rPr>
        <w:t>1 </w:t>
      </w:r>
      <w:r w:rsidRPr="00345C37">
        <w:rPr>
          <w:bCs/>
        </w:rPr>
        <w:t>947,8 млн. лв. (в тях влизат и извършените разходи по REACT-EU в размер на 180,0 млн. лева), като разпределението по Оперативни програми е следното:</w:t>
      </w:r>
    </w:p>
    <w:p w14:paraId="4D2F1D78" w14:textId="77777777" w:rsidR="00D05EA4" w:rsidRPr="00345C37" w:rsidRDefault="00D05EA4" w:rsidP="00D05EA4">
      <w:pPr>
        <w:numPr>
          <w:ilvl w:val="0"/>
          <w:numId w:val="11"/>
        </w:numPr>
        <w:tabs>
          <w:tab w:val="clear" w:pos="1101"/>
          <w:tab w:val="num" w:pos="786"/>
        </w:tabs>
        <w:ind w:left="786"/>
        <w:jc w:val="both"/>
        <w:rPr>
          <w:bCs/>
        </w:rPr>
      </w:pPr>
      <w:r w:rsidRPr="00345C37">
        <w:rPr>
          <w:bCs/>
        </w:rPr>
        <w:t>ОП „Развитие на човешките ресурси 2014 - 2020 г.” – 225,2 млн. лв.</w:t>
      </w:r>
      <w:r w:rsidRPr="00345C37">
        <w:t xml:space="preserve"> </w:t>
      </w:r>
      <w:r w:rsidRPr="00345C37">
        <w:rPr>
          <w:bCs/>
        </w:rPr>
        <w:t>(вкл. REACT-EU в размер на 100,</w:t>
      </w:r>
      <w:r w:rsidRPr="00345C37">
        <w:rPr>
          <w:bCs/>
          <w:lang w:val="ru-RU"/>
        </w:rPr>
        <w:t>3</w:t>
      </w:r>
      <w:r w:rsidRPr="00345C37">
        <w:rPr>
          <w:bCs/>
        </w:rPr>
        <w:t xml:space="preserve"> млн. лева);</w:t>
      </w:r>
    </w:p>
    <w:p w14:paraId="238A6135" w14:textId="77777777" w:rsidR="00D05EA4" w:rsidRPr="00AD56F3" w:rsidRDefault="00D05EA4" w:rsidP="00D05EA4">
      <w:pPr>
        <w:numPr>
          <w:ilvl w:val="0"/>
          <w:numId w:val="11"/>
        </w:numPr>
        <w:tabs>
          <w:tab w:val="clear" w:pos="1101"/>
          <w:tab w:val="num" w:pos="786"/>
        </w:tabs>
        <w:ind w:left="786"/>
        <w:jc w:val="both"/>
        <w:rPr>
          <w:bCs/>
        </w:rPr>
      </w:pPr>
      <w:r w:rsidRPr="00AD56F3">
        <w:rPr>
          <w:bCs/>
        </w:rPr>
        <w:t>Инициативата за младежка заетост – възстановени (нето) средства в размер на 14</w:t>
      </w:r>
      <w:r>
        <w:rPr>
          <w:bCs/>
        </w:rPr>
        <w:t>,0</w:t>
      </w:r>
      <w:r w:rsidRPr="00AD56F3">
        <w:rPr>
          <w:bCs/>
        </w:rPr>
        <w:t xml:space="preserve"> млн.</w:t>
      </w:r>
      <w:r>
        <w:rPr>
          <w:bCs/>
        </w:rPr>
        <w:t> </w:t>
      </w:r>
      <w:r w:rsidRPr="00AD56F3">
        <w:rPr>
          <w:bCs/>
        </w:rPr>
        <w:t>лв.;</w:t>
      </w:r>
    </w:p>
    <w:p w14:paraId="0EBFF537" w14:textId="77777777" w:rsidR="00D05EA4" w:rsidRPr="006B672D" w:rsidRDefault="00D05EA4" w:rsidP="00D05EA4">
      <w:pPr>
        <w:numPr>
          <w:ilvl w:val="0"/>
          <w:numId w:val="11"/>
        </w:numPr>
        <w:tabs>
          <w:tab w:val="clear" w:pos="1101"/>
          <w:tab w:val="num" w:pos="786"/>
        </w:tabs>
        <w:ind w:left="786"/>
        <w:jc w:val="both"/>
        <w:rPr>
          <w:bCs/>
        </w:rPr>
      </w:pPr>
      <w:r w:rsidRPr="006B672D">
        <w:rPr>
          <w:bCs/>
        </w:rPr>
        <w:t>ОП за храни и/или основно материално подпомагане от Фонда за европейско подпомагане на най-нуждаещите се лица в България за периода 2014 – 2020 г. – 41</w:t>
      </w:r>
      <w:r>
        <w:rPr>
          <w:bCs/>
        </w:rPr>
        <w:t>,</w:t>
      </w:r>
      <w:r w:rsidRPr="001F3E55">
        <w:rPr>
          <w:bCs/>
          <w:lang w:val="ru-RU"/>
        </w:rPr>
        <w:t>7</w:t>
      </w:r>
      <w:r w:rsidRPr="006B672D">
        <w:rPr>
          <w:bCs/>
        </w:rPr>
        <w:t xml:space="preserve"> млн. лева (вкл. REACT-EU в размер на 38</w:t>
      </w:r>
      <w:r>
        <w:rPr>
          <w:bCs/>
        </w:rPr>
        <w:t>,</w:t>
      </w:r>
      <w:r w:rsidRPr="006B672D">
        <w:rPr>
          <w:bCs/>
        </w:rPr>
        <w:t>1 млн. лева);</w:t>
      </w:r>
    </w:p>
    <w:p w14:paraId="752EF2FA" w14:textId="77777777" w:rsidR="00D05EA4" w:rsidRPr="006B672D" w:rsidRDefault="00D05EA4" w:rsidP="00D05EA4">
      <w:pPr>
        <w:numPr>
          <w:ilvl w:val="0"/>
          <w:numId w:val="11"/>
        </w:numPr>
        <w:tabs>
          <w:tab w:val="clear" w:pos="1101"/>
          <w:tab w:val="num" w:pos="786"/>
        </w:tabs>
        <w:ind w:left="786"/>
        <w:jc w:val="both"/>
        <w:rPr>
          <w:bCs/>
        </w:rPr>
      </w:pPr>
      <w:r w:rsidRPr="006B672D">
        <w:rPr>
          <w:bCs/>
        </w:rPr>
        <w:t>ОП „Иновации и конкурентоспособност” – 573</w:t>
      </w:r>
      <w:r>
        <w:rPr>
          <w:bCs/>
        </w:rPr>
        <w:t>,</w:t>
      </w:r>
      <w:r w:rsidRPr="006B672D">
        <w:rPr>
          <w:bCs/>
        </w:rPr>
        <w:t>1 млн. лв. (вкл. REACT-EU в размер на 36</w:t>
      </w:r>
      <w:r>
        <w:rPr>
          <w:bCs/>
        </w:rPr>
        <w:t>,</w:t>
      </w:r>
      <w:r w:rsidRPr="006B672D">
        <w:rPr>
          <w:bCs/>
        </w:rPr>
        <w:t>2 млн. лева);</w:t>
      </w:r>
    </w:p>
    <w:p w14:paraId="252C6346" w14:textId="77777777" w:rsidR="00D05EA4" w:rsidRPr="006B672D" w:rsidRDefault="00D05EA4" w:rsidP="00D05EA4">
      <w:pPr>
        <w:numPr>
          <w:ilvl w:val="0"/>
          <w:numId w:val="11"/>
        </w:numPr>
        <w:tabs>
          <w:tab w:val="clear" w:pos="1101"/>
          <w:tab w:val="num" w:pos="786"/>
        </w:tabs>
        <w:ind w:left="786"/>
        <w:jc w:val="both"/>
        <w:rPr>
          <w:bCs/>
        </w:rPr>
      </w:pPr>
      <w:r w:rsidRPr="006B672D">
        <w:rPr>
          <w:bCs/>
        </w:rPr>
        <w:t>ОП „Добро управление” – 110</w:t>
      </w:r>
      <w:r>
        <w:rPr>
          <w:bCs/>
        </w:rPr>
        <w:t>,</w:t>
      </w:r>
      <w:r w:rsidRPr="001F3E55">
        <w:rPr>
          <w:bCs/>
          <w:lang w:val="ru-RU"/>
        </w:rPr>
        <w:t>5</w:t>
      </w:r>
      <w:r w:rsidRPr="006B672D">
        <w:rPr>
          <w:bCs/>
        </w:rPr>
        <w:t xml:space="preserve"> млн. лв.;</w:t>
      </w:r>
    </w:p>
    <w:p w14:paraId="32E9310C" w14:textId="77777777" w:rsidR="00D05EA4" w:rsidRPr="00142A25" w:rsidRDefault="00D05EA4" w:rsidP="00D05EA4">
      <w:pPr>
        <w:numPr>
          <w:ilvl w:val="0"/>
          <w:numId w:val="11"/>
        </w:numPr>
        <w:tabs>
          <w:tab w:val="clear" w:pos="1101"/>
          <w:tab w:val="num" w:pos="786"/>
        </w:tabs>
        <w:ind w:left="786"/>
        <w:jc w:val="both"/>
        <w:rPr>
          <w:bCs/>
        </w:rPr>
      </w:pPr>
      <w:r w:rsidRPr="00142A25">
        <w:rPr>
          <w:bCs/>
        </w:rPr>
        <w:t>ОП „Региони в растеж“ – 130</w:t>
      </w:r>
      <w:r>
        <w:rPr>
          <w:bCs/>
        </w:rPr>
        <w:t>,</w:t>
      </w:r>
      <w:r w:rsidRPr="00142A25">
        <w:rPr>
          <w:bCs/>
        </w:rPr>
        <w:t>6 млн. лв.</w:t>
      </w:r>
      <w:r w:rsidRPr="001F3E55">
        <w:rPr>
          <w:bCs/>
          <w:lang w:val="ru-RU"/>
        </w:rPr>
        <w:t xml:space="preserve"> </w:t>
      </w:r>
      <w:r w:rsidRPr="00142A25">
        <w:rPr>
          <w:bCs/>
        </w:rPr>
        <w:t xml:space="preserve">(вкл. REACT-EU в размер на </w:t>
      </w:r>
      <w:r w:rsidRPr="001F3E55">
        <w:rPr>
          <w:bCs/>
          <w:lang w:val="ru-RU"/>
        </w:rPr>
        <w:t>4</w:t>
      </w:r>
      <w:r>
        <w:rPr>
          <w:bCs/>
          <w:lang w:val="ru-RU"/>
        </w:rPr>
        <w:t>,</w:t>
      </w:r>
      <w:r>
        <w:rPr>
          <w:bCs/>
        </w:rPr>
        <w:t>5</w:t>
      </w:r>
      <w:r w:rsidRPr="00142A25">
        <w:rPr>
          <w:bCs/>
        </w:rPr>
        <w:t xml:space="preserve"> млн. лева);</w:t>
      </w:r>
    </w:p>
    <w:p w14:paraId="370B712D" w14:textId="77777777" w:rsidR="00D05EA4" w:rsidRPr="00142A25" w:rsidRDefault="00D05EA4" w:rsidP="00D05EA4">
      <w:pPr>
        <w:numPr>
          <w:ilvl w:val="0"/>
          <w:numId w:val="11"/>
        </w:numPr>
        <w:tabs>
          <w:tab w:val="clear" w:pos="1101"/>
          <w:tab w:val="num" w:pos="786"/>
        </w:tabs>
        <w:ind w:left="786"/>
        <w:jc w:val="both"/>
        <w:rPr>
          <w:bCs/>
        </w:rPr>
      </w:pPr>
      <w:r w:rsidRPr="00142A25">
        <w:rPr>
          <w:bCs/>
        </w:rPr>
        <w:t>ОП „Транспорт и транспортна инфраструктура” – 218</w:t>
      </w:r>
      <w:r>
        <w:rPr>
          <w:bCs/>
        </w:rPr>
        <w:t>,</w:t>
      </w:r>
      <w:r w:rsidRPr="00142A25">
        <w:rPr>
          <w:bCs/>
        </w:rPr>
        <w:t>9 млн. лв.;</w:t>
      </w:r>
    </w:p>
    <w:p w14:paraId="4D01A0B1" w14:textId="77777777" w:rsidR="00D05EA4" w:rsidRPr="00142A25" w:rsidRDefault="00D05EA4" w:rsidP="00D05EA4">
      <w:pPr>
        <w:numPr>
          <w:ilvl w:val="0"/>
          <w:numId w:val="11"/>
        </w:numPr>
        <w:tabs>
          <w:tab w:val="clear" w:pos="1101"/>
          <w:tab w:val="num" w:pos="786"/>
        </w:tabs>
        <w:ind w:left="786"/>
        <w:jc w:val="both"/>
        <w:rPr>
          <w:bCs/>
        </w:rPr>
      </w:pPr>
      <w:r w:rsidRPr="00142A25">
        <w:rPr>
          <w:bCs/>
        </w:rPr>
        <w:t xml:space="preserve">ОП „Наука и образование за интелигентен растеж” – </w:t>
      </w:r>
      <w:r w:rsidRPr="001F3E55">
        <w:rPr>
          <w:bCs/>
          <w:lang w:val="ru-RU"/>
        </w:rPr>
        <w:t>1</w:t>
      </w:r>
      <w:r w:rsidRPr="00142A25">
        <w:rPr>
          <w:bCs/>
        </w:rPr>
        <w:t>67</w:t>
      </w:r>
      <w:r>
        <w:rPr>
          <w:bCs/>
        </w:rPr>
        <w:t>,</w:t>
      </w:r>
      <w:r w:rsidRPr="00142A25">
        <w:rPr>
          <w:bCs/>
        </w:rPr>
        <w:t>1 млн. лв. (вкл. REACT-EU в размер на 0</w:t>
      </w:r>
      <w:r>
        <w:rPr>
          <w:bCs/>
        </w:rPr>
        <w:t>,</w:t>
      </w:r>
      <w:r w:rsidRPr="006E42DE">
        <w:rPr>
          <w:bCs/>
          <w:lang w:val="ru-RU"/>
        </w:rPr>
        <w:t>9</w:t>
      </w:r>
      <w:r w:rsidRPr="00142A25">
        <w:rPr>
          <w:bCs/>
        </w:rPr>
        <w:t xml:space="preserve"> млн. лева) и</w:t>
      </w:r>
    </w:p>
    <w:p w14:paraId="527E7BDE" w14:textId="77777777" w:rsidR="00D05EA4" w:rsidRPr="00D67ACA" w:rsidRDefault="00D05EA4" w:rsidP="00D05EA4">
      <w:pPr>
        <w:numPr>
          <w:ilvl w:val="0"/>
          <w:numId w:val="11"/>
        </w:numPr>
        <w:tabs>
          <w:tab w:val="clear" w:pos="1101"/>
          <w:tab w:val="num" w:pos="786"/>
        </w:tabs>
        <w:ind w:left="786"/>
        <w:jc w:val="both"/>
        <w:rPr>
          <w:bCs/>
        </w:rPr>
      </w:pPr>
      <w:r w:rsidRPr="00D67ACA">
        <w:rPr>
          <w:bCs/>
        </w:rPr>
        <w:t>ОП „Околна среда 2014 – 2020 г.“ – 494</w:t>
      </w:r>
      <w:r>
        <w:rPr>
          <w:bCs/>
        </w:rPr>
        <w:t>,</w:t>
      </w:r>
      <w:r w:rsidRPr="00D67ACA">
        <w:rPr>
          <w:bCs/>
        </w:rPr>
        <w:t>7 млн. л</w:t>
      </w:r>
      <w:r>
        <w:rPr>
          <w:bCs/>
        </w:rPr>
        <w:t>е</w:t>
      </w:r>
      <w:r w:rsidRPr="00D67ACA">
        <w:rPr>
          <w:bCs/>
        </w:rPr>
        <w:t>в</w:t>
      </w:r>
      <w:r>
        <w:rPr>
          <w:bCs/>
        </w:rPr>
        <w:t>а</w:t>
      </w:r>
      <w:r w:rsidRPr="00D67ACA">
        <w:rPr>
          <w:bCs/>
        </w:rPr>
        <w:t>.</w:t>
      </w:r>
    </w:p>
    <w:p w14:paraId="5962DE1F" w14:textId="77777777" w:rsidR="00D05EA4" w:rsidRPr="00D7364E" w:rsidRDefault="00D05EA4" w:rsidP="00D05EA4">
      <w:pPr>
        <w:spacing w:before="120"/>
        <w:jc w:val="both"/>
        <w:rPr>
          <w:bCs/>
        </w:rPr>
      </w:pPr>
      <w:r w:rsidRPr="00D7364E">
        <w:rPr>
          <w:bCs/>
        </w:rPr>
        <w:t xml:space="preserve">Предоставеното авансово финансиране по реда на ДДС 6/ 2011 г. към бюджетни организации за </w:t>
      </w:r>
      <w:r>
        <w:rPr>
          <w:bCs/>
        </w:rPr>
        <w:t>2022 г.</w:t>
      </w:r>
      <w:r w:rsidRPr="00D7364E">
        <w:rPr>
          <w:bCs/>
        </w:rPr>
        <w:t xml:space="preserve"> е на стойност 97</w:t>
      </w:r>
      <w:r>
        <w:rPr>
          <w:bCs/>
        </w:rPr>
        <w:t>,</w:t>
      </w:r>
      <w:r w:rsidRPr="00D7364E">
        <w:rPr>
          <w:bCs/>
        </w:rPr>
        <w:t>7 млн. лева, а възстановените средства – 244</w:t>
      </w:r>
      <w:r>
        <w:rPr>
          <w:bCs/>
        </w:rPr>
        <w:t>,</w:t>
      </w:r>
      <w:r w:rsidRPr="00D7364E">
        <w:rPr>
          <w:bCs/>
        </w:rPr>
        <w:t>4 млн. лева.</w:t>
      </w:r>
    </w:p>
    <w:p w14:paraId="40F0295F" w14:textId="77777777" w:rsidR="00D05EA4" w:rsidRPr="001F3E55" w:rsidRDefault="00D05EA4" w:rsidP="00D05EA4">
      <w:pPr>
        <w:jc w:val="both"/>
        <w:rPr>
          <w:bCs/>
          <w:color w:val="00B0F0"/>
          <w:lang w:val="ru-RU"/>
        </w:rPr>
      </w:pPr>
      <w:r w:rsidRPr="00CC1923">
        <w:rPr>
          <w:bCs/>
        </w:rPr>
        <w:t>В сумата на предоставеното авансово финансиране по реда на ДДС6/2011 г. е включена и предоставена възмездна финансова помощ (нето) в размер на 7</w:t>
      </w:r>
      <w:r>
        <w:rPr>
          <w:bCs/>
        </w:rPr>
        <w:t>,</w:t>
      </w:r>
      <w:r w:rsidRPr="00CC1923">
        <w:rPr>
          <w:bCs/>
        </w:rPr>
        <w:t xml:space="preserve">0 млн. лева, </w:t>
      </w:r>
      <w:r>
        <w:rPr>
          <w:bCs/>
        </w:rPr>
        <w:t>в т.ч.</w:t>
      </w:r>
      <w:r w:rsidRPr="00CC1923">
        <w:rPr>
          <w:bCs/>
        </w:rPr>
        <w:t xml:space="preserve"> на ОП „Транспорт и транспортна инфраструктура” (6</w:t>
      </w:r>
      <w:r>
        <w:rPr>
          <w:bCs/>
        </w:rPr>
        <w:t>,</w:t>
      </w:r>
      <w:r w:rsidRPr="00CC1923">
        <w:rPr>
          <w:bCs/>
        </w:rPr>
        <w:t>3 млн. лева), ОП "Иновации и конкурентоспособност" (0</w:t>
      </w:r>
      <w:r>
        <w:rPr>
          <w:bCs/>
        </w:rPr>
        <w:t>,</w:t>
      </w:r>
      <w:r w:rsidRPr="00CC1923">
        <w:rPr>
          <w:bCs/>
        </w:rPr>
        <w:t>3 млн. лева) и ОП „Региони в растеж (0</w:t>
      </w:r>
      <w:r>
        <w:rPr>
          <w:bCs/>
        </w:rPr>
        <w:t>,</w:t>
      </w:r>
      <w:r w:rsidRPr="00CC1923">
        <w:rPr>
          <w:bCs/>
        </w:rPr>
        <w:t>5 млн. лева).</w:t>
      </w:r>
      <w:r w:rsidRPr="00A43810">
        <w:rPr>
          <w:color w:val="00B0F0"/>
        </w:rPr>
        <w:t xml:space="preserve"> </w:t>
      </w:r>
    </w:p>
    <w:p w14:paraId="587000BF" w14:textId="77777777" w:rsidR="00D05EA4" w:rsidRPr="00F02177" w:rsidRDefault="00D05EA4" w:rsidP="00D05EA4">
      <w:pPr>
        <w:jc w:val="both"/>
        <w:rPr>
          <w:bCs/>
        </w:rPr>
      </w:pPr>
      <w:r w:rsidRPr="00F02177">
        <w:rPr>
          <w:bCs/>
        </w:rPr>
        <w:t>Изплатените средства от оперативните програми за мерките за минимизиране на отрицателните последици от епидемичното разпространение на COVD-19 през отчетния период са в размер на 648</w:t>
      </w:r>
      <w:r>
        <w:rPr>
          <w:bCs/>
        </w:rPr>
        <w:t>,</w:t>
      </w:r>
      <w:r w:rsidRPr="00F02177">
        <w:rPr>
          <w:bCs/>
        </w:rPr>
        <w:t>9 млн. лева.</w:t>
      </w:r>
    </w:p>
    <w:p w14:paraId="5BD9740E" w14:textId="77777777" w:rsidR="00D05EA4" w:rsidRPr="00595CCB" w:rsidRDefault="00D05EA4" w:rsidP="00D05EA4">
      <w:pPr>
        <w:spacing w:before="120"/>
        <w:ind w:firstLine="686"/>
        <w:jc w:val="both"/>
        <w:rPr>
          <w:bCs/>
        </w:rPr>
      </w:pPr>
      <w:r w:rsidRPr="00595CCB">
        <w:rPr>
          <w:b/>
          <w:bCs/>
        </w:rPr>
        <w:t>Европейския социален фонд+, Европейския фонд за регионално развитие (включително Фонда за справедлив преход) и Кохезионния фонд за програмен период 2021-2027 г.</w:t>
      </w:r>
    </w:p>
    <w:p w14:paraId="404620AA" w14:textId="77777777" w:rsidR="00D05EA4" w:rsidRPr="00A43810" w:rsidRDefault="00D05EA4" w:rsidP="00D05EA4">
      <w:pPr>
        <w:jc w:val="both"/>
        <w:rPr>
          <w:bCs/>
          <w:color w:val="00B0F0"/>
        </w:rPr>
      </w:pPr>
      <w:r w:rsidRPr="00595CCB">
        <w:rPr>
          <w:bCs/>
        </w:rPr>
        <w:t>Получените средства (предварително годишно финансиране за 2021 и 2022 г., както и предварително финансиране за 2022 г. във връзка с FAST CARE) от ЕК за периода са в размер на 278</w:t>
      </w:r>
      <w:r>
        <w:rPr>
          <w:bCs/>
        </w:rPr>
        <w:t>,</w:t>
      </w:r>
      <w:r w:rsidRPr="00595CCB">
        <w:rPr>
          <w:bCs/>
        </w:rPr>
        <w:t xml:space="preserve">9 млн. лв. и са </w:t>
      </w:r>
      <w:r w:rsidRPr="007D6D7D">
        <w:rPr>
          <w:bCs/>
        </w:rPr>
        <w:t>разпределени както следва:</w:t>
      </w:r>
    </w:p>
    <w:p w14:paraId="5D6002F5" w14:textId="77777777" w:rsidR="00D05EA4" w:rsidRPr="005A1EA7" w:rsidRDefault="00D05EA4" w:rsidP="00D05EA4">
      <w:pPr>
        <w:numPr>
          <w:ilvl w:val="0"/>
          <w:numId w:val="11"/>
        </w:numPr>
        <w:tabs>
          <w:tab w:val="clear" w:pos="1101"/>
          <w:tab w:val="num" w:pos="786"/>
        </w:tabs>
        <w:ind w:left="786"/>
        <w:jc w:val="both"/>
        <w:rPr>
          <w:bCs/>
        </w:rPr>
      </w:pPr>
      <w:r w:rsidRPr="005A1EA7">
        <w:rPr>
          <w:bCs/>
        </w:rPr>
        <w:t>Програма „Развитие на човешките ресурси” 2021-2027 г. – 48</w:t>
      </w:r>
      <w:r>
        <w:rPr>
          <w:bCs/>
        </w:rPr>
        <w:t>,</w:t>
      </w:r>
      <w:r w:rsidRPr="005A1EA7">
        <w:rPr>
          <w:bCs/>
        </w:rPr>
        <w:t xml:space="preserve">4 млн. лв.;  </w:t>
      </w:r>
    </w:p>
    <w:p w14:paraId="475E4BBE" w14:textId="77777777" w:rsidR="00D05EA4" w:rsidRPr="005A1EA7" w:rsidRDefault="00D05EA4" w:rsidP="00D05EA4">
      <w:pPr>
        <w:numPr>
          <w:ilvl w:val="0"/>
          <w:numId w:val="11"/>
        </w:numPr>
        <w:tabs>
          <w:tab w:val="clear" w:pos="1101"/>
          <w:tab w:val="num" w:pos="786"/>
        </w:tabs>
        <w:ind w:left="786"/>
        <w:jc w:val="both"/>
        <w:rPr>
          <w:bCs/>
        </w:rPr>
      </w:pPr>
      <w:r w:rsidRPr="005A1EA7">
        <w:rPr>
          <w:bCs/>
        </w:rPr>
        <w:t>Програма „Храни и основно материално подпомагане” 2021-2027 г. – 5</w:t>
      </w:r>
      <w:r>
        <w:rPr>
          <w:bCs/>
        </w:rPr>
        <w:t>,</w:t>
      </w:r>
      <w:r w:rsidRPr="005A1EA7">
        <w:rPr>
          <w:bCs/>
        </w:rPr>
        <w:t>6 млн. лв.;</w:t>
      </w:r>
    </w:p>
    <w:p w14:paraId="078C9098" w14:textId="77777777" w:rsidR="00D05EA4" w:rsidRPr="00587B12" w:rsidRDefault="00D05EA4" w:rsidP="00D05EA4">
      <w:pPr>
        <w:numPr>
          <w:ilvl w:val="0"/>
          <w:numId w:val="11"/>
        </w:numPr>
        <w:tabs>
          <w:tab w:val="clear" w:pos="1101"/>
          <w:tab w:val="num" w:pos="786"/>
        </w:tabs>
        <w:ind w:left="786"/>
        <w:jc w:val="both"/>
        <w:rPr>
          <w:bCs/>
        </w:rPr>
      </w:pPr>
      <w:r w:rsidRPr="00587B12">
        <w:rPr>
          <w:bCs/>
        </w:rPr>
        <w:t>Програма „Образование” 2021-2027 г. – 23</w:t>
      </w:r>
      <w:r>
        <w:rPr>
          <w:bCs/>
        </w:rPr>
        <w:t>,</w:t>
      </w:r>
      <w:r w:rsidRPr="00587B12">
        <w:rPr>
          <w:bCs/>
        </w:rPr>
        <w:t>1 млн. лв.;</w:t>
      </w:r>
    </w:p>
    <w:p w14:paraId="3693BF28" w14:textId="77777777" w:rsidR="00D05EA4" w:rsidRPr="00587B12" w:rsidRDefault="00D05EA4" w:rsidP="00D05EA4">
      <w:pPr>
        <w:numPr>
          <w:ilvl w:val="0"/>
          <w:numId w:val="11"/>
        </w:numPr>
        <w:tabs>
          <w:tab w:val="clear" w:pos="1101"/>
          <w:tab w:val="num" w:pos="786"/>
        </w:tabs>
        <w:ind w:left="786"/>
        <w:jc w:val="both"/>
        <w:rPr>
          <w:bCs/>
        </w:rPr>
      </w:pPr>
      <w:r w:rsidRPr="00587B12">
        <w:rPr>
          <w:bCs/>
        </w:rPr>
        <w:t>Програма „Околна среда“ 2021</w:t>
      </w:r>
      <w:r>
        <w:rPr>
          <w:bCs/>
        </w:rPr>
        <w:t>-</w:t>
      </w:r>
      <w:r w:rsidRPr="00587B12">
        <w:rPr>
          <w:bCs/>
        </w:rPr>
        <w:t xml:space="preserve">2027 г. </w:t>
      </w:r>
      <w:r w:rsidRPr="00005C27">
        <w:rPr>
          <w:bCs/>
        </w:rPr>
        <w:t xml:space="preserve">– </w:t>
      </w:r>
      <w:r w:rsidRPr="00587B12">
        <w:rPr>
          <w:bCs/>
        </w:rPr>
        <w:t>44</w:t>
      </w:r>
      <w:r>
        <w:rPr>
          <w:bCs/>
        </w:rPr>
        <w:t>,</w:t>
      </w:r>
      <w:r w:rsidRPr="00587B12">
        <w:rPr>
          <w:bCs/>
        </w:rPr>
        <w:t>9 млн. лв.;</w:t>
      </w:r>
    </w:p>
    <w:p w14:paraId="5D193440" w14:textId="77777777" w:rsidR="00D05EA4" w:rsidRPr="00005C27" w:rsidRDefault="00D05EA4" w:rsidP="00D05EA4">
      <w:pPr>
        <w:numPr>
          <w:ilvl w:val="0"/>
          <w:numId w:val="11"/>
        </w:numPr>
        <w:tabs>
          <w:tab w:val="clear" w:pos="1101"/>
          <w:tab w:val="num" w:pos="786"/>
        </w:tabs>
        <w:ind w:left="786"/>
        <w:jc w:val="both"/>
        <w:rPr>
          <w:bCs/>
        </w:rPr>
      </w:pPr>
      <w:r w:rsidRPr="00005C27">
        <w:rPr>
          <w:bCs/>
        </w:rPr>
        <w:t>Програма „Техническа помощ“ 2021</w:t>
      </w:r>
      <w:r>
        <w:rPr>
          <w:bCs/>
        </w:rPr>
        <w:t>-</w:t>
      </w:r>
      <w:r w:rsidRPr="00005C27">
        <w:rPr>
          <w:bCs/>
        </w:rPr>
        <w:t>2027 г. – 2</w:t>
      </w:r>
      <w:r>
        <w:rPr>
          <w:bCs/>
        </w:rPr>
        <w:t>,</w:t>
      </w:r>
      <w:r w:rsidRPr="00005C27">
        <w:rPr>
          <w:bCs/>
        </w:rPr>
        <w:t>9 млн. лв.;</w:t>
      </w:r>
    </w:p>
    <w:p w14:paraId="2AF66979" w14:textId="77777777" w:rsidR="00D05EA4" w:rsidRPr="00C90F7E" w:rsidRDefault="00D05EA4" w:rsidP="00D05EA4">
      <w:pPr>
        <w:numPr>
          <w:ilvl w:val="0"/>
          <w:numId w:val="11"/>
        </w:numPr>
        <w:tabs>
          <w:tab w:val="clear" w:pos="1101"/>
          <w:tab w:val="num" w:pos="786"/>
        </w:tabs>
        <w:ind w:left="786"/>
        <w:jc w:val="both"/>
        <w:rPr>
          <w:bCs/>
        </w:rPr>
      </w:pPr>
      <w:r w:rsidRPr="00C90F7E">
        <w:rPr>
          <w:bCs/>
        </w:rPr>
        <w:t>Програма „Конкурентоспособност и иновации в предприятията“ 2021</w:t>
      </w:r>
      <w:r>
        <w:rPr>
          <w:bCs/>
        </w:rPr>
        <w:t>-</w:t>
      </w:r>
      <w:r w:rsidRPr="00C90F7E">
        <w:rPr>
          <w:bCs/>
        </w:rPr>
        <w:t>2027 г. – 36</w:t>
      </w:r>
      <w:r>
        <w:rPr>
          <w:bCs/>
        </w:rPr>
        <w:t>,</w:t>
      </w:r>
      <w:r w:rsidRPr="00C90F7E">
        <w:rPr>
          <w:bCs/>
        </w:rPr>
        <w:t>0 млн. лв.;</w:t>
      </w:r>
    </w:p>
    <w:p w14:paraId="4A3901DA" w14:textId="77777777" w:rsidR="00D05EA4" w:rsidRPr="002B7776" w:rsidRDefault="00D05EA4" w:rsidP="00D05EA4">
      <w:pPr>
        <w:numPr>
          <w:ilvl w:val="0"/>
          <w:numId w:val="11"/>
        </w:numPr>
        <w:tabs>
          <w:tab w:val="clear" w:pos="1101"/>
          <w:tab w:val="num" w:pos="786"/>
        </w:tabs>
        <w:ind w:left="786"/>
        <w:jc w:val="both"/>
        <w:rPr>
          <w:bCs/>
        </w:rPr>
      </w:pPr>
      <w:r w:rsidRPr="002B7776">
        <w:rPr>
          <w:bCs/>
        </w:rPr>
        <w:t>Програма „Развитие на регионите“ 2021</w:t>
      </w:r>
      <w:r>
        <w:rPr>
          <w:bCs/>
        </w:rPr>
        <w:t>-</w:t>
      </w:r>
      <w:r w:rsidRPr="002B7776">
        <w:rPr>
          <w:bCs/>
        </w:rPr>
        <w:t>2027 г. – 44</w:t>
      </w:r>
      <w:r>
        <w:rPr>
          <w:bCs/>
        </w:rPr>
        <w:t>,</w:t>
      </w:r>
      <w:r w:rsidRPr="002B7776">
        <w:rPr>
          <w:bCs/>
        </w:rPr>
        <w:t>6 млн. лв.;</w:t>
      </w:r>
    </w:p>
    <w:p w14:paraId="0808D932" w14:textId="77777777" w:rsidR="00D05EA4" w:rsidRPr="00DB1194" w:rsidRDefault="00D05EA4" w:rsidP="00D05EA4">
      <w:pPr>
        <w:numPr>
          <w:ilvl w:val="0"/>
          <w:numId w:val="11"/>
        </w:numPr>
        <w:tabs>
          <w:tab w:val="clear" w:pos="1101"/>
          <w:tab w:val="num" w:pos="786"/>
        </w:tabs>
        <w:ind w:left="786"/>
        <w:jc w:val="both"/>
        <w:rPr>
          <w:bCs/>
        </w:rPr>
      </w:pPr>
      <w:r w:rsidRPr="00DB1194">
        <w:rPr>
          <w:bCs/>
        </w:rPr>
        <w:t>Програма „Научни изследвания, иновации и дигитализация за интелигентна трансформация“ 2021</w:t>
      </w:r>
      <w:r>
        <w:rPr>
          <w:bCs/>
        </w:rPr>
        <w:t>-</w:t>
      </w:r>
      <w:r w:rsidRPr="00DB1194">
        <w:rPr>
          <w:bCs/>
        </w:rPr>
        <w:t>2027 г. – 26</w:t>
      </w:r>
      <w:r>
        <w:rPr>
          <w:bCs/>
        </w:rPr>
        <w:t>,</w:t>
      </w:r>
      <w:r w:rsidRPr="00DB1194">
        <w:rPr>
          <w:bCs/>
        </w:rPr>
        <w:t>0 млн. лв.;</w:t>
      </w:r>
    </w:p>
    <w:p w14:paraId="56811433" w14:textId="77777777" w:rsidR="00D05EA4" w:rsidRDefault="00D05EA4" w:rsidP="00D05EA4">
      <w:pPr>
        <w:numPr>
          <w:ilvl w:val="0"/>
          <w:numId w:val="11"/>
        </w:numPr>
        <w:tabs>
          <w:tab w:val="clear" w:pos="1101"/>
          <w:tab w:val="num" w:pos="786"/>
        </w:tabs>
        <w:ind w:left="786"/>
        <w:jc w:val="both"/>
        <w:rPr>
          <w:bCs/>
        </w:rPr>
      </w:pPr>
      <w:r w:rsidRPr="00B23EA8">
        <w:rPr>
          <w:bCs/>
        </w:rPr>
        <w:t>Програма „Транспортна свързаност“ 2021</w:t>
      </w:r>
      <w:r>
        <w:rPr>
          <w:bCs/>
        </w:rPr>
        <w:t>-</w:t>
      </w:r>
      <w:r w:rsidRPr="00B23EA8">
        <w:rPr>
          <w:bCs/>
        </w:rPr>
        <w:t>2027 г. – 47</w:t>
      </w:r>
      <w:r>
        <w:rPr>
          <w:bCs/>
        </w:rPr>
        <w:t>,</w:t>
      </w:r>
      <w:r w:rsidRPr="00B23EA8">
        <w:rPr>
          <w:bCs/>
        </w:rPr>
        <w:t>4 млн. л</w:t>
      </w:r>
      <w:r>
        <w:rPr>
          <w:bCs/>
        </w:rPr>
        <w:t>е</w:t>
      </w:r>
      <w:r w:rsidRPr="00B23EA8">
        <w:rPr>
          <w:bCs/>
        </w:rPr>
        <w:t>в</w:t>
      </w:r>
      <w:r>
        <w:rPr>
          <w:bCs/>
        </w:rPr>
        <w:t>а</w:t>
      </w:r>
      <w:r w:rsidRPr="00B23EA8">
        <w:rPr>
          <w:bCs/>
        </w:rPr>
        <w:t>.</w:t>
      </w:r>
    </w:p>
    <w:p w14:paraId="30F0DBD8" w14:textId="77777777" w:rsidR="00D05EA4" w:rsidRPr="00A43810" w:rsidRDefault="00D05EA4" w:rsidP="00D05EA4">
      <w:pPr>
        <w:spacing w:before="120"/>
        <w:jc w:val="both"/>
        <w:rPr>
          <w:bCs/>
          <w:color w:val="00B0F0"/>
        </w:rPr>
      </w:pPr>
      <w:r w:rsidRPr="00A76D0B">
        <w:rPr>
          <w:bCs/>
        </w:rPr>
        <w:lastRenderedPageBreak/>
        <w:t>Направените разходи (нето)</w:t>
      </w:r>
      <w:r w:rsidRPr="007D6D7D">
        <w:rPr>
          <w:bCs/>
        </w:rPr>
        <w:t xml:space="preserve"> за периода са в размер на 2</w:t>
      </w:r>
      <w:r>
        <w:rPr>
          <w:bCs/>
        </w:rPr>
        <w:t>1,</w:t>
      </w:r>
      <w:r w:rsidRPr="007D6D7D">
        <w:rPr>
          <w:bCs/>
        </w:rPr>
        <w:t>9 млн. лв. и са разпределени както следва:</w:t>
      </w:r>
    </w:p>
    <w:p w14:paraId="232EB5DA" w14:textId="77777777" w:rsidR="00D05EA4" w:rsidRPr="005A1EA7" w:rsidRDefault="00D05EA4" w:rsidP="00D05EA4">
      <w:pPr>
        <w:numPr>
          <w:ilvl w:val="0"/>
          <w:numId w:val="11"/>
        </w:numPr>
        <w:tabs>
          <w:tab w:val="clear" w:pos="1101"/>
          <w:tab w:val="num" w:pos="786"/>
        </w:tabs>
        <w:ind w:left="786"/>
        <w:jc w:val="both"/>
        <w:rPr>
          <w:bCs/>
        </w:rPr>
      </w:pPr>
      <w:r w:rsidRPr="005A1EA7">
        <w:rPr>
          <w:bCs/>
        </w:rPr>
        <w:t xml:space="preserve">Програма „Развитие на човешките ресурси” 2021-2027 г. – </w:t>
      </w:r>
      <w:r>
        <w:rPr>
          <w:bCs/>
        </w:rPr>
        <w:t>15,9</w:t>
      </w:r>
      <w:r w:rsidRPr="005A1EA7">
        <w:rPr>
          <w:bCs/>
        </w:rPr>
        <w:t xml:space="preserve"> млн. лв.;  </w:t>
      </w:r>
    </w:p>
    <w:p w14:paraId="52033181" w14:textId="77777777" w:rsidR="00D05EA4" w:rsidRPr="005A1EA7" w:rsidRDefault="00D05EA4" w:rsidP="00D05EA4">
      <w:pPr>
        <w:numPr>
          <w:ilvl w:val="0"/>
          <w:numId w:val="11"/>
        </w:numPr>
        <w:tabs>
          <w:tab w:val="clear" w:pos="1101"/>
          <w:tab w:val="num" w:pos="786"/>
        </w:tabs>
        <w:ind w:left="786"/>
        <w:jc w:val="both"/>
        <w:rPr>
          <w:bCs/>
        </w:rPr>
      </w:pPr>
      <w:r w:rsidRPr="005A1EA7">
        <w:rPr>
          <w:bCs/>
        </w:rPr>
        <w:t xml:space="preserve">Програма „Храни и основно материално подпомагане” 2021-2027 г. – </w:t>
      </w:r>
      <w:r>
        <w:rPr>
          <w:bCs/>
        </w:rPr>
        <w:t>6,0 млн. лева.</w:t>
      </w:r>
    </w:p>
    <w:p w14:paraId="5F8EFC60" w14:textId="77777777" w:rsidR="00D05EA4" w:rsidRPr="00095986" w:rsidRDefault="00D05EA4" w:rsidP="00D05EA4">
      <w:pPr>
        <w:spacing w:before="120"/>
        <w:ind w:firstLine="686"/>
        <w:jc w:val="both"/>
        <w:rPr>
          <w:b/>
          <w:bCs/>
        </w:rPr>
      </w:pPr>
      <w:r w:rsidRPr="00095986">
        <w:rPr>
          <w:b/>
          <w:bCs/>
        </w:rPr>
        <w:t>Национален план за възстановяване и устойчивост (НПВУ)</w:t>
      </w:r>
    </w:p>
    <w:p w14:paraId="0B74D8E7" w14:textId="77777777" w:rsidR="00D05EA4" w:rsidRPr="00095986" w:rsidRDefault="00D05EA4" w:rsidP="00D05EA4">
      <w:pPr>
        <w:jc w:val="both"/>
        <w:rPr>
          <w:bCs/>
        </w:rPr>
      </w:pPr>
      <w:r w:rsidRPr="00095986">
        <w:rPr>
          <w:bCs/>
        </w:rPr>
        <w:t>Стойността на получения първи транш, съобразен с профила на плащанията към одобрения НПВУ във връзка с постигането на заложените в Решението за изпълнение на Плана етапи и цели е в размер на 2</w:t>
      </w:r>
      <w:r>
        <w:rPr>
          <w:bCs/>
        </w:rPr>
        <w:t> </w:t>
      </w:r>
      <w:r w:rsidRPr="00095986">
        <w:rPr>
          <w:bCs/>
        </w:rPr>
        <w:t>677</w:t>
      </w:r>
      <w:r>
        <w:rPr>
          <w:bCs/>
        </w:rPr>
        <w:t>,</w:t>
      </w:r>
      <w:r w:rsidRPr="00095986">
        <w:rPr>
          <w:bCs/>
        </w:rPr>
        <w:t>4 млн. л</w:t>
      </w:r>
      <w:r>
        <w:rPr>
          <w:bCs/>
        </w:rPr>
        <w:t>е</w:t>
      </w:r>
      <w:r w:rsidRPr="00095986">
        <w:rPr>
          <w:bCs/>
        </w:rPr>
        <w:t>в</w:t>
      </w:r>
      <w:r>
        <w:rPr>
          <w:bCs/>
        </w:rPr>
        <w:t>а</w:t>
      </w:r>
      <w:r w:rsidRPr="00095986">
        <w:rPr>
          <w:bCs/>
        </w:rPr>
        <w:t>.</w:t>
      </w:r>
    </w:p>
    <w:p w14:paraId="1CB1CA38" w14:textId="77777777" w:rsidR="00D05EA4" w:rsidRPr="002C7E6E" w:rsidRDefault="00D05EA4" w:rsidP="00D05EA4">
      <w:pPr>
        <w:spacing w:before="120"/>
        <w:ind w:firstLine="686"/>
        <w:jc w:val="both"/>
        <w:rPr>
          <w:bCs/>
        </w:rPr>
      </w:pPr>
      <w:r w:rsidRPr="00095986">
        <w:rPr>
          <w:bCs/>
        </w:rPr>
        <w:t xml:space="preserve">През отчетния период чрез НПВУ бяха извършени разходи </w:t>
      </w:r>
      <w:r>
        <w:rPr>
          <w:bCs/>
        </w:rPr>
        <w:t>и трансфери</w:t>
      </w:r>
      <w:r w:rsidRPr="00EA4280">
        <w:rPr>
          <w:bCs/>
        </w:rPr>
        <w:t xml:space="preserve"> (нето)</w:t>
      </w:r>
      <w:r w:rsidRPr="001F3E55">
        <w:rPr>
          <w:bCs/>
          <w:lang w:val="ru-RU"/>
        </w:rPr>
        <w:t xml:space="preserve"> </w:t>
      </w:r>
      <w:r w:rsidRPr="002C7E6E">
        <w:rPr>
          <w:bCs/>
        </w:rPr>
        <w:t>в размер на 82</w:t>
      </w:r>
      <w:r>
        <w:rPr>
          <w:bCs/>
        </w:rPr>
        <w:t>,</w:t>
      </w:r>
      <w:r w:rsidRPr="002C7E6E">
        <w:rPr>
          <w:bCs/>
        </w:rPr>
        <w:t>3 млн. лева.</w:t>
      </w:r>
    </w:p>
    <w:p w14:paraId="6BA797F0" w14:textId="77777777" w:rsidR="00D05EA4" w:rsidRPr="00327FAF" w:rsidRDefault="00D05EA4" w:rsidP="00D05EA4">
      <w:pPr>
        <w:spacing w:before="120"/>
        <w:ind w:firstLine="686"/>
        <w:jc w:val="both"/>
        <w:rPr>
          <w:b/>
          <w:bCs/>
        </w:rPr>
      </w:pPr>
      <w:r w:rsidRPr="00327FAF">
        <w:rPr>
          <w:b/>
          <w:bCs/>
        </w:rPr>
        <w:t xml:space="preserve">Програма ФАР </w:t>
      </w:r>
    </w:p>
    <w:p w14:paraId="177CCAFA" w14:textId="77777777" w:rsidR="00D05EA4" w:rsidRPr="00A43810" w:rsidRDefault="00D05EA4" w:rsidP="00D05EA4">
      <w:pPr>
        <w:ind w:firstLine="686"/>
        <w:jc w:val="both"/>
        <w:rPr>
          <w:bCs/>
          <w:color w:val="00B0F0"/>
        </w:rPr>
      </w:pPr>
      <w:r w:rsidRPr="00327FAF">
        <w:rPr>
          <w:bCs/>
        </w:rPr>
        <w:t>През отчетния период са възстановени суми от бенефициенти на стойност 0</w:t>
      </w:r>
      <w:r>
        <w:rPr>
          <w:bCs/>
        </w:rPr>
        <w:t>,</w:t>
      </w:r>
      <w:r w:rsidRPr="001F3E55">
        <w:rPr>
          <w:bCs/>
          <w:lang w:val="ru-RU"/>
        </w:rPr>
        <w:t>3</w:t>
      </w:r>
      <w:r w:rsidRPr="00327FAF">
        <w:rPr>
          <w:bCs/>
        </w:rPr>
        <w:t xml:space="preserve"> млн. лева. </w:t>
      </w:r>
    </w:p>
    <w:p w14:paraId="298384CE" w14:textId="77777777" w:rsidR="00D05EA4" w:rsidRPr="00D503E6" w:rsidRDefault="00D05EA4" w:rsidP="00D05EA4">
      <w:pPr>
        <w:spacing w:before="120"/>
        <w:ind w:firstLine="686"/>
        <w:jc w:val="both"/>
        <w:rPr>
          <w:b/>
          <w:bCs/>
        </w:rPr>
      </w:pPr>
      <w:r w:rsidRPr="00D503E6">
        <w:rPr>
          <w:b/>
          <w:bCs/>
        </w:rPr>
        <w:t xml:space="preserve">Програма САПАРД </w:t>
      </w:r>
    </w:p>
    <w:p w14:paraId="358A9E37" w14:textId="77777777" w:rsidR="00D05EA4" w:rsidRPr="00D503E6" w:rsidRDefault="00D05EA4" w:rsidP="00D05EA4">
      <w:pPr>
        <w:ind w:firstLine="686"/>
        <w:jc w:val="both"/>
        <w:rPr>
          <w:bCs/>
        </w:rPr>
      </w:pPr>
      <w:r w:rsidRPr="00D503E6">
        <w:rPr>
          <w:bCs/>
        </w:rPr>
        <w:t>През периода са извършени възстановявания от бенефициенти по дългове на стойност 0</w:t>
      </w:r>
      <w:r>
        <w:rPr>
          <w:bCs/>
        </w:rPr>
        <w:t>,</w:t>
      </w:r>
      <w:r w:rsidRPr="00D503E6">
        <w:rPr>
          <w:bCs/>
        </w:rPr>
        <w:t>004 млн. лв.</w:t>
      </w:r>
    </w:p>
    <w:p w14:paraId="21E4737B" w14:textId="77777777" w:rsidR="00D05EA4" w:rsidRPr="00BF59D7" w:rsidRDefault="00D05EA4" w:rsidP="00D05EA4">
      <w:pPr>
        <w:spacing w:before="120"/>
        <w:ind w:firstLine="686"/>
        <w:jc w:val="both"/>
        <w:rPr>
          <w:b/>
          <w:bCs/>
        </w:rPr>
      </w:pPr>
      <w:r w:rsidRPr="00A43810">
        <w:rPr>
          <w:bCs/>
          <w:color w:val="00B0F0"/>
        </w:rPr>
        <w:tab/>
      </w:r>
      <w:r w:rsidRPr="00BF59D7">
        <w:rPr>
          <w:b/>
          <w:bCs/>
        </w:rPr>
        <w:t>Двустранни програми за трансгранично сътрудничество по външните граници на Европейския съюз 2007 – 2013 г., 2014 – 2020 г. и 2021 – 2027 г.</w:t>
      </w:r>
    </w:p>
    <w:p w14:paraId="542F04CF" w14:textId="77777777" w:rsidR="00D05EA4" w:rsidRPr="00BF59D7" w:rsidRDefault="00D05EA4" w:rsidP="00D05EA4">
      <w:pPr>
        <w:jc w:val="both"/>
        <w:rPr>
          <w:bCs/>
        </w:rPr>
      </w:pPr>
      <w:r w:rsidRPr="00BF59D7">
        <w:rPr>
          <w:bCs/>
        </w:rPr>
        <w:t>Получените средства към 31.12.202</w:t>
      </w:r>
      <w:r w:rsidRPr="001F3E55">
        <w:rPr>
          <w:bCs/>
          <w:lang w:val="ru-RU"/>
        </w:rPr>
        <w:t>2</w:t>
      </w:r>
      <w:r>
        <w:rPr>
          <w:bCs/>
        </w:rPr>
        <w:t xml:space="preserve"> г. са на стойност 49,</w:t>
      </w:r>
      <w:r w:rsidRPr="00BF59D7">
        <w:rPr>
          <w:bCs/>
        </w:rPr>
        <w:t>8 млн. лв., представляващи възстановени разходи от ЕК и постъпили средства за съфинансиране от страните-партньори, както разпределени към администратори в чужбина за сметка на средствата, получени от страната-партньор.</w:t>
      </w:r>
    </w:p>
    <w:p w14:paraId="2AD84BD9" w14:textId="77777777" w:rsidR="00D05EA4" w:rsidRPr="00A43810" w:rsidRDefault="00D05EA4" w:rsidP="00D05EA4">
      <w:pPr>
        <w:jc w:val="both"/>
        <w:rPr>
          <w:b/>
          <w:bCs/>
          <w:color w:val="00B0F0"/>
        </w:rPr>
      </w:pPr>
      <w:r w:rsidRPr="00BF59D7">
        <w:rPr>
          <w:bCs/>
        </w:rPr>
        <w:t>Сумата на разходите и трансферите (нето) към бюджетни организации в страната, които са направени през същия период по двустранните програми са на обща стойност 19</w:t>
      </w:r>
      <w:r>
        <w:rPr>
          <w:bCs/>
        </w:rPr>
        <w:t>,</w:t>
      </w:r>
      <w:r w:rsidRPr="00BF59D7">
        <w:rPr>
          <w:bCs/>
        </w:rPr>
        <w:t xml:space="preserve">3 млн. лв., включително за плащания към бенефициенти в страната, извършени за сметка на полученото финансиране от страната-партньор по тези програми. </w:t>
      </w:r>
    </w:p>
    <w:p w14:paraId="46E284B8" w14:textId="77777777" w:rsidR="00D05EA4" w:rsidRPr="00814335" w:rsidRDefault="00D05EA4" w:rsidP="00D05EA4">
      <w:pPr>
        <w:spacing w:before="120"/>
        <w:ind w:firstLine="686"/>
        <w:jc w:val="both"/>
        <w:rPr>
          <w:b/>
          <w:bCs/>
        </w:rPr>
      </w:pPr>
      <w:r w:rsidRPr="00814335">
        <w:rPr>
          <w:b/>
          <w:bCs/>
        </w:rPr>
        <w:t>Финансов механизъм на Европейското икономическо пространство и Норвежки финансов механизъм за периода 2009-2014 г. и 2014-2021 г.</w:t>
      </w:r>
    </w:p>
    <w:p w14:paraId="7B0A6C38" w14:textId="77777777" w:rsidR="00D05EA4" w:rsidRPr="00814335" w:rsidRDefault="00D05EA4" w:rsidP="00D05EA4">
      <w:pPr>
        <w:spacing w:before="120"/>
        <w:jc w:val="both"/>
        <w:rPr>
          <w:b/>
          <w:bCs/>
        </w:rPr>
      </w:pPr>
      <w:r w:rsidRPr="00814335">
        <w:rPr>
          <w:bCs/>
        </w:rPr>
        <w:t>Получените средства към 31.12.2022 г. са на стойност 45</w:t>
      </w:r>
      <w:r>
        <w:rPr>
          <w:bCs/>
        </w:rPr>
        <w:t>,</w:t>
      </w:r>
      <w:r w:rsidRPr="00814335">
        <w:rPr>
          <w:bCs/>
        </w:rPr>
        <w:t>7 млн. л</w:t>
      </w:r>
      <w:r>
        <w:rPr>
          <w:bCs/>
        </w:rPr>
        <w:t>е</w:t>
      </w:r>
      <w:r w:rsidRPr="00814335">
        <w:rPr>
          <w:bCs/>
        </w:rPr>
        <w:t>в</w:t>
      </w:r>
      <w:r>
        <w:rPr>
          <w:bCs/>
        </w:rPr>
        <w:t>а</w:t>
      </w:r>
      <w:r w:rsidRPr="00814335">
        <w:rPr>
          <w:bCs/>
        </w:rPr>
        <w:t>.</w:t>
      </w:r>
    </w:p>
    <w:p w14:paraId="59E69754" w14:textId="75B27856" w:rsidR="00D05EA4" w:rsidRDefault="00D05EA4" w:rsidP="00D05EA4">
      <w:pPr>
        <w:jc w:val="both"/>
        <w:rPr>
          <w:bCs/>
        </w:rPr>
      </w:pPr>
      <w:r w:rsidRPr="00814335">
        <w:rPr>
          <w:bCs/>
        </w:rPr>
        <w:t xml:space="preserve">Сумата на разходите и трансферите (нето) за периода са на обща стойност </w:t>
      </w:r>
      <w:r w:rsidRPr="001F3E55">
        <w:rPr>
          <w:bCs/>
          <w:lang w:val="ru-RU"/>
        </w:rPr>
        <w:t>63</w:t>
      </w:r>
      <w:r w:rsidR="00D302B1">
        <w:rPr>
          <w:bCs/>
        </w:rPr>
        <w:t>,</w:t>
      </w:r>
      <w:r w:rsidRPr="00814335">
        <w:rPr>
          <w:bCs/>
        </w:rPr>
        <w:t>8 млн. лева.</w:t>
      </w:r>
    </w:p>
    <w:p w14:paraId="7E485C6F" w14:textId="77777777" w:rsidR="00D05EA4" w:rsidRPr="00814335" w:rsidRDefault="00D05EA4" w:rsidP="00D05EA4">
      <w:pPr>
        <w:spacing w:before="120"/>
        <w:ind w:firstLine="686"/>
        <w:jc w:val="both"/>
        <w:rPr>
          <w:b/>
          <w:bCs/>
        </w:rPr>
      </w:pPr>
      <w:r w:rsidRPr="001147F4">
        <w:rPr>
          <w:b/>
          <w:bCs/>
        </w:rPr>
        <w:t xml:space="preserve">Резерва за приспособяване във връзка с последиците от </w:t>
      </w:r>
      <w:proofErr w:type="spellStart"/>
      <w:r w:rsidRPr="001147F4">
        <w:rPr>
          <w:b/>
          <w:bCs/>
        </w:rPr>
        <w:t>Брексит</w:t>
      </w:r>
      <w:proofErr w:type="spellEnd"/>
    </w:p>
    <w:p w14:paraId="390F163F" w14:textId="46630D70" w:rsidR="00D05EA4" w:rsidRPr="00814335" w:rsidRDefault="00D05EA4" w:rsidP="00D05EA4">
      <w:pPr>
        <w:spacing w:before="120"/>
        <w:jc w:val="both"/>
        <w:rPr>
          <w:b/>
          <w:bCs/>
        </w:rPr>
      </w:pPr>
      <w:r w:rsidRPr="00814335">
        <w:rPr>
          <w:bCs/>
        </w:rPr>
        <w:t xml:space="preserve">Получените средства към 31.12.2022 г. са на стойност </w:t>
      </w:r>
      <w:r>
        <w:rPr>
          <w:bCs/>
        </w:rPr>
        <w:t>16</w:t>
      </w:r>
      <w:r w:rsidR="00D302B1">
        <w:rPr>
          <w:bCs/>
        </w:rPr>
        <w:t>,</w:t>
      </w:r>
      <w:r>
        <w:rPr>
          <w:bCs/>
        </w:rPr>
        <w:t>5</w:t>
      </w:r>
      <w:r w:rsidRPr="00814335">
        <w:rPr>
          <w:bCs/>
        </w:rPr>
        <w:t xml:space="preserve"> млн. л</w:t>
      </w:r>
      <w:r>
        <w:rPr>
          <w:bCs/>
        </w:rPr>
        <w:t>е</w:t>
      </w:r>
      <w:r w:rsidRPr="00814335">
        <w:rPr>
          <w:bCs/>
        </w:rPr>
        <w:t>в</w:t>
      </w:r>
      <w:r>
        <w:rPr>
          <w:bCs/>
        </w:rPr>
        <w:t>а</w:t>
      </w:r>
      <w:r w:rsidRPr="00814335">
        <w:rPr>
          <w:bCs/>
        </w:rPr>
        <w:t>.</w:t>
      </w:r>
    </w:p>
    <w:p w14:paraId="3B66E15C" w14:textId="77777777" w:rsidR="00251963" w:rsidRPr="00F33C19" w:rsidRDefault="00251963" w:rsidP="00ED2B9A">
      <w:pPr>
        <w:pStyle w:val="Heading1"/>
        <w:numPr>
          <w:ilvl w:val="0"/>
          <w:numId w:val="9"/>
        </w:numPr>
        <w:spacing w:before="360"/>
        <w:ind w:left="533" w:right="-108" w:hanging="391"/>
        <w:jc w:val="both"/>
        <w:rPr>
          <w:sz w:val="24"/>
        </w:rPr>
      </w:pPr>
      <w:r w:rsidRPr="00F33C19">
        <w:rPr>
          <w:sz w:val="24"/>
        </w:rPr>
        <w:t>Бюджети на социално и здравно-осигурителните фондове и бюджети по чл. 13, ал. 2 и ал. 3 на Закона за публичните финанси</w:t>
      </w:r>
    </w:p>
    <w:p w14:paraId="74E0559E" w14:textId="77777777" w:rsidR="007C1025" w:rsidRPr="00F33C19" w:rsidRDefault="007C1025" w:rsidP="00ED2B9A">
      <w:pPr>
        <w:pStyle w:val="Heading1"/>
        <w:numPr>
          <w:ilvl w:val="1"/>
          <w:numId w:val="9"/>
        </w:numPr>
        <w:spacing w:before="120"/>
        <w:ind w:left="788" w:right="-108" w:hanging="431"/>
        <w:jc w:val="both"/>
        <w:rPr>
          <w:sz w:val="24"/>
          <w:lang w:val="en-US"/>
        </w:rPr>
      </w:pPr>
      <w:r w:rsidRPr="00F33C19">
        <w:rPr>
          <w:sz w:val="24"/>
        </w:rPr>
        <w:t>Социално и здравно-осигурителни фондове</w:t>
      </w:r>
    </w:p>
    <w:p w14:paraId="5D418E60" w14:textId="77777777" w:rsidR="009A4373" w:rsidRPr="00F33C19" w:rsidRDefault="009A4373" w:rsidP="009A4373">
      <w:pPr>
        <w:numPr>
          <w:ilvl w:val="1"/>
          <w:numId w:val="6"/>
        </w:numPr>
        <w:spacing w:before="120" w:line="276" w:lineRule="auto"/>
        <w:ind w:left="992" w:hanging="357"/>
        <w:jc w:val="both"/>
        <w:rPr>
          <w:b/>
          <w:bCs/>
        </w:rPr>
      </w:pPr>
      <w:r w:rsidRPr="00F33C19">
        <w:rPr>
          <w:b/>
        </w:rPr>
        <w:t>Държавно обществено осигуряване</w:t>
      </w:r>
    </w:p>
    <w:p w14:paraId="7B851DA0" w14:textId="77777777" w:rsidR="002D17B2" w:rsidRPr="00DB12BD" w:rsidRDefault="002D17B2" w:rsidP="002D17B2">
      <w:pPr>
        <w:ind w:firstLine="567"/>
        <w:jc w:val="both"/>
        <w:rPr>
          <w:rFonts w:eastAsiaTheme="minorHAnsi"/>
          <w:color w:val="0070C0"/>
        </w:rPr>
      </w:pPr>
      <w:r w:rsidRPr="00520D04">
        <w:t xml:space="preserve">Общата сума на </w:t>
      </w:r>
      <w:r w:rsidRPr="00520D04">
        <w:rPr>
          <w:b/>
        </w:rPr>
        <w:t>приходите, помощите и даренията</w:t>
      </w:r>
      <w:r w:rsidRPr="00520D04">
        <w:t xml:space="preserve"> по бюджета на Държавното обществено осигуряване (ДОО) към 31.12.2022 г. възлиза на 9 983,3 млн. лв. Най-голям е делът на приходите от осигурителни вноски (98,6 % от общите приходи), които за отчетния период са в размер на 9 847,6 млн. лв. Съпоставени с 2021 г., приходите по бюджета на ДОО нарастват с 807,8 млн. лв. (8,8 %). </w:t>
      </w:r>
    </w:p>
    <w:p w14:paraId="3CCE7790" w14:textId="77777777" w:rsidR="002D17B2" w:rsidRPr="00520D04" w:rsidRDefault="002D17B2" w:rsidP="002D17B2">
      <w:pPr>
        <w:ind w:firstLine="567"/>
        <w:jc w:val="both"/>
        <w:rPr>
          <w:bCs/>
        </w:rPr>
      </w:pPr>
      <w:r w:rsidRPr="00520D04">
        <w:rPr>
          <w:bCs/>
        </w:rPr>
        <w:t>Отчетените неданъчни приходи през 2022 г. по бюджета на ДОО възлизат на 135,7 млн. лв., в т.ч. 100,8 млн. лв. постъпили средства по чл. 4б, чл. 4в и чл. 69б от Кодекса за социално осигуряване (КСО)</w:t>
      </w:r>
      <w:r w:rsidRPr="00520D04">
        <w:t>.</w:t>
      </w:r>
      <w:r w:rsidRPr="00520D04">
        <w:rPr>
          <w:bCs/>
        </w:rPr>
        <w:t xml:space="preserve"> </w:t>
      </w:r>
    </w:p>
    <w:p w14:paraId="57CDB3A4" w14:textId="77777777" w:rsidR="002D17B2" w:rsidRPr="00DC0317" w:rsidRDefault="002D17B2" w:rsidP="002D17B2">
      <w:pPr>
        <w:tabs>
          <w:tab w:val="num" w:pos="1499"/>
          <w:tab w:val="num" w:pos="2148"/>
        </w:tabs>
        <w:ind w:firstLine="567"/>
        <w:jc w:val="both"/>
        <w:rPr>
          <w:bCs/>
        </w:rPr>
      </w:pPr>
      <w:r w:rsidRPr="00520D04">
        <w:rPr>
          <w:bCs/>
        </w:rPr>
        <w:t xml:space="preserve">Размерът на извършените </w:t>
      </w:r>
      <w:r w:rsidRPr="00520D04">
        <w:rPr>
          <w:b/>
          <w:bCs/>
        </w:rPr>
        <w:t xml:space="preserve">разходи </w:t>
      </w:r>
      <w:r w:rsidRPr="00520D04">
        <w:rPr>
          <w:bCs/>
        </w:rPr>
        <w:t xml:space="preserve">през 2022 г. по бюджета на ДОО е 18 108,4 млн. </w:t>
      </w:r>
      <w:r w:rsidRPr="00DC0317">
        <w:rPr>
          <w:bCs/>
        </w:rPr>
        <w:t xml:space="preserve">лв., което представлява 99,3 % от предвидените в актуализирания ЗБДОО за 2022 г. средства. Спрямо предходната година, общо разходите по бюджета на ДОО са със 793,9 млн. лв. (4,6 %) повече. От структурна гледна точка най-голям относителен дял в общите разходи заемат </w:t>
      </w:r>
      <w:r w:rsidRPr="00DC0317">
        <w:rPr>
          <w:bCs/>
        </w:rPr>
        <w:lastRenderedPageBreak/>
        <w:t>разходите за пенсии, обезщетения и помощи, изплащани на основание КСО – общо 17 </w:t>
      </w:r>
      <w:r>
        <w:rPr>
          <w:bCs/>
        </w:rPr>
        <w:t>797</w:t>
      </w:r>
      <w:r w:rsidRPr="00DC0317">
        <w:rPr>
          <w:bCs/>
        </w:rPr>
        <w:t>,4 млн. лв. или 9</w:t>
      </w:r>
      <w:r>
        <w:rPr>
          <w:bCs/>
        </w:rPr>
        <w:t>8</w:t>
      </w:r>
      <w:r w:rsidRPr="00DC0317">
        <w:rPr>
          <w:bCs/>
        </w:rPr>
        <w:t>,</w:t>
      </w:r>
      <w:r>
        <w:rPr>
          <w:bCs/>
        </w:rPr>
        <w:t>3</w:t>
      </w:r>
      <w:r w:rsidRPr="00DC0317">
        <w:rPr>
          <w:bCs/>
        </w:rPr>
        <w:t xml:space="preserve"> % от общия размер на разходите за годината. </w:t>
      </w:r>
    </w:p>
    <w:p w14:paraId="09717CBD" w14:textId="77777777" w:rsidR="002D17B2" w:rsidRPr="00DB12BD" w:rsidRDefault="002D17B2" w:rsidP="002D17B2">
      <w:pPr>
        <w:tabs>
          <w:tab w:val="num" w:pos="1499"/>
          <w:tab w:val="num" w:pos="2148"/>
        </w:tabs>
        <w:ind w:firstLine="567"/>
        <w:jc w:val="both"/>
        <w:rPr>
          <w:bCs/>
          <w:color w:val="0070C0"/>
        </w:rPr>
      </w:pPr>
      <w:r w:rsidRPr="00DC0317">
        <w:rPr>
          <w:bCs/>
        </w:rPr>
        <w:t xml:space="preserve">Отчетените разходи за </w:t>
      </w:r>
      <w:r w:rsidRPr="00DC0317">
        <w:rPr>
          <w:b/>
          <w:bCs/>
        </w:rPr>
        <w:t>пенсии</w:t>
      </w:r>
      <w:r w:rsidRPr="00DC0317">
        <w:rPr>
          <w:bCs/>
        </w:rPr>
        <w:t xml:space="preserve"> по бюджета на ДОО към 31.12.2022 г. възлизат на </w:t>
      </w:r>
      <w:r w:rsidRPr="00DC0317">
        <w:rPr>
          <w:bCs/>
          <w:lang w:val="ru-RU"/>
        </w:rPr>
        <w:t>15</w:t>
      </w:r>
      <w:r w:rsidRPr="00DC0317">
        <w:rPr>
          <w:bCs/>
        </w:rPr>
        <w:t> 634</w:t>
      </w:r>
      <w:r w:rsidRPr="00DC0317">
        <w:rPr>
          <w:bCs/>
          <w:lang w:val="ru-RU"/>
        </w:rPr>
        <w:t>,7</w:t>
      </w:r>
      <w:r w:rsidRPr="00DC0317">
        <w:rPr>
          <w:bCs/>
        </w:rPr>
        <w:t xml:space="preserve"> млн. лв., </w:t>
      </w:r>
      <w:r w:rsidRPr="00770074">
        <w:rPr>
          <w:bCs/>
        </w:rPr>
        <w:t>което е с 1 385,6 млн. лв. повече спрямо 2021 г. Основните причини за това са: ефектите от изплащане на увеличените пенсии от 1 юли и от 25 декември 2021 г.; увеличението на минималната пенсия от 300 на 370 лв. и на максималната пенсия от 1 440 на 1 500 лв. от 25 декември 2021 г.; новото увеличение от  1 юли 2022 г. на минималната пенсия от 370 на 467 лв.,  на максималната</w:t>
      </w:r>
      <w:r w:rsidRPr="00770074">
        <w:rPr>
          <w:bCs/>
          <w:lang w:val="ru-RU"/>
        </w:rPr>
        <w:t xml:space="preserve"> </w:t>
      </w:r>
      <w:r w:rsidRPr="00770074">
        <w:rPr>
          <w:bCs/>
        </w:rPr>
        <w:t>- от 1 500 на 2 000 лв. и на всички останали пенсии с 10 %, увеличението на част от пенсиите от 1 октомври 2022 г., както и допълнителните еднократни плащания в размер на 70 лв. към пенсиите на всички пенсионери през м. април и декември 2022</w:t>
      </w:r>
      <w:r w:rsidRPr="00770074">
        <w:rPr>
          <w:bCs/>
          <w:lang w:val="en-US"/>
        </w:rPr>
        <w:t> </w:t>
      </w:r>
      <w:r w:rsidRPr="00770074">
        <w:rPr>
          <w:bCs/>
        </w:rPr>
        <w:t>г.</w:t>
      </w:r>
      <w:r w:rsidRPr="00DC0317">
        <w:rPr>
          <w:bCs/>
        </w:rPr>
        <w:t xml:space="preserve"> </w:t>
      </w:r>
    </w:p>
    <w:p w14:paraId="61CB1030" w14:textId="3134FA43" w:rsidR="002D17B2" w:rsidRDefault="002D17B2" w:rsidP="002D17B2">
      <w:pPr>
        <w:tabs>
          <w:tab w:val="num" w:pos="1499"/>
          <w:tab w:val="num" w:pos="2148"/>
        </w:tabs>
        <w:ind w:firstLine="567"/>
        <w:jc w:val="both"/>
      </w:pPr>
      <w:r w:rsidRPr="00DC0317">
        <w:t xml:space="preserve">Отчетените разходи за </w:t>
      </w:r>
      <w:r w:rsidRPr="00DC0317">
        <w:rPr>
          <w:b/>
        </w:rPr>
        <w:t>краткосрочни обезщетения и помощи по КСО</w:t>
      </w:r>
      <w:r w:rsidRPr="00DC0317">
        <w:t xml:space="preserve"> са в размер на 2 162,7 млн. лева. Спрямо предходната година изплатените обезщетения по КСО са с 65,9 млн.</w:t>
      </w:r>
      <w:r w:rsidR="008A6B4E">
        <w:rPr>
          <w:lang w:val="en-US"/>
        </w:rPr>
        <w:t> </w:t>
      </w:r>
      <w:r w:rsidRPr="00DC0317">
        <w:t>лв. (3,1 %) повече.</w:t>
      </w:r>
    </w:p>
    <w:p w14:paraId="4638DDC0" w14:textId="77777777" w:rsidR="002D17B2" w:rsidRPr="00DC0317" w:rsidRDefault="002D17B2" w:rsidP="002D17B2">
      <w:pPr>
        <w:tabs>
          <w:tab w:val="num" w:pos="1499"/>
          <w:tab w:val="num" w:pos="2148"/>
        </w:tabs>
        <w:ind w:firstLine="567"/>
        <w:jc w:val="both"/>
      </w:pPr>
      <w:r w:rsidRPr="006D1F6C">
        <w:rPr>
          <w:rFonts w:eastAsia="Calibri"/>
          <w:lang w:eastAsia="zh-CN"/>
        </w:rPr>
        <w:t>Извършените в периода 1 януари – 3</w:t>
      </w:r>
      <w:r>
        <w:rPr>
          <w:rFonts w:eastAsia="Calibri"/>
          <w:lang w:eastAsia="zh-CN"/>
        </w:rPr>
        <w:t>1</w:t>
      </w:r>
      <w:r w:rsidRPr="006D1F6C">
        <w:rPr>
          <w:rFonts w:eastAsia="Calibri"/>
          <w:lang w:eastAsia="zh-CN"/>
        </w:rPr>
        <w:t xml:space="preserve"> </w:t>
      </w:r>
      <w:r>
        <w:rPr>
          <w:rFonts w:eastAsia="Calibri"/>
          <w:lang w:eastAsia="zh-CN"/>
        </w:rPr>
        <w:t>декември</w:t>
      </w:r>
      <w:r w:rsidRPr="006D1F6C">
        <w:rPr>
          <w:rFonts w:eastAsia="Calibri"/>
          <w:lang w:eastAsia="zh-CN"/>
        </w:rPr>
        <w:t xml:space="preserve"> 2022 г. разходи и трансфери по бюджета на НОИ към работодатели за запазване на заетостта на наетите от тях работници и служители (мярка 60/40) са в размер на </w:t>
      </w:r>
      <w:r w:rsidRPr="006D1F6C">
        <w:rPr>
          <w:rFonts w:eastAsia="Calibri"/>
          <w:b/>
          <w:bCs/>
          <w:lang w:eastAsia="zh-CN"/>
        </w:rPr>
        <w:t>1</w:t>
      </w:r>
      <w:r w:rsidRPr="004A2E93">
        <w:rPr>
          <w:rFonts w:eastAsia="Calibri"/>
          <w:b/>
          <w:bCs/>
          <w:lang w:val="ru-RU" w:eastAsia="zh-CN"/>
        </w:rPr>
        <w:t>6</w:t>
      </w:r>
      <w:r w:rsidRPr="006D1F6C">
        <w:rPr>
          <w:rFonts w:eastAsia="Calibri"/>
          <w:b/>
          <w:bCs/>
          <w:lang w:eastAsia="zh-CN"/>
        </w:rPr>
        <w:t>4</w:t>
      </w:r>
      <w:r>
        <w:rPr>
          <w:rFonts w:eastAsia="Calibri"/>
          <w:b/>
          <w:bCs/>
          <w:lang w:eastAsia="zh-CN"/>
        </w:rPr>
        <w:t xml:space="preserve">,7 млн. </w:t>
      </w:r>
      <w:r w:rsidRPr="006D1F6C">
        <w:rPr>
          <w:rFonts w:eastAsia="Calibri"/>
          <w:b/>
          <w:bCs/>
          <w:lang w:eastAsia="zh-CN"/>
        </w:rPr>
        <w:t xml:space="preserve">лв. </w:t>
      </w:r>
      <w:r w:rsidRPr="004A2E93">
        <w:rPr>
          <w:rFonts w:eastAsia="Calibri"/>
          <w:lang w:val="ru-RU" w:eastAsia="zh-CN"/>
        </w:rPr>
        <w:t>(</w:t>
      </w:r>
      <w:r w:rsidRPr="006D1F6C">
        <w:rPr>
          <w:rFonts w:eastAsia="Calibri"/>
          <w:lang w:eastAsia="zh-CN"/>
        </w:rPr>
        <w:t>разходи в размер на</w:t>
      </w:r>
      <w:r w:rsidRPr="006D1F6C">
        <w:rPr>
          <w:rFonts w:eastAsia="Calibri"/>
          <w:b/>
          <w:bCs/>
          <w:lang w:eastAsia="zh-CN"/>
        </w:rPr>
        <w:t xml:space="preserve"> 1</w:t>
      </w:r>
      <w:r w:rsidRPr="004A2E93">
        <w:rPr>
          <w:rFonts w:eastAsia="Calibri"/>
          <w:b/>
          <w:bCs/>
          <w:lang w:val="ru-RU" w:eastAsia="zh-CN"/>
        </w:rPr>
        <w:t>62</w:t>
      </w:r>
      <w:r>
        <w:rPr>
          <w:rFonts w:eastAsia="Calibri"/>
          <w:b/>
          <w:bCs/>
          <w:lang w:eastAsia="zh-CN"/>
        </w:rPr>
        <w:t>,1 млн.</w:t>
      </w:r>
      <w:r w:rsidRPr="006D1F6C">
        <w:rPr>
          <w:rFonts w:eastAsia="Calibri"/>
          <w:b/>
          <w:bCs/>
          <w:lang w:eastAsia="zh-CN"/>
        </w:rPr>
        <w:t xml:space="preserve"> лв. </w:t>
      </w:r>
      <w:r w:rsidRPr="006D1F6C">
        <w:rPr>
          <w:rFonts w:eastAsia="Calibri"/>
          <w:lang w:eastAsia="zh-CN"/>
        </w:rPr>
        <w:t>и предоставени трансфери в размер на</w:t>
      </w:r>
      <w:r w:rsidRPr="006D1F6C">
        <w:rPr>
          <w:rFonts w:eastAsia="Calibri"/>
          <w:b/>
          <w:bCs/>
          <w:lang w:eastAsia="zh-CN"/>
        </w:rPr>
        <w:t xml:space="preserve"> </w:t>
      </w:r>
      <w:bookmarkStart w:id="106" w:name="OLE_LINK1"/>
      <w:r w:rsidRPr="004A2E93">
        <w:rPr>
          <w:rFonts w:eastAsia="Calibri"/>
          <w:b/>
          <w:bCs/>
          <w:lang w:val="ru-RU" w:eastAsia="zh-CN"/>
        </w:rPr>
        <w:t>2</w:t>
      </w:r>
      <w:r>
        <w:rPr>
          <w:rFonts w:eastAsia="Calibri"/>
          <w:b/>
          <w:bCs/>
          <w:lang w:eastAsia="zh-CN"/>
        </w:rPr>
        <w:t>,</w:t>
      </w:r>
      <w:r w:rsidRPr="004A2E93">
        <w:rPr>
          <w:rFonts w:eastAsia="Calibri"/>
          <w:b/>
          <w:bCs/>
          <w:lang w:val="ru-RU" w:eastAsia="zh-CN"/>
        </w:rPr>
        <w:t>6</w:t>
      </w:r>
      <w:bookmarkEnd w:id="106"/>
      <w:r>
        <w:rPr>
          <w:rFonts w:eastAsia="Calibri"/>
          <w:b/>
          <w:bCs/>
          <w:lang w:eastAsia="zh-CN"/>
        </w:rPr>
        <w:t xml:space="preserve"> млн.</w:t>
      </w:r>
      <w:r w:rsidRPr="004A2E93">
        <w:rPr>
          <w:rFonts w:eastAsia="Calibri"/>
          <w:b/>
          <w:bCs/>
          <w:lang w:val="ru-RU" w:eastAsia="zh-CN"/>
        </w:rPr>
        <w:t xml:space="preserve"> </w:t>
      </w:r>
      <w:r w:rsidRPr="006D1F6C">
        <w:rPr>
          <w:rFonts w:eastAsia="Calibri"/>
          <w:b/>
          <w:bCs/>
          <w:lang w:eastAsia="zh-CN"/>
        </w:rPr>
        <w:t>лв.</w:t>
      </w:r>
      <w:r w:rsidRPr="004A2E93">
        <w:rPr>
          <w:rFonts w:eastAsia="Calibri"/>
          <w:b/>
          <w:bCs/>
          <w:lang w:val="ru-RU" w:eastAsia="zh-CN"/>
        </w:rPr>
        <w:t>)</w:t>
      </w:r>
      <w:r w:rsidRPr="006D1F6C">
        <w:rPr>
          <w:rFonts w:eastAsia="Calibri"/>
          <w:b/>
          <w:bCs/>
          <w:lang w:eastAsia="zh-CN"/>
        </w:rPr>
        <w:t xml:space="preserve"> </w:t>
      </w:r>
      <w:r w:rsidRPr="006D1F6C">
        <w:rPr>
          <w:rFonts w:eastAsia="Calibri"/>
          <w:lang w:eastAsia="zh-CN"/>
        </w:rPr>
        <w:t>и прехвърлени средства от сметката за чужди средства в размер на</w:t>
      </w:r>
      <w:r w:rsidRPr="004A2E93">
        <w:rPr>
          <w:rFonts w:eastAsia="Calibri"/>
          <w:lang w:val="ru-RU" w:eastAsia="zh-CN"/>
        </w:rPr>
        <w:t xml:space="preserve"> </w:t>
      </w:r>
      <w:r w:rsidRPr="004A2E93">
        <w:rPr>
          <w:rFonts w:eastAsia="Calibri"/>
          <w:b/>
          <w:bCs/>
          <w:lang w:val="ru-RU" w:eastAsia="zh-CN"/>
        </w:rPr>
        <w:t>(-</w:t>
      </w:r>
      <w:r>
        <w:rPr>
          <w:rFonts w:eastAsia="Calibri"/>
          <w:b/>
          <w:bCs/>
          <w:lang w:eastAsia="zh-CN"/>
        </w:rPr>
        <w:t>4 млн. лв.</w:t>
      </w:r>
      <w:r w:rsidRPr="004A2E93">
        <w:rPr>
          <w:rFonts w:eastAsia="Calibri"/>
          <w:b/>
          <w:bCs/>
          <w:lang w:val="ru-RU" w:eastAsia="zh-CN"/>
        </w:rPr>
        <w:t>)</w:t>
      </w:r>
    </w:p>
    <w:p w14:paraId="0E9FE033" w14:textId="77777777" w:rsidR="002D17B2" w:rsidRPr="00892BE2" w:rsidRDefault="002D17B2" w:rsidP="002D17B2">
      <w:pPr>
        <w:numPr>
          <w:ilvl w:val="1"/>
          <w:numId w:val="6"/>
        </w:numPr>
        <w:tabs>
          <w:tab w:val="num" w:pos="709"/>
          <w:tab w:val="left" w:pos="851"/>
          <w:tab w:val="left" w:pos="1134"/>
        </w:tabs>
        <w:spacing w:before="240" w:line="276" w:lineRule="auto"/>
        <w:ind w:left="709" w:hanging="357"/>
        <w:jc w:val="both"/>
        <w:rPr>
          <w:b/>
          <w:bCs/>
        </w:rPr>
      </w:pPr>
      <w:r w:rsidRPr="00892BE2">
        <w:rPr>
          <w:b/>
          <w:bCs/>
        </w:rPr>
        <w:t>Национална здравноосигурителна каса</w:t>
      </w:r>
    </w:p>
    <w:p w14:paraId="2668C904" w14:textId="77777777" w:rsidR="002D17B2" w:rsidRPr="00DB12BD" w:rsidRDefault="002D17B2" w:rsidP="002D17B2">
      <w:pPr>
        <w:ind w:firstLine="567"/>
        <w:jc w:val="both"/>
        <w:rPr>
          <w:color w:val="0070C0"/>
        </w:rPr>
      </w:pPr>
      <w:r w:rsidRPr="00892BE2">
        <w:t xml:space="preserve">Общият размер на събраните </w:t>
      </w:r>
      <w:r w:rsidRPr="00892BE2">
        <w:rPr>
          <w:b/>
        </w:rPr>
        <w:t>приходи, помощи и дарения</w:t>
      </w:r>
      <w:r w:rsidRPr="00892BE2">
        <w:t xml:space="preserve"> по бюджета на НЗОК през 2022 г. възлиза на 3 833,8 млн. лв., което представлява 101,4 % от предвидените със Закона за бюджета на НЗОК (ЗБНЗОК) за 2022 г. – 3 782,4 млн. лева. Постъпленията от здравноосигурителни вноски са в размер на 3 806,2 млн. лв., което е 101,3 % изпълнение на утвърдените със ЗБНЗОК за 2022 г. средства в размер на 3 759,2 млн. лева. Събраните неданъчни приходи през 2022 г. са 27,6 млн. лв. или 119,1 % от заложените в ЗБНЗОК за 2022 г., като основната част от тях са приходи от глоби, санкции и наказателни лихви. </w:t>
      </w:r>
    </w:p>
    <w:p w14:paraId="1CF452AE" w14:textId="77777777" w:rsidR="002D17B2" w:rsidRPr="00DB12BD" w:rsidRDefault="002D17B2" w:rsidP="002D17B2">
      <w:pPr>
        <w:ind w:firstLine="567"/>
        <w:jc w:val="both"/>
        <w:rPr>
          <w:color w:val="0070C0"/>
        </w:rPr>
      </w:pPr>
      <w:r w:rsidRPr="00112A8D">
        <w:t>Полученият трансфер от МЗ за</w:t>
      </w:r>
      <w:r w:rsidRPr="00112A8D">
        <w:rPr>
          <w:szCs w:val="20"/>
        </w:rPr>
        <w:t xml:space="preserve"> финансиране на разходите за лекарствени продукти – ваксини и дейности по прилагането им за здравните дейности по чл. 82, ал. 2, т. 3 от Закона за здравето (ЗЗ); за дейности за </w:t>
      </w:r>
      <w:proofErr w:type="spellStart"/>
      <w:r w:rsidRPr="00112A8D">
        <w:rPr>
          <w:szCs w:val="20"/>
        </w:rPr>
        <w:t>здравнонеосигурени</w:t>
      </w:r>
      <w:proofErr w:type="spellEnd"/>
      <w:r w:rsidRPr="00112A8D">
        <w:rPr>
          <w:szCs w:val="20"/>
        </w:rPr>
        <w:t xml:space="preserve"> лица, включващи: комплексно диспансерно (амбулаторно) наблюдение при пациенти с кожно-венерически и психиатрични заболявания; интензивно лечение; дейности по чл. 82, ал. 1, т. </w:t>
      </w:r>
      <w:r w:rsidRPr="00F51E6A">
        <w:t>1а, 3а и 6б</w:t>
      </w:r>
      <w:r w:rsidRPr="00112A8D">
        <w:rPr>
          <w:szCs w:val="20"/>
        </w:rPr>
        <w:t xml:space="preserve"> от ЗЗ, за сумите по чл. 37, ал. 6 от Закона за здравното осигуряване (ЗЗО) и за медицински изделия, помощни средства, приспособления и съоръжения за хората с увреждания извън обхвата на задължителното здравно осигуряване,</w:t>
      </w:r>
      <w:r w:rsidRPr="00112A8D">
        <w:t xml:space="preserve"> </w:t>
      </w:r>
      <w:r w:rsidRPr="00F51E6A">
        <w:t>за дейности във връзка с лечение на български граждани в страната или в чужбина съобразно тяхното заболяване, за които не са предвидени други механизми за финансиране със средства от държавния бюджет, общинските бюджети и от бюджета на Националната здравноосигурителна каса, или които не могат да бъдат осигурени в страната</w:t>
      </w:r>
      <w:r>
        <w:t xml:space="preserve">, </w:t>
      </w:r>
      <w:r w:rsidRPr="00112A8D">
        <w:rPr>
          <w:szCs w:val="20"/>
        </w:rPr>
        <w:t xml:space="preserve">както и за осигуряване на средства за заплащане на изпълнителите на медицинска помощ за работа при неблагоприятни условия по време на обявена извънредна епидемична обстановка </w:t>
      </w:r>
      <w:r w:rsidRPr="00AD4425">
        <w:rPr>
          <w:szCs w:val="20"/>
        </w:rPr>
        <w:t xml:space="preserve">поради разпространение на COVID-19 и за поставяне на ваксини срещу COVID-19 за отчетния период </w:t>
      </w:r>
      <w:r w:rsidRPr="00AD4425">
        <w:rPr>
          <w:szCs w:val="20"/>
          <w:lang w:val="en-US"/>
        </w:rPr>
        <w:t>e</w:t>
      </w:r>
      <w:r w:rsidRPr="00AD4425">
        <w:rPr>
          <w:szCs w:val="20"/>
        </w:rPr>
        <w:t xml:space="preserve"> в размер на 354,1</w:t>
      </w:r>
      <w:r w:rsidRPr="00AD4425">
        <w:t xml:space="preserve"> млн. лева. Сумата е по-голяма от предвиденото в ЗБНЗОК за 2022 г., тъй като в</w:t>
      </w:r>
      <w:r w:rsidRPr="00AD4425">
        <w:rPr>
          <w:lang w:eastAsia="bg-BG"/>
        </w:rPr>
        <w:t xml:space="preserve"> изпълнение на ПМС № 76 от 5.05.2022 г.,  ПМС № 128 от 16.06.2022 г.,</w:t>
      </w:r>
      <w:r w:rsidRPr="00AD4425">
        <w:t xml:space="preserve"> ПМС №295 от 28.09.2022 г.</w:t>
      </w:r>
      <w:r w:rsidRPr="00AD4425">
        <w:rPr>
          <w:lang w:eastAsia="bg-BG"/>
        </w:rPr>
        <w:t xml:space="preserve"> и </w:t>
      </w:r>
      <w:r w:rsidRPr="00AD4425">
        <w:t xml:space="preserve">ПМС № 412 от 8.12.2022 г. </w:t>
      </w:r>
      <w:r w:rsidRPr="00AD4425">
        <w:rPr>
          <w:lang w:eastAsia="bg-BG"/>
        </w:rPr>
        <w:t>предвидените средствата са увеличени с 247,5 млн. лв.</w:t>
      </w:r>
    </w:p>
    <w:p w14:paraId="6414A7D6" w14:textId="77777777" w:rsidR="002D17B2" w:rsidRPr="00325F60" w:rsidRDefault="002D17B2" w:rsidP="002D17B2">
      <w:pPr>
        <w:ind w:firstLine="567"/>
        <w:jc w:val="both"/>
      </w:pPr>
      <w:r w:rsidRPr="00325F60">
        <w:t>Трансферите от централния бюджет за здравно осигуряване, за изплащане на допълнителни възнаграждения на медицинския персонал за срока на обявена епидемична обстановка и др. за периода са 2 234,2 млн. лв.</w:t>
      </w:r>
      <w:r>
        <w:t xml:space="preserve"> </w:t>
      </w:r>
      <w:r w:rsidRPr="00F51E6A">
        <w:t xml:space="preserve">В изпълнение на ПМС № 412 от 8.12.2022 г. получените трансфери от централния бюджет по бюджета на Националната здравноосигурителна каса са увеличени с 6,8 млн. лв. за заплащане на здравноосигурителните вноски на лицата с предоставена временна закрила и на лицата по чл. 39, ал. 6, т. 2 и чл. 40а, ал. 3а от Закона за здравното осигуряване, дължими през периода от влизането в сила на Закона </w:t>
      </w:r>
      <w:r w:rsidRPr="00F51E6A">
        <w:lastRenderedPageBreak/>
        <w:t>за изменение и допълнение на Закона за здравното осигуряване (ДВ, бр. 32 от 2022 г.) до края на 2022 г.</w:t>
      </w:r>
    </w:p>
    <w:p w14:paraId="0777B9A7" w14:textId="77777777" w:rsidR="002D17B2" w:rsidRPr="00892BE2" w:rsidRDefault="002D17B2" w:rsidP="002D17B2">
      <w:pPr>
        <w:ind w:firstLine="567"/>
        <w:jc w:val="both"/>
      </w:pPr>
      <w:r w:rsidRPr="00892BE2">
        <w:t xml:space="preserve">Отчетените </w:t>
      </w:r>
      <w:r w:rsidRPr="00892BE2">
        <w:rPr>
          <w:b/>
        </w:rPr>
        <w:t>разходи</w:t>
      </w:r>
      <w:r w:rsidRPr="00892BE2">
        <w:t xml:space="preserve"> към 31.12.2022 г. са в размер на 6 232,0 млн. лв. и представляват 101,9 % от предвидените в актуализирания ЗБНЗОК за 2022 г. 6 116,3 млн. лева. </w:t>
      </w:r>
      <w:r w:rsidRPr="00F51E6A">
        <w:t xml:space="preserve">Преизпълнението спрямо </w:t>
      </w:r>
      <w:r>
        <w:t>закона</w:t>
      </w:r>
      <w:r w:rsidRPr="00F51E6A">
        <w:t xml:space="preserve"> е извършено въз основа приети решения на Надзорния съвет на НЗОК, на основание §1, ал.1 от ПЗР на Закона за бюджета на НЗОК за 2022 г., съгласно който преизпълнението на приходите от здравноосигурителни вноски и неданъчни приходи може да се ползва като източник за допълнителни здравноосигурителни плащания над утвърдените разходи и предоставени трансфери по бюджета на НЗОК.</w:t>
      </w:r>
    </w:p>
    <w:p w14:paraId="1719E747" w14:textId="77777777" w:rsidR="002D17B2" w:rsidRPr="00146FA3" w:rsidRDefault="002D17B2" w:rsidP="002D17B2">
      <w:pPr>
        <w:ind w:firstLine="567"/>
        <w:jc w:val="both"/>
      </w:pPr>
      <w:r w:rsidRPr="00146FA3">
        <w:t>Най-голям относителен дял в общите разходи (9</w:t>
      </w:r>
      <w:r w:rsidRPr="004A2E93">
        <w:rPr>
          <w:lang w:val="ru-RU"/>
        </w:rPr>
        <w:t>3</w:t>
      </w:r>
      <w:r w:rsidRPr="00146FA3">
        <w:t xml:space="preserve">,2 %) заемат здравноосигурителните плащания, които възлизат на </w:t>
      </w:r>
      <w:r w:rsidRPr="004A2E93">
        <w:rPr>
          <w:lang w:val="ru-RU"/>
        </w:rPr>
        <w:t>5</w:t>
      </w:r>
      <w:r w:rsidRPr="00146FA3">
        <w:t xml:space="preserve"> </w:t>
      </w:r>
      <w:r w:rsidRPr="004A2E93">
        <w:rPr>
          <w:lang w:val="ru-RU"/>
        </w:rPr>
        <w:t>807</w:t>
      </w:r>
      <w:r w:rsidRPr="00146FA3">
        <w:t>,</w:t>
      </w:r>
      <w:r w:rsidRPr="004A2E93">
        <w:rPr>
          <w:lang w:val="ru-RU"/>
        </w:rPr>
        <w:t>2</w:t>
      </w:r>
      <w:r w:rsidRPr="00146FA3">
        <w:t xml:space="preserve"> млн. лева. В отделните направления на здравноосигурителни плащания изпълнението на бюджета за 2022 г. е следното:</w:t>
      </w:r>
    </w:p>
    <w:p w14:paraId="57CA5DB1" w14:textId="77777777" w:rsidR="002D17B2" w:rsidRPr="00DB12BD" w:rsidRDefault="002D17B2" w:rsidP="002D17B2">
      <w:pPr>
        <w:numPr>
          <w:ilvl w:val="0"/>
          <w:numId w:val="15"/>
        </w:numPr>
        <w:tabs>
          <w:tab w:val="num" w:pos="0"/>
          <w:tab w:val="left" w:pos="720"/>
          <w:tab w:val="left" w:pos="1134"/>
        </w:tabs>
        <w:spacing w:before="120"/>
        <w:ind w:hanging="6169"/>
        <w:jc w:val="both"/>
        <w:rPr>
          <w:bCs/>
          <w:color w:val="0070C0"/>
        </w:rPr>
      </w:pPr>
      <w:r w:rsidRPr="00A34878">
        <w:rPr>
          <w:b/>
          <w:i/>
        </w:rPr>
        <w:t>първична извънболнична медицинска помощ</w:t>
      </w:r>
      <w:r w:rsidRPr="00A34878">
        <w:rPr>
          <w:i/>
        </w:rPr>
        <w:t xml:space="preserve"> –</w:t>
      </w:r>
      <w:r w:rsidRPr="00A34878">
        <w:t xml:space="preserve"> </w:t>
      </w:r>
      <w:r w:rsidRPr="004A2E93">
        <w:rPr>
          <w:lang w:val="ru-RU"/>
        </w:rPr>
        <w:t>368</w:t>
      </w:r>
      <w:r w:rsidRPr="00A34878">
        <w:t>,</w:t>
      </w:r>
      <w:r w:rsidRPr="004A2E93">
        <w:rPr>
          <w:lang w:val="ru-RU"/>
        </w:rPr>
        <w:t>7</w:t>
      </w:r>
      <w:r w:rsidRPr="00A34878">
        <w:t xml:space="preserve"> млн. лева;</w:t>
      </w:r>
      <w:r w:rsidRPr="00A34878">
        <w:rPr>
          <w:bCs/>
        </w:rPr>
        <w:t xml:space="preserve"> </w:t>
      </w:r>
    </w:p>
    <w:p w14:paraId="09793369" w14:textId="77777777" w:rsidR="002D17B2" w:rsidRPr="00A34878" w:rsidRDefault="002D17B2" w:rsidP="002D17B2">
      <w:pPr>
        <w:numPr>
          <w:ilvl w:val="0"/>
          <w:numId w:val="15"/>
        </w:numPr>
        <w:tabs>
          <w:tab w:val="num" w:pos="0"/>
          <w:tab w:val="left" w:pos="720"/>
          <w:tab w:val="left" w:pos="1134"/>
        </w:tabs>
        <w:ind w:hanging="6169"/>
        <w:jc w:val="both"/>
        <w:rPr>
          <w:i/>
        </w:rPr>
      </w:pPr>
      <w:r w:rsidRPr="00A34878">
        <w:rPr>
          <w:b/>
          <w:i/>
        </w:rPr>
        <w:t xml:space="preserve">специализирана извънболнична медицинска помощ </w:t>
      </w:r>
      <w:r w:rsidRPr="00A34878">
        <w:t xml:space="preserve"> – </w:t>
      </w:r>
      <w:r w:rsidRPr="004A2E93">
        <w:rPr>
          <w:lang w:val="ru-RU"/>
        </w:rPr>
        <w:t>405</w:t>
      </w:r>
      <w:r w:rsidRPr="00A34878">
        <w:t>,</w:t>
      </w:r>
      <w:r w:rsidRPr="004A2E93">
        <w:rPr>
          <w:lang w:val="ru-RU"/>
        </w:rPr>
        <w:t>5</w:t>
      </w:r>
      <w:r w:rsidRPr="00A34878">
        <w:t> млн. лева;</w:t>
      </w:r>
    </w:p>
    <w:p w14:paraId="09B5EA09" w14:textId="77777777" w:rsidR="002D17B2" w:rsidRPr="00A34878" w:rsidRDefault="002D17B2" w:rsidP="002D17B2">
      <w:pPr>
        <w:numPr>
          <w:ilvl w:val="0"/>
          <w:numId w:val="15"/>
        </w:numPr>
        <w:tabs>
          <w:tab w:val="num" w:pos="0"/>
          <w:tab w:val="left" w:pos="720"/>
          <w:tab w:val="left" w:pos="1134"/>
        </w:tabs>
        <w:ind w:hanging="6169"/>
        <w:jc w:val="both"/>
        <w:rPr>
          <w:b/>
        </w:rPr>
      </w:pPr>
      <w:r w:rsidRPr="00A34878">
        <w:rPr>
          <w:b/>
          <w:i/>
        </w:rPr>
        <w:t xml:space="preserve">дентална помощ </w:t>
      </w:r>
      <w:r w:rsidRPr="00A34878">
        <w:rPr>
          <w:b/>
        </w:rPr>
        <w:t xml:space="preserve">– </w:t>
      </w:r>
      <w:r w:rsidRPr="00A34878">
        <w:rPr>
          <w:lang w:val="en-US"/>
        </w:rPr>
        <w:t>25</w:t>
      </w:r>
      <w:r>
        <w:rPr>
          <w:lang w:val="en-US"/>
        </w:rPr>
        <w:t>6</w:t>
      </w:r>
      <w:r w:rsidRPr="00A34878">
        <w:t>,</w:t>
      </w:r>
      <w:r>
        <w:rPr>
          <w:lang w:val="en-US"/>
        </w:rPr>
        <w:t>1</w:t>
      </w:r>
      <w:r w:rsidRPr="00A34878">
        <w:t xml:space="preserve"> млн. лева;</w:t>
      </w:r>
    </w:p>
    <w:p w14:paraId="22E0192A" w14:textId="77777777" w:rsidR="002D17B2" w:rsidRPr="00A34878" w:rsidRDefault="002D17B2" w:rsidP="002D17B2">
      <w:pPr>
        <w:numPr>
          <w:ilvl w:val="0"/>
          <w:numId w:val="15"/>
        </w:numPr>
        <w:tabs>
          <w:tab w:val="num" w:pos="0"/>
          <w:tab w:val="left" w:pos="720"/>
          <w:tab w:val="left" w:pos="1134"/>
        </w:tabs>
        <w:ind w:hanging="6169"/>
        <w:jc w:val="both"/>
        <w:rPr>
          <w:b/>
          <w:i/>
        </w:rPr>
      </w:pPr>
      <w:r w:rsidRPr="00A34878">
        <w:rPr>
          <w:b/>
          <w:i/>
        </w:rPr>
        <w:t xml:space="preserve">медико-диагностична дейност </w:t>
      </w:r>
      <w:r w:rsidRPr="00A34878">
        <w:t xml:space="preserve">– </w:t>
      </w:r>
      <w:r w:rsidRPr="004A2E93">
        <w:rPr>
          <w:lang w:val="ru-RU"/>
        </w:rPr>
        <w:t>196</w:t>
      </w:r>
      <w:r w:rsidRPr="00A34878">
        <w:t>,</w:t>
      </w:r>
      <w:r w:rsidRPr="004A2E93">
        <w:rPr>
          <w:lang w:val="ru-RU"/>
        </w:rPr>
        <w:t>6</w:t>
      </w:r>
      <w:r w:rsidRPr="00A34878">
        <w:t xml:space="preserve"> млн. лева;</w:t>
      </w:r>
      <w:r w:rsidRPr="00A34878">
        <w:rPr>
          <w:b/>
          <w:i/>
        </w:rPr>
        <w:t xml:space="preserve"> </w:t>
      </w:r>
    </w:p>
    <w:p w14:paraId="0A321516" w14:textId="77777777" w:rsidR="002D17B2" w:rsidRPr="00E2366B" w:rsidRDefault="002D17B2" w:rsidP="002D17B2">
      <w:pPr>
        <w:numPr>
          <w:ilvl w:val="0"/>
          <w:numId w:val="15"/>
        </w:numPr>
        <w:tabs>
          <w:tab w:val="num" w:pos="0"/>
          <w:tab w:val="left" w:pos="1134"/>
        </w:tabs>
        <w:ind w:left="1134" w:hanging="425"/>
        <w:jc w:val="both"/>
      </w:pPr>
      <w:r w:rsidRPr="00E2366B">
        <w:rPr>
          <w:b/>
          <w:i/>
        </w:rPr>
        <w:t xml:space="preserve">лекарствени продукти, медицински изделия и диетични храни за домашно лечение на територията на страната  - </w:t>
      </w:r>
      <w:r w:rsidRPr="004A2E93">
        <w:rPr>
          <w:lang w:val="ru-RU"/>
        </w:rPr>
        <w:t>895</w:t>
      </w:r>
      <w:r w:rsidRPr="00E2366B">
        <w:t>,</w:t>
      </w:r>
      <w:r w:rsidRPr="004A2E93">
        <w:rPr>
          <w:lang w:val="ru-RU"/>
        </w:rPr>
        <w:t>6</w:t>
      </w:r>
      <w:r w:rsidRPr="00E2366B">
        <w:t xml:space="preserve"> млн. лв.</w:t>
      </w:r>
    </w:p>
    <w:p w14:paraId="3E5FA2A4" w14:textId="77777777" w:rsidR="002D17B2" w:rsidRPr="00E2366B" w:rsidRDefault="002D17B2" w:rsidP="002D17B2">
      <w:pPr>
        <w:numPr>
          <w:ilvl w:val="0"/>
          <w:numId w:val="15"/>
        </w:numPr>
        <w:tabs>
          <w:tab w:val="num" w:pos="0"/>
          <w:tab w:val="left" w:pos="1134"/>
          <w:tab w:val="num" w:pos="6096"/>
        </w:tabs>
        <w:ind w:left="1134" w:hanging="425"/>
        <w:jc w:val="both"/>
      </w:pPr>
      <w:r w:rsidRPr="00E2366B">
        <w:rPr>
          <w:b/>
          <w:i/>
        </w:rPr>
        <w:t xml:space="preserve"> лекарствени продукти за лечение на злокачествени заболявания в условията на болнична медицинска помощ </w:t>
      </w:r>
      <w:r w:rsidRPr="00E2366B">
        <w:t xml:space="preserve"> – </w:t>
      </w:r>
      <w:r w:rsidRPr="004A2E93">
        <w:rPr>
          <w:lang w:val="ru-RU"/>
        </w:rPr>
        <w:t>612</w:t>
      </w:r>
      <w:r w:rsidRPr="00E2366B">
        <w:t>,</w:t>
      </w:r>
      <w:r w:rsidRPr="004A2E93">
        <w:rPr>
          <w:lang w:val="ru-RU"/>
        </w:rPr>
        <w:t>6</w:t>
      </w:r>
      <w:r w:rsidRPr="00E2366B">
        <w:t xml:space="preserve"> млн. лева;</w:t>
      </w:r>
    </w:p>
    <w:p w14:paraId="75EF4983" w14:textId="77777777" w:rsidR="002D17B2" w:rsidRPr="00E2366B" w:rsidRDefault="002D17B2" w:rsidP="002D17B2">
      <w:pPr>
        <w:numPr>
          <w:ilvl w:val="0"/>
          <w:numId w:val="15"/>
        </w:numPr>
        <w:tabs>
          <w:tab w:val="num" w:pos="0"/>
          <w:tab w:val="left" w:pos="720"/>
          <w:tab w:val="num" w:pos="1134"/>
        </w:tabs>
        <w:ind w:left="1134" w:hanging="425"/>
        <w:jc w:val="both"/>
      </w:pPr>
      <w:r w:rsidRPr="00E2366B">
        <w:rPr>
          <w:b/>
          <w:i/>
        </w:rPr>
        <w:t>медицински изделия, прилагани в болничната  помощ –</w:t>
      </w:r>
      <w:r w:rsidRPr="00E2366B">
        <w:t xml:space="preserve"> </w:t>
      </w:r>
      <w:r w:rsidRPr="004A2E93">
        <w:rPr>
          <w:lang w:val="ru-RU"/>
        </w:rPr>
        <w:t>111</w:t>
      </w:r>
      <w:r w:rsidRPr="00E2366B">
        <w:t>,</w:t>
      </w:r>
      <w:r w:rsidRPr="004A2E93">
        <w:rPr>
          <w:lang w:val="ru-RU"/>
        </w:rPr>
        <w:t>8</w:t>
      </w:r>
      <w:r w:rsidRPr="00E2366B">
        <w:t xml:space="preserve"> млн. лева;</w:t>
      </w:r>
    </w:p>
    <w:p w14:paraId="77E421EB" w14:textId="77777777" w:rsidR="002D17B2" w:rsidRPr="00DB12BD" w:rsidRDefault="002D17B2" w:rsidP="002D17B2">
      <w:pPr>
        <w:numPr>
          <w:ilvl w:val="0"/>
          <w:numId w:val="15"/>
        </w:numPr>
        <w:tabs>
          <w:tab w:val="num" w:pos="0"/>
          <w:tab w:val="left" w:pos="720"/>
          <w:tab w:val="left" w:pos="1134"/>
        </w:tabs>
        <w:ind w:hanging="6169"/>
        <w:jc w:val="both"/>
        <w:rPr>
          <w:color w:val="0070C0"/>
        </w:rPr>
      </w:pPr>
      <w:r w:rsidRPr="00E2366B">
        <w:rPr>
          <w:b/>
          <w:i/>
        </w:rPr>
        <w:t>болнична медицинска помощ –</w:t>
      </w:r>
      <w:r w:rsidRPr="00E2366B">
        <w:t xml:space="preserve"> </w:t>
      </w:r>
      <w:r w:rsidRPr="004A2E93">
        <w:rPr>
          <w:lang w:val="ru-RU"/>
        </w:rPr>
        <w:t>2</w:t>
      </w:r>
      <w:r w:rsidRPr="00E2366B">
        <w:t xml:space="preserve"> </w:t>
      </w:r>
      <w:r w:rsidRPr="004A2E93">
        <w:rPr>
          <w:lang w:val="ru-RU"/>
        </w:rPr>
        <w:t>810</w:t>
      </w:r>
      <w:r w:rsidRPr="00E2366B">
        <w:t>,</w:t>
      </w:r>
      <w:r w:rsidRPr="004A2E93">
        <w:rPr>
          <w:lang w:val="ru-RU"/>
        </w:rPr>
        <w:t>6</w:t>
      </w:r>
      <w:r w:rsidRPr="00E2366B">
        <w:t xml:space="preserve"> млн. лева.</w:t>
      </w:r>
      <w:r w:rsidRPr="00E2366B">
        <w:tab/>
      </w:r>
      <w:r w:rsidRPr="00DB12BD">
        <w:rPr>
          <w:color w:val="0070C0"/>
        </w:rPr>
        <w:t xml:space="preserve"> </w:t>
      </w:r>
    </w:p>
    <w:p w14:paraId="05F633FA" w14:textId="77777777" w:rsidR="002D17B2" w:rsidRPr="00E2366B" w:rsidRDefault="002D17B2" w:rsidP="002D17B2">
      <w:pPr>
        <w:numPr>
          <w:ilvl w:val="0"/>
          <w:numId w:val="15"/>
        </w:numPr>
        <w:tabs>
          <w:tab w:val="num" w:pos="0"/>
          <w:tab w:val="left" w:pos="720"/>
          <w:tab w:val="left" w:pos="1134"/>
        </w:tabs>
        <w:ind w:hanging="6169"/>
        <w:jc w:val="both"/>
      </w:pPr>
      <w:r w:rsidRPr="00E2366B">
        <w:rPr>
          <w:b/>
          <w:i/>
        </w:rPr>
        <w:t xml:space="preserve">други здравноосигурителни плащания – </w:t>
      </w:r>
      <w:r w:rsidRPr="004A2E93">
        <w:rPr>
          <w:lang w:val="ru-RU"/>
        </w:rPr>
        <w:t>149</w:t>
      </w:r>
      <w:r w:rsidRPr="00E2366B">
        <w:t>,7 млн. лева.</w:t>
      </w:r>
    </w:p>
    <w:p w14:paraId="5134BE2F" w14:textId="77777777" w:rsidR="002D17B2" w:rsidRPr="00DB12BD" w:rsidRDefault="002D17B2" w:rsidP="002D17B2">
      <w:pPr>
        <w:spacing w:before="120"/>
        <w:ind w:firstLine="567"/>
        <w:jc w:val="both"/>
        <w:rPr>
          <w:color w:val="0070C0"/>
        </w:rPr>
      </w:pPr>
      <w:r w:rsidRPr="00821D8E">
        <w:t>Като здравноосигурителни плащания следва да се третират и преведените 1</w:t>
      </w:r>
      <w:r w:rsidRPr="004A2E93">
        <w:rPr>
          <w:lang w:val="ru-RU"/>
        </w:rPr>
        <w:t>41</w:t>
      </w:r>
      <w:r w:rsidRPr="00821D8E">
        <w:t>,</w:t>
      </w:r>
      <w:r w:rsidRPr="004A2E93">
        <w:rPr>
          <w:lang w:val="ru-RU"/>
        </w:rPr>
        <w:t>9</w:t>
      </w:r>
      <w:r w:rsidRPr="00821D8E">
        <w:t xml:space="preserve"> млн. лв. трансфери по договори за извършване на медицински услуги към бюджетни организации, в структурата на които има лечебни заведения по чл. 5 от Закона за лечебните заведения. Заедно с преведените трансфери усвоените средства за здравноосигурителни плащания възлизат на </w:t>
      </w:r>
      <w:r w:rsidRPr="004A2E93">
        <w:rPr>
          <w:lang w:val="ru-RU"/>
        </w:rPr>
        <w:t>5</w:t>
      </w:r>
      <w:r w:rsidRPr="00821D8E">
        <w:t> </w:t>
      </w:r>
      <w:r w:rsidRPr="004A2E93">
        <w:rPr>
          <w:lang w:val="ru-RU"/>
        </w:rPr>
        <w:t>949</w:t>
      </w:r>
      <w:r w:rsidRPr="00821D8E">
        <w:t>,1 млн. лева.</w:t>
      </w:r>
    </w:p>
    <w:p w14:paraId="6F70EC09" w14:textId="77777777" w:rsidR="002D17B2" w:rsidRPr="00821D8E" w:rsidRDefault="002D17B2" w:rsidP="002D17B2">
      <w:pPr>
        <w:ind w:firstLine="567"/>
        <w:jc w:val="both"/>
      </w:pPr>
      <w:r w:rsidRPr="00821D8E">
        <w:t xml:space="preserve">За периода са отчетени плащания в размер на </w:t>
      </w:r>
      <w:r w:rsidRPr="004A2E93">
        <w:rPr>
          <w:lang w:val="ru-RU"/>
        </w:rPr>
        <w:t>137</w:t>
      </w:r>
      <w:r w:rsidRPr="00821D8E">
        <w:t>,</w:t>
      </w:r>
      <w:r w:rsidRPr="004A2E93">
        <w:rPr>
          <w:lang w:val="ru-RU"/>
        </w:rPr>
        <w:t>9</w:t>
      </w:r>
      <w:r w:rsidRPr="00821D8E">
        <w:t xml:space="preserve"> млн. лв. от предоставения трансфер  от Министерството на здравеопазването за дейности за </w:t>
      </w:r>
      <w:proofErr w:type="spellStart"/>
      <w:r w:rsidRPr="00821D8E">
        <w:t>здравнонеосигурени</w:t>
      </w:r>
      <w:proofErr w:type="spellEnd"/>
      <w:r w:rsidRPr="00821D8E">
        <w:t xml:space="preserve"> лица, лекарствени продукти и за потребителска такса.</w:t>
      </w:r>
    </w:p>
    <w:p w14:paraId="5A1C02BD" w14:textId="77777777" w:rsidR="002D17B2" w:rsidRPr="00821D8E" w:rsidRDefault="002D17B2" w:rsidP="002D17B2">
      <w:pPr>
        <w:ind w:firstLine="567"/>
        <w:jc w:val="both"/>
      </w:pPr>
      <w:r w:rsidRPr="00821D8E">
        <w:t>По бюджета на НЗОК за 2022 година са утвърдени 95,2 млн. лв. за административни разходи на институцията, които включват разходите за персонал и за текуща издръжка. През 2022 г. са отчетени 84,5 млн. лв., което представлява 88,8 % от годишния разчет. Усвоените средства за административни разходи заемат 1,4 на сто в структурата на общите разходи за отчетния период. Капиталовите разходи, извършени от НЗОК през 2022 г. са 4,5 млн. лв.</w:t>
      </w:r>
    </w:p>
    <w:p w14:paraId="62754EAA" w14:textId="77777777" w:rsidR="00656380" w:rsidRPr="00DB12BD" w:rsidRDefault="00656380" w:rsidP="002763DB">
      <w:pPr>
        <w:ind w:firstLine="567"/>
        <w:jc w:val="both"/>
        <w:rPr>
          <w:color w:val="0070C0"/>
        </w:rPr>
      </w:pPr>
    </w:p>
    <w:p w14:paraId="4957A8EC" w14:textId="77777777" w:rsidR="00B6120B" w:rsidRPr="002F58D7" w:rsidRDefault="00B6120B" w:rsidP="00ED2B9A">
      <w:pPr>
        <w:pStyle w:val="Heading1"/>
        <w:numPr>
          <w:ilvl w:val="1"/>
          <w:numId w:val="9"/>
        </w:numPr>
        <w:spacing w:before="120"/>
        <w:ind w:left="788" w:right="-108" w:hanging="431"/>
        <w:jc w:val="both"/>
        <w:rPr>
          <w:sz w:val="24"/>
        </w:rPr>
      </w:pPr>
      <w:r w:rsidRPr="002F58D7">
        <w:rPr>
          <w:sz w:val="24"/>
        </w:rPr>
        <w:t>Общински бюджети</w:t>
      </w:r>
    </w:p>
    <w:p w14:paraId="6012FCED" w14:textId="77777777" w:rsidR="00750EB3" w:rsidRPr="002F58D7" w:rsidRDefault="00750EB3" w:rsidP="00ED2B9A">
      <w:pPr>
        <w:numPr>
          <w:ilvl w:val="0"/>
          <w:numId w:val="27"/>
        </w:numPr>
        <w:spacing w:before="120" w:line="276" w:lineRule="auto"/>
        <w:jc w:val="both"/>
        <w:rPr>
          <w:b/>
        </w:rPr>
      </w:pPr>
      <w:r w:rsidRPr="002F58D7">
        <w:rPr>
          <w:b/>
        </w:rPr>
        <w:t>Приходи</w:t>
      </w:r>
    </w:p>
    <w:p w14:paraId="0B119A3F" w14:textId="0F0350C6" w:rsidR="002F58D7" w:rsidRPr="00912B5E" w:rsidRDefault="002F58D7" w:rsidP="002F58D7">
      <w:pPr>
        <w:tabs>
          <w:tab w:val="center" w:pos="4153"/>
          <w:tab w:val="right" w:pos="8306"/>
        </w:tabs>
        <w:ind w:firstLine="567"/>
        <w:jc w:val="both"/>
      </w:pPr>
      <w:r w:rsidRPr="00912B5E">
        <w:t xml:space="preserve">Собствените приходи по бюджетите на общините към 31.12.2022 г.  са в размер на </w:t>
      </w:r>
      <w:r w:rsidRPr="00912B5E">
        <w:rPr>
          <w:lang w:val="ru-RU"/>
        </w:rPr>
        <w:t>3</w:t>
      </w:r>
      <w:r w:rsidRPr="00912B5E">
        <w:rPr>
          <w:lang w:val="en-US"/>
        </w:rPr>
        <w:t> </w:t>
      </w:r>
      <w:r w:rsidRPr="00912B5E">
        <w:t>124,0</w:t>
      </w:r>
      <w:r w:rsidRPr="00912B5E">
        <w:rPr>
          <w:bCs/>
        </w:rPr>
        <w:t> м</w:t>
      </w:r>
      <w:r w:rsidRPr="00912B5E">
        <w:t xml:space="preserve">лн. лв., което представлява 113,4 % спрямо разчетените към ЗДБРБ за 2022 г. постъпления в размер на </w:t>
      </w:r>
      <w:r w:rsidRPr="00912B5E">
        <w:rPr>
          <w:bCs/>
        </w:rPr>
        <w:t>2 754,4</w:t>
      </w:r>
      <w:r w:rsidRPr="00912B5E">
        <w:t xml:space="preserve"> млн. лева и с 266,9 млн. лв. повече спрямо събраните през 2021</w:t>
      </w:r>
      <w:r w:rsidR="003B00A6">
        <w:t> </w:t>
      </w:r>
      <w:r w:rsidRPr="00912B5E">
        <w:t>г.</w:t>
      </w:r>
    </w:p>
    <w:p w14:paraId="3D5727D2" w14:textId="3DD45935" w:rsidR="002F58D7" w:rsidRPr="00913A11" w:rsidRDefault="002F58D7" w:rsidP="002F58D7">
      <w:pPr>
        <w:ind w:firstLine="567"/>
        <w:jc w:val="both"/>
        <w:rPr>
          <w:color w:val="4F81BD" w:themeColor="accent1"/>
        </w:rPr>
      </w:pPr>
      <w:r w:rsidRPr="00912B5E">
        <w:rPr>
          <w:i/>
        </w:rPr>
        <w:t>Данъчните приходи</w:t>
      </w:r>
      <w:r w:rsidRPr="00912B5E">
        <w:t xml:space="preserve"> по общинските бюджети са в размер на 1 366,0 млн. лв. или 107,7 %  спрямо годишните разчети към ЗДБРБ за </w:t>
      </w:r>
      <w:r w:rsidRPr="00FD08F5">
        <w:t>2022 г. и с 4,3 % (56,4 млн. лв.) повече спрямо тези за предходната година</w:t>
      </w:r>
      <w:r w:rsidRPr="0035406B">
        <w:t xml:space="preserve">. </w:t>
      </w:r>
      <w:r w:rsidRPr="0035406B">
        <w:rPr>
          <w:bCs/>
        </w:rPr>
        <w:t xml:space="preserve">От </w:t>
      </w:r>
      <w:r w:rsidRPr="0035406B">
        <w:rPr>
          <w:bCs/>
          <w:i/>
        </w:rPr>
        <w:t>имуществени данъци по Закона за местните данъци и такси</w:t>
      </w:r>
      <w:r w:rsidRPr="0035406B">
        <w:rPr>
          <w:bCs/>
        </w:rPr>
        <w:t xml:space="preserve"> в местните бюджети към 31 декември 2022 г. са постъпили общо 1 353,3 млн. лв., което представлява 108,1 % спрямо годишния разчет. </w:t>
      </w:r>
      <w:r w:rsidRPr="0035406B">
        <w:t>С най-значителен дял в приходите от имуществени данъци е данъкът върху придобиването на имущество по дарения и възмезден начин – 39,5 %, следван от данък</w:t>
      </w:r>
      <w:r w:rsidR="00D23BBB">
        <w:t>а</w:t>
      </w:r>
      <w:r w:rsidRPr="0035406B">
        <w:t xml:space="preserve"> върху превозните средства – 30,0 %, данък</w:t>
      </w:r>
      <w:r w:rsidR="00D23BBB">
        <w:t>а</w:t>
      </w:r>
      <w:r w:rsidRPr="0035406B">
        <w:t xml:space="preserve"> върху недвижимите имоти – 28,8 % и туристическия данък – 1,7 %. </w:t>
      </w:r>
      <w:r w:rsidRPr="00E044DD">
        <w:t xml:space="preserve">Най-голям ръст в постъпленията от имуществени данъци бележи данъкът при придобиване на имущество по дарения и </w:t>
      </w:r>
      <w:r w:rsidRPr="00E044DD">
        <w:lastRenderedPageBreak/>
        <w:t xml:space="preserve">възмезден </w:t>
      </w:r>
      <w:r w:rsidRPr="00BC7534">
        <w:t xml:space="preserve">начин – </w:t>
      </w:r>
      <w:r w:rsidR="00D23BBB">
        <w:t xml:space="preserve">с 96,3 млн. лв. </w:t>
      </w:r>
      <w:r w:rsidR="00D23BBB" w:rsidRPr="00D23BBB">
        <w:rPr>
          <w:lang w:val="ru-RU"/>
        </w:rPr>
        <w:t>(</w:t>
      </w:r>
      <w:r w:rsidRPr="00BC7534">
        <w:t>22,0 %</w:t>
      </w:r>
      <w:r w:rsidR="00D23BBB" w:rsidRPr="00D23BBB">
        <w:rPr>
          <w:lang w:val="ru-RU"/>
        </w:rPr>
        <w:t>)</w:t>
      </w:r>
      <w:r w:rsidRPr="00BC7534">
        <w:t xml:space="preserve"> </w:t>
      </w:r>
      <w:r w:rsidR="00D23BBB">
        <w:t xml:space="preserve">повече от </w:t>
      </w:r>
      <w:r w:rsidRPr="00BC7534">
        <w:t>разчет</w:t>
      </w:r>
      <w:r w:rsidR="00D23BBB">
        <w:t xml:space="preserve">ените за годината </w:t>
      </w:r>
      <w:r w:rsidRPr="00BC7534">
        <w:t>и 107,8 % спрямо постъпленията през предходната година. През отчетния период по бюджетите на общините са постъпили 12,7 млн. лв. от патентен данък и данък върху таксиметров превоз на пътници - 76,2</w:t>
      </w:r>
      <w:r w:rsidR="003B00A6">
        <w:t> </w:t>
      </w:r>
      <w:r w:rsidRPr="00BC7534">
        <w:t>% от годишния разчет</w:t>
      </w:r>
      <w:r w:rsidRPr="00BC7534">
        <w:rPr>
          <w:lang w:val="ru-RU"/>
        </w:rPr>
        <w:t>.</w:t>
      </w:r>
      <w:r w:rsidRPr="00BC7534">
        <w:t xml:space="preserve"> Приходите от други данъци са  0,03 млн. л</w:t>
      </w:r>
      <w:r w:rsidR="00AB4E7E">
        <w:t>е</w:t>
      </w:r>
      <w:r w:rsidRPr="00BC7534">
        <w:t>в</w:t>
      </w:r>
      <w:r w:rsidR="00AB4E7E">
        <w:t>а</w:t>
      </w:r>
      <w:r w:rsidRPr="00913A11">
        <w:rPr>
          <w:color w:val="4F81BD" w:themeColor="accent1"/>
        </w:rPr>
        <w:t xml:space="preserve">.  </w:t>
      </w:r>
    </w:p>
    <w:p w14:paraId="539F8153" w14:textId="1368150F" w:rsidR="002F58D7" w:rsidRPr="00913A11" w:rsidRDefault="002F58D7" w:rsidP="002F58D7">
      <w:pPr>
        <w:ind w:firstLine="567"/>
        <w:jc w:val="both"/>
        <w:rPr>
          <w:color w:val="4F81BD" w:themeColor="accent1"/>
        </w:rPr>
      </w:pPr>
      <w:r w:rsidRPr="00BC7534">
        <w:t xml:space="preserve">Общият размер на </w:t>
      </w:r>
      <w:r w:rsidRPr="007A707F">
        <w:rPr>
          <w:i/>
        </w:rPr>
        <w:t>неданъчните приходи</w:t>
      </w:r>
      <w:r w:rsidRPr="007A707F">
        <w:t xml:space="preserve"> по  местните бюджети към 31 декември 2022 г. е 1 733,3 млн. лв. или 117,9 % спрямо разчетите към ЗДБРБ за 2022 г. Най-голям относителен дял заемат приходите от общински такси, които възлизат на 977,1 млн. лв. (108,4</w:t>
      </w:r>
      <w:r w:rsidRPr="007A707F">
        <w:rPr>
          <w:lang w:val="en-US"/>
        </w:rPr>
        <w:t> </w:t>
      </w:r>
      <w:r w:rsidRPr="007A707F">
        <w:t xml:space="preserve">% спрямо разчетените за </w:t>
      </w:r>
      <w:r w:rsidRPr="000E5DD4">
        <w:t>годината), следват приходите и доходите от собственост – 371,6</w:t>
      </w:r>
      <w:r w:rsidRPr="000E5DD4">
        <w:rPr>
          <w:lang w:val="en-US"/>
        </w:rPr>
        <w:t> </w:t>
      </w:r>
      <w:r w:rsidRPr="000E5DD4">
        <w:t>млн. лв. (</w:t>
      </w:r>
      <w:r w:rsidRPr="000E5DD4">
        <w:rPr>
          <w:lang w:val="ru-RU"/>
        </w:rPr>
        <w:t>117</w:t>
      </w:r>
      <w:r w:rsidRPr="000E5DD4">
        <w:t>,6</w:t>
      </w:r>
      <w:r w:rsidR="003B00A6">
        <w:t> </w:t>
      </w:r>
      <w:r w:rsidRPr="000E5DD4">
        <w:t xml:space="preserve">% </w:t>
      </w:r>
      <w:r w:rsidR="00AB4E7E">
        <w:t>спрямо</w:t>
      </w:r>
      <w:r w:rsidRPr="000E5DD4">
        <w:t xml:space="preserve"> разчетените за 2022 г.), постъпленията от продажба на нефинансови активи – 223,9</w:t>
      </w:r>
      <w:r w:rsidR="003B00A6">
        <w:t> </w:t>
      </w:r>
      <w:r w:rsidRPr="000E5DD4">
        <w:t xml:space="preserve">млн. лв. (175,0 % спрямо разчета за годината), постъпленията от глоби, санкции и наказателни лихви – 86,3 млн. лв. (104,4 % </w:t>
      </w:r>
      <w:r w:rsidRPr="004517F3">
        <w:t>спрямо планираните) и приходите от концесии - 66,7</w:t>
      </w:r>
      <w:r w:rsidRPr="004517F3">
        <w:rPr>
          <w:lang w:val="en-US"/>
        </w:rPr>
        <w:t> </w:t>
      </w:r>
      <w:r w:rsidRPr="004517F3">
        <w:t xml:space="preserve">млн. лв. (144,8 % спрямо разчета за 2022 г.). </w:t>
      </w:r>
    </w:p>
    <w:p w14:paraId="2931256B" w14:textId="2F896DC0" w:rsidR="002F58D7" w:rsidRPr="00D45EBA" w:rsidRDefault="002F58D7" w:rsidP="002F58D7">
      <w:pPr>
        <w:ind w:firstLine="567"/>
        <w:jc w:val="both"/>
      </w:pPr>
      <w:r w:rsidRPr="00D45EBA">
        <w:t xml:space="preserve">През отчетния период по общинските бюджети са постъпили 24,7 млн. лв. приходи от </w:t>
      </w:r>
      <w:r w:rsidRPr="00D45EBA">
        <w:rPr>
          <w:i/>
        </w:rPr>
        <w:t>помощи и дарения</w:t>
      </w:r>
      <w:r w:rsidRPr="00D45EBA">
        <w:t xml:space="preserve">, което е 157,4 % </w:t>
      </w:r>
      <w:r w:rsidR="00AB4E7E">
        <w:t>спрямо</w:t>
      </w:r>
      <w:r w:rsidRPr="00D45EBA">
        <w:t xml:space="preserve"> разчетените за годината 15,7 млн. лева. </w:t>
      </w:r>
    </w:p>
    <w:p w14:paraId="5D7552A9" w14:textId="77777777" w:rsidR="002F58D7" w:rsidRPr="008B1A70" w:rsidRDefault="002F58D7" w:rsidP="002F58D7">
      <w:pPr>
        <w:numPr>
          <w:ilvl w:val="0"/>
          <w:numId w:val="28"/>
        </w:numPr>
        <w:tabs>
          <w:tab w:val="num" w:pos="540"/>
        </w:tabs>
        <w:spacing w:before="240" w:line="276" w:lineRule="auto"/>
        <w:ind w:left="714" w:hanging="147"/>
        <w:jc w:val="both"/>
        <w:rPr>
          <w:b/>
        </w:rPr>
      </w:pPr>
      <w:r w:rsidRPr="008B1A70">
        <w:rPr>
          <w:b/>
        </w:rPr>
        <w:t>Разходи</w:t>
      </w:r>
    </w:p>
    <w:p w14:paraId="78F10099" w14:textId="77777777" w:rsidR="002F58D7" w:rsidRPr="008B1A70" w:rsidRDefault="002F58D7" w:rsidP="002F58D7">
      <w:pPr>
        <w:ind w:firstLine="567"/>
        <w:jc w:val="both"/>
      </w:pPr>
      <w:r w:rsidRPr="008B1A70">
        <w:t>Към 31.12. 2022 г. общините са отчели общо разходи в размер на 10</w:t>
      </w:r>
      <w:r w:rsidRPr="008B1A70">
        <w:rPr>
          <w:lang w:val="en-US"/>
        </w:rPr>
        <w:t> </w:t>
      </w:r>
      <w:r w:rsidRPr="008B1A70">
        <w:t>331,8 млн. лв., които представляват 124,3 % спрямо разчетите по ЗДБРБ за 2022 година.</w:t>
      </w:r>
    </w:p>
    <w:p w14:paraId="50B0DA4D" w14:textId="0873A47F" w:rsidR="002F58D7" w:rsidRPr="00913A11" w:rsidRDefault="002F58D7" w:rsidP="002F58D7">
      <w:pPr>
        <w:ind w:firstLine="567"/>
        <w:jc w:val="both"/>
        <w:rPr>
          <w:color w:val="4F81BD" w:themeColor="accent1"/>
          <w:lang w:eastAsia="bg-BG"/>
        </w:rPr>
      </w:pPr>
      <w:r w:rsidRPr="008B1A70">
        <w:rPr>
          <w:i/>
        </w:rPr>
        <w:t>Нелихвените разходи</w:t>
      </w:r>
      <w:r w:rsidRPr="008B1A70">
        <w:t xml:space="preserve"> възлизат на 10 296,4 млн. лв. или 124,4 % спрямо годишния разчет. Разходите за персонал (заплати и възнаграждения, други възнаграждения и плащания за персонала и осигу</w:t>
      </w:r>
      <w:r w:rsidRPr="00E51FC7">
        <w:t xml:space="preserve">рителни вноски) са в размер на 5 656,4 млн. лв. или 115,5 % спрямо планираните за 2022 г. Разходите за издръжка </w:t>
      </w:r>
      <w:r w:rsidRPr="00E51FC7">
        <w:rPr>
          <w:bCs/>
        </w:rPr>
        <w:t>(вкл. разходи за членски внос и участие в нетърговски организации и дейности, платени данъци, такси и административни санкции)</w:t>
      </w:r>
      <w:r w:rsidRPr="00E51FC7">
        <w:t xml:space="preserve"> са в размер на</w:t>
      </w:r>
      <w:r w:rsidRPr="00E51FC7">
        <w:rPr>
          <w:lang w:val="en-US"/>
        </w:rPr>
        <w:t> </w:t>
      </w:r>
      <w:r w:rsidRPr="00E51FC7">
        <w:t>2 696</w:t>
      </w:r>
      <w:r w:rsidRPr="00E51FC7">
        <w:rPr>
          <w:lang w:eastAsia="bg-BG"/>
        </w:rPr>
        <w:t>,3 млн. лв. или 138,4 % спрямо годишния раз</w:t>
      </w:r>
      <w:r w:rsidRPr="00BC5323">
        <w:rPr>
          <w:lang w:eastAsia="bg-BG"/>
        </w:rPr>
        <w:t xml:space="preserve">чет. Разходите за субсидии са в размер на 473,1 млн. лева (214,1 % </w:t>
      </w:r>
      <w:r w:rsidR="00AB4E7E">
        <w:rPr>
          <w:lang w:eastAsia="bg-BG"/>
        </w:rPr>
        <w:t>спрямо</w:t>
      </w:r>
      <w:r w:rsidRPr="00BC5323">
        <w:rPr>
          <w:lang w:eastAsia="bg-BG"/>
        </w:rPr>
        <w:t xml:space="preserve"> годишния разчет). В разходите за субсидии за нефинансови предприятия се отчитат предоставените от общините субсидии за вътрешноградски и междуселищни превози на транспортните фирми и дружества, които се планират в централния бюджет, както и тези, които се предоставят по решение на общинския съвет. Като разходи за субсидии за организации с нестопанска цел се отчитат отпусканите по решение на общинския съвет субсидии по реда на Закона за физкултурата и спорта за подпомагане дейността на спортните клубове в общините (отчитат се в местните </w:t>
      </w:r>
      <w:r w:rsidRPr="00677067">
        <w:rPr>
          <w:lang w:eastAsia="bg-BG"/>
        </w:rPr>
        <w:t>дейности).</w:t>
      </w:r>
      <w:r w:rsidRPr="00677067">
        <w:rPr>
          <w:bCs/>
          <w:lang w:eastAsia="bg-BG"/>
        </w:rPr>
        <w:t xml:space="preserve"> </w:t>
      </w:r>
      <w:r w:rsidRPr="00677067">
        <w:rPr>
          <w:bCs/>
        </w:rPr>
        <w:t>Социалните разходи (</w:t>
      </w:r>
      <w:r w:rsidRPr="00677067">
        <w:t xml:space="preserve">текущи трансфери, обезщетения и помощи за домакинствата, </w:t>
      </w:r>
      <w:r w:rsidRPr="00677067">
        <w:rPr>
          <w:bCs/>
        </w:rPr>
        <w:t>вкл. разходите за стипендии)</w:t>
      </w:r>
      <w:r w:rsidRPr="00677067">
        <w:t xml:space="preserve"> са в размер на 207,6 млн. лв., което е 167,7 % от разчетите към ЗДБРБ за 2022 година.</w:t>
      </w:r>
    </w:p>
    <w:p w14:paraId="2BB3AB65" w14:textId="28EAAF89" w:rsidR="002F58D7" w:rsidRPr="00777A30" w:rsidRDefault="002F58D7" w:rsidP="002F58D7">
      <w:pPr>
        <w:widowControl w:val="0"/>
        <w:tabs>
          <w:tab w:val="center" w:pos="4153"/>
          <w:tab w:val="right" w:pos="8306"/>
        </w:tabs>
        <w:ind w:firstLine="680"/>
        <w:jc w:val="both"/>
      </w:pPr>
      <w:r w:rsidRPr="00777A30">
        <w:rPr>
          <w:lang w:eastAsia="bg-BG"/>
        </w:rPr>
        <w:t xml:space="preserve">Капиталовите разходи са в размер на </w:t>
      </w:r>
      <w:r w:rsidRPr="00777A30">
        <w:rPr>
          <w:lang w:val="ru-RU" w:eastAsia="bg-BG"/>
        </w:rPr>
        <w:t xml:space="preserve">1 </w:t>
      </w:r>
      <w:r w:rsidRPr="00777A30">
        <w:rPr>
          <w:lang w:eastAsia="bg-BG"/>
        </w:rPr>
        <w:t xml:space="preserve">262,9 млн. лв. или 115,8 % </w:t>
      </w:r>
      <w:r w:rsidR="00AB4E7E">
        <w:rPr>
          <w:lang w:eastAsia="bg-BG"/>
        </w:rPr>
        <w:t>спрямо</w:t>
      </w:r>
      <w:r w:rsidRPr="00777A30">
        <w:rPr>
          <w:lang w:eastAsia="bg-BG"/>
        </w:rPr>
        <w:t xml:space="preserve"> разчетите към ЗДБРБ за 2022 г.</w:t>
      </w:r>
      <w:r w:rsidRPr="00777A30">
        <w:t xml:space="preserve"> и формират ръст от </w:t>
      </w:r>
      <w:r w:rsidRPr="00777A30">
        <w:rPr>
          <w:lang w:val="ru-RU"/>
        </w:rPr>
        <w:t>30</w:t>
      </w:r>
      <w:r w:rsidRPr="00777A30">
        <w:t>,5 % спрямо отчетените за 2021 г</w:t>
      </w:r>
      <w:r w:rsidRPr="00777A30">
        <w:rPr>
          <w:lang w:val="ru-RU"/>
        </w:rPr>
        <w:t>.</w:t>
      </w:r>
      <w:r w:rsidRPr="00777A30">
        <w:t xml:space="preserve"> </w:t>
      </w:r>
    </w:p>
    <w:p w14:paraId="26C2F8FE" w14:textId="73EB33B6" w:rsidR="002F58D7" w:rsidRDefault="002F58D7" w:rsidP="002F58D7">
      <w:pPr>
        <w:ind w:firstLine="567"/>
        <w:jc w:val="both"/>
      </w:pPr>
      <w:r w:rsidRPr="00777A30">
        <w:rPr>
          <w:i/>
        </w:rPr>
        <w:t>Разходите за лихви</w:t>
      </w:r>
      <w:r w:rsidRPr="00777A30">
        <w:t xml:space="preserve"> възлизат на </w:t>
      </w:r>
      <w:r w:rsidRPr="00777A30">
        <w:rPr>
          <w:lang w:val="ru-RU"/>
        </w:rPr>
        <w:t>35</w:t>
      </w:r>
      <w:r>
        <w:t xml:space="preserve">,4 млн. лв. и са </w:t>
      </w:r>
      <w:r w:rsidRPr="00777A30">
        <w:rPr>
          <w:lang w:val="ru-RU"/>
        </w:rPr>
        <w:t>102</w:t>
      </w:r>
      <w:r>
        <w:t>,</w:t>
      </w:r>
      <w:r w:rsidRPr="00777A30">
        <w:rPr>
          <w:lang w:val="ru-RU"/>
        </w:rPr>
        <w:t>5</w:t>
      </w:r>
      <w:r>
        <w:t xml:space="preserve"> % </w:t>
      </w:r>
      <w:r w:rsidR="00AB4E7E">
        <w:t>спрямо</w:t>
      </w:r>
      <w:r>
        <w:t xml:space="preserve"> разчетите за 2022 г. Отчетените повече лихви, над разчетените, са </w:t>
      </w:r>
      <w:r w:rsidR="00AB4E7E">
        <w:t xml:space="preserve">резултат от </w:t>
      </w:r>
      <w:r>
        <w:t xml:space="preserve">извършени от общините други разходи за лихви (за забавено изпълнение по сключени договори). В сравнение с </w:t>
      </w:r>
      <w:r w:rsidR="00AB4E7E">
        <w:t>предходна</w:t>
      </w:r>
      <w:r>
        <w:t>та година лихвените плащания са намалели с 0,8 млн. лв. Отчетените разходи за лихви по заеми от чужбина са в размер на 16,2 млн. лв., по облигационни заеми са 1,7 млн. лв., по заеми към местни банки и др. лица от страната („ФЛАГ“ ЕАД, ФЕЕ и др.) са 12,2 млн. лв. Лихвите по задължения, поети от общините под формата на финансов лизинг и търговски кредит са 0,2</w:t>
      </w:r>
      <w:r w:rsidR="003B00A6">
        <w:t> </w:t>
      </w:r>
      <w:r>
        <w:t>млн. лв.; по заеми, предоставени от централния бюджет (лихви за забава) са 0,2 млн. лв., а отчетените др. лихвени плащания (по изпълнителни листове, за забавено изпълнение по сключени договори и др.) са в размер на 4,9 млн. лв.</w:t>
      </w:r>
    </w:p>
    <w:p w14:paraId="20D6DDB3" w14:textId="77777777" w:rsidR="002F58D7" w:rsidRDefault="002F58D7" w:rsidP="002F58D7">
      <w:pPr>
        <w:tabs>
          <w:tab w:val="center" w:pos="4153"/>
          <w:tab w:val="right" w:pos="8306"/>
        </w:tabs>
        <w:ind w:firstLine="567"/>
        <w:jc w:val="both"/>
      </w:pPr>
      <w:r>
        <w:t>Общият размер на отчетените разходи за дофинансиране на делегираните от държавата дейности с местни приходи е 266,3 млн. лева.</w:t>
      </w:r>
    </w:p>
    <w:p w14:paraId="6E03E30F" w14:textId="77777777" w:rsidR="002F58D7" w:rsidRDefault="002F58D7" w:rsidP="002F58D7">
      <w:pPr>
        <w:widowControl w:val="0"/>
        <w:tabs>
          <w:tab w:val="center" w:pos="4153"/>
          <w:tab w:val="right" w:pos="8306"/>
        </w:tabs>
        <w:ind w:firstLine="680"/>
        <w:jc w:val="both"/>
        <w:rPr>
          <w:b/>
          <w:color w:val="4F81BD" w:themeColor="accent1"/>
        </w:rPr>
      </w:pPr>
    </w:p>
    <w:p w14:paraId="262A97C8" w14:textId="77777777" w:rsidR="002F58D7" w:rsidRPr="003B00A6" w:rsidRDefault="002F58D7" w:rsidP="002F58D7">
      <w:pPr>
        <w:pStyle w:val="ListParagraph"/>
        <w:widowControl w:val="0"/>
        <w:numPr>
          <w:ilvl w:val="0"/>
          <w:numId w:val="35"/>
        </w:numPr>
        <w:tabs>
          <w:tab w:val="center" w:pos="4153"/>
          <w:tab w:val="right" w:pos="8306"/>
        </w:tabs>
        <w:spacing w:after="0" w:line="240" w:lineRule="auto"/>
        <w:ind w:left="900"/>
        <w:rPr>
          <w:rFonts w:ascii="Times New Roman" w:hAnsi="Times New Roman"/>
          <w:b/>
        </w:rPr>
      </w:pPr>
      <w:r w:rsidRPr="003B00A6">
        <w:rPr>
          <w:rFonts w:ascii="Times New Roman" w:hAnsi="Times New Roman"/>
          <w:b/>
        </w:rPr>
        <w:t>Финансиране</w:t>
      </w:r>
    </w:p>
    <w:p w14:paraId="6680B5E9" w14:textId="47912CC9" w:rsidR="002F58D7" w:rsidRPr="00FE1395" w:rsidRDefault="002F58D7" w:rsidP="002F58D7">
      <w:pPr>
        <w:pStyle w:val="BodyText"/>
        <w:widowControl w:val="0"/>
        <w:ind w:firstLine="567"/>
      </w:pPr>
      <w:r w:rsidRPr="00FE1395">
        <w:t xml:space="preserve">През 2022 г. получените средства по външни заеми са 35,2 млн. лв. и са отчетени от Столична община по договор с чуждестранен кредитор (за финансиране на проект Изграждане и реконструкция на основни пътни артерии в град София). Изплатените главници по външните заеми за същия период по общинските бюджети са в размер на 45,5 млн. лв. (от Столична </w:t>
      </w:r>
      <w:r w:rsidRPr="00FE1395">
        <w:lastRenderedPageBreak/>
        <w:t>община - 36,4 млн. лв., от община Варна – 3,7 млн. лв., от Пловдив – 3,1 млн. лв., Бургас – 2,0</w:t>
      </w:r>
      <w:r w:rsidR="00394441">
        <w:t> </w:t>
      </w:r>
      <w:r w:rsidRPr="00FE1395">
        <w:t xml:space="preserve">млн. лв. и от община Ловеч 0,3 млн. лв.). </w:t>
      </w:r>
    </w:p>
    <w:p w14:paraId="72CF9B36" w14:textId="01D0A183" w:rsidR="002F58D7" w:rsidRPr="00FE1395" w:rsidRDefault="002F58D7" w:rsidP="002F58D7">
      <w:pPr>
        <w:pStyle w:val="BodyText"/>
        <w:widowControl w:val="0"/>
        <w:ind w:firstLine="567"/>
      </w:pPr>
      <w:r w:rsidRPr="00FE1395">
        <w:t>За отчетния период получените заемни средства от банки в страната са в размер на 114,2</w:t>
      </w:r>
      <w:r w:rsidR="00394441">
        <w:t> </w:t>
      </w:r>
      <w:r w:rsidRPr="00FE1395">
        <w:t xml:space="preserve"> млн. лв., а от други местни лица са 142,2 млн. лв. (в т.ч. 118,7 млн. лв. от „ФЛАГ“ ЕАД) или общо получените от страната заемни средства от страната са 256,4 млн. лв. Изплатените главници по банкови заеми от страната са 103,8  млн. лв., а по заеми от др. лица са 99,9  млн. лв. (в т.ч. 95,5 млн. лв. към „ФЛАГ“ ЕАД ) или общо платените главници са в размер на 203,7</w:t>
      </w:r>
      <w:r w:rsidR="00394441">
        <w:t> </w:t>
      </w:r>
      <w:r w:rsidRPr="00FE1395">
        <w:t>млн. лв. Размерът на получените от страната заемни средства за периода е по-голям от погасените, поради което нетният размер на операциите по тези заеми е положителен и е 52,7</w:t>
      </w:r>
      <w:r w:rsidR="00394441">
        <w:t> </w:t>
      </w:r>
      <w:r w:rsidRPr="00FE1395">
        <w:t>млн. лв. За 2021 г., получените заемни средства от банки в страната и др. местни лица са 187,4 млн. лв., а погашенията са 165,9 млн. лв. т.е. нетният размер на операциите по тези заеми също е бил положителен, но в по-малък размер (21,5 млн. лв.). Основен кредитор на общините от лица в страната е „ФЛАГ“ ЕАД</w:t>
      </w:r>
      <w:r w:rsidR="00AB4E7E">
        <w:t>, с чиито</w:t>
      </w:r>
      <w:r w:rsidRPr="00FE1395">
        <w:t xml:space="preserve"> заеми общините финансират най-вече изпълнението на европейски проекти, като една част от тях са ползвани за финансиране на допустимите разходи, а другата част </w:t>
      </w:r>
      <w:r w:rsidR="00AB4E7E">
        <w:t>- за</w:t>
      </w:r>
      <w:r w:rsidRPr="00FE1395">
        <w:t xml:space="preserve"> финансиране на собственото участие на общините в проектите. Освен „ФЛАГ“ ЕАД, друг кредитор от тази група е Фонд „Енергийна ефективност“, с който общините сключват договори за заеми за финансиране на проекти по саниране на сгради</w:t>
      </w:r>
      <w:r w:rsidR="00AB4E7E">
        <w:t xml:space="preserve"> -</w:t>
      </w:r>
      <w:r w:rsidRPr="00FE1395">
        <w:t xml:space="preserve"> общинска собственост</w:t>
      </w:r>
      <w:r w:rsidR="00AB4E7E">
        <w:t>,</w:t>
      </w:r>
      <w:r w:rsidRPr="00FE1395">
        <w:t xml:space="preserve"> и въвеждане на мерки за енергийна ефективност, както и регионалните фондове за градско развитие.  </w:t>
      </w:r>
    </w:p>
    <w:p w14:paraId="21825237" w14:textId="77777777" w:rsidR="002F58D7" w:rsidRPr="00913A11" w:rsidRDefault="002F58D7" w:rsidP="002F58D7">
      <w:pPr>
        <w:pStyle w:val="BodyText"/>
        <w:widowControl w:val="0"/>
        <w:ind w:firstLine="567"/>
        <w:rPr>
          <w:color w:val="4F81BD" w:themeColor="accent1"/>
        </w:rPr>
      </w:pPr>
      <w:r>
        <w:rPr>
          <w:rFonts w:eastAsia="Calibri"/>
        </w:rPr>
        <w:t xml:space="preserve">Погашенията по емитирани през предходни периоди общински ценни книжа са в размер на 18,3 млн. лв. и са отчетени от 10 общини. За отчетния период е емитиран нов общински дълг от община Кюстендил в размер на 8,5 млн. лв. за заплащане на установени публични вземания по изпълнително дело. </w:t>
      </w:r>
      <w:r w:rsidRPr="00913A11">
        <w:rPr>
          <w:color w:val="4F81BD" w:themeColor="accent1"/>
        </w:rPr>
        <w:t xml:space="preserve"> </w:t>
      </w:r>
    </w:p>
    <w:p w14:paraId="1F98DB87" w14:textId="55688FCE" w:rsidR="002F58D7" w:rsidRPr="00913A11" w:rsidRDefault="002F58D7" w:rsidP="002F58D7">
      <w:pPr>
        <w:ind w:firstLine="567"/>
        <w:jc w:val="both"/>
        <w:rPr>
          <w:color w:val="4F81BD" w:themeColor="accent1"/>
        </w:rPr>
      </w:pPr>
      <w:r>
        <w:rPr>
          <w:rFonts w:eastAsia="Calibri"/>
        </w:rPr>
        <w:t>Отчетените средства под формата на друго финансиране /нето/ по общинските бюджети към 31.12.2022 г. е (-7,2) млн. лв., като тук основно с</w:t>
      </w:r>
      <w:r w:rsidR="00AB4E7E">
        <w:rPr>
          <w:rFonts w:eastAsia="Calibri"/>
        </w:rPr>
        <w:t>е</w:t>
      </w:r>
      <w:r>
        <w:rPr>
          <w:rFonts w:eastAsia="Calibri"/>
        </w:rPr>
        <w:t xml:space="preserve"> отчита превеждането /резервиране/ на суми по реда на чл. 60 и чл. 64 от Закона за управление на отпадъците по сметката за чужди средства на съответната РИОСВ, </w:t>
      </w:r>
      <w:r w:rsidR="00AB4E7E">
        <w:rPr>
          <w:rFonts w:eastAsia="Calibri"/>
        </w:rPr>
        <w:t xml:space="preserve">както </w:t>
      </w:r>
      <w:r>
        <w:rPr>
          <w:rFonts w:eastAsia="Calibri"/>
        </w:rPr>
        <w:t>и възстановените на общините през 2022 г. такива средства. Нетният размер за 2022 г. на задълженията и погашенията по финансов лизинг и търговски кредити, като форми на дълг, е в размер на 0,6 млн. лв. (поетите задължения са 4,3</w:t>
      </w:r>
      <w:r w:rsidR="00394441">
        <w:rPr>
          <w:rFonts w:eastAsia="Calibri"/>
        </w:rPr>
        <w:t> </w:t>
      </w:r>
      <w:r>
        <w:rPr>
          <w:rFonts w:eastAsia="Calibri"/>
        </w:rPr>
        <w:t xml:space="preserve"> млн. лв., а погашенията са 3,7 млн. лв.).</w:t>
      </w:r>
    </w:p>
    <w:p w14:paraId="462A91D3" w14:textId="77777777" w:rsidR="002F58D7" w:rsidRDefault="002F58D7" w:rsidP="002F58D7">
      <w:pPr>
        <w:ind w:firstLine="567"/>
        <w:jc w:val="both"/>
        <w:rPr>
          <w:rFonts w:eastAsia="Calibri"/>
        </w:rPr>
      </w:pPr>
      <w:r>
        <w:rPr>
          <w:rFonts w:eastAsia="Calibri"/>
        </w:rPr>
        <w:t xml:space="preserve">Към 31.12.2022 г. отчетеният от общините нетен размер на операциите по придобиване на дялове, акции и съучастия е (-10,8) млн. лв., на предоставената възмездна финансова помощ е (-10,5) млн. лв., а нетният размер на предоставените от общините кредити е (-12,8) млн. лв. </w:t>
      </w:r>
    </w:p>
    <w:p w14:paraId="6A2925F0" w14:textId="7EAB4C51" w:rsidR="002F58D7" w:rsidRPr="009B1D9F" w:rsidRDefault="002F58D7" w:rsidP="002F58D7">
      <w:pPr>
        <w:ind w:firstLine="567"/>
        <w:jc w:val="both"/>
      </w:pPr>
      <w:r w:rsidRPr="009B1D9F">
        <w:t xml:space="preserve">Средствата, отчетени по общинските бюджети от приватизация, са в размер на </w:t>
      </w:r>
      <w:r w:rsidR="00AB4E7E">
        <w:t>8,0</w:t>
      </w:r>
      <w:r w:rsidRPr="009B1D9F">
        <w:t xml:space="preserve"> млн.</w:t>
      </w:r>
      <w:r w:rsidR="00AB4E7E">
        <w:t> </w:t>
      </w:r>
      <w:r w:rsidRPr="009B1D9F">
        <w:t>лева.</w:t>
      </w:r>
    </w:p>
    <w:p w14:paraId="47A163AB" w14:textId="56EE807D" w:rsidR="002F58D7" w:rsidRDefault="002F58D7" w:rsidP="002F58D7">
      <w:pPr>
        <w:widowControl w:val="0"/>
        <w:ind w:firstLine="708"/>
        <w:jc w:val="both"/>
        <w:rPr>
          <w:rFonts w:eastAsia="Calibri"/>
        </w:rPr>
      </w:pPr>
      <w:r>
        <w:rPr>
          <w:rFonts w:eastAsia="Calibri"/>
        </w:rPr>
        <w:t xml:space="preserve">Преходният остатък по общинските бюджети </w:t>
      </w:r>
      <w:r w:rsidR="00AB4E7E">
        <w:rPr>
          <w:rFonts w:eastAsia="Calibri"/>
        </w:rPr>
        <w:t xml:space="preserve">от 2021 г. </w:t>
      </w:r>
      <w:r>
        <w:rPr>
          <w:rFonts w:eastAsia="Calibri"/>
        </w:rPr>
        <w:t>е 1 599,3 млн. лв., а наличността към края на 2022 г. (по банкови сметки и каса) е в размер на 2 162,0 млн. лв., като 1 450,3 млн. лв. (67,1</w:t>
      </w:r>
      <w:r w:rsidR="004103D4" w:rsidRPr="00BA2B6D">
        <w:rPr>
          <w:rFonts w:eastAsia="Calibri"/>
          <w:lang w:val="ru-RU"/>
        </w:rPr>
        <w:t xml:space="preserve"> </w:t>
      </w:r>
      <w:r>
        <w:rPr>
          <w:rFonts w:eastAsia="Calibri"/>
        </w:rPr>
        <w:t xml:space="preserve">%) са отчетени като остатък в местните дейности, а 711,7 млн. лв. (32,9 %) в държавните дейности. </w:t>
      </w:r>
    </w:p>
    <w:p w14:paraId="4A0D01C1" w14:textId="77777777" w:rsidR="002C4D33" w:rsidRPr="00DB12BD" w:rsidRDefault="002C4D33" w:rsidP="00FD362E">
      <w:pPr>
        <w:pStyle w:val="BodyText"/>
        <w:spacing w:after="120"/>
        <w:ind w:firstLine="567"/>
        <w:rPr>
          <w:color w:val="0070C0"/>
          <w:sz w:val="18"/>
          <w:szCs w:val="12"/>
        </w:rPr>
      </w:pPr>
    </w:p>
    <w:p w14:paraId="0D193125" w14:textId="77777777" w:rsidR="00913197" w:rsidRPr="00441E6A" w:rsidRDefault="00913197" w:rsidP="00ED2B9A">
      <w:pPr>
        <w:pStyle w:val="Heading1"/>
        <w:numPr>
          <w:ilvl w:val="1"/>
          <w:numId w:val="9"/>
        </w:numPr>
        <w:spacing w:before="120"/>
        <w:ind w:left="788" w:right="-108" w:hanging="431"/>
        <w:jc w:val="both"/>
        <w:rPr>
          <w:sz w:val="24"/>
        </w:rPr>
      </w:pPr>
      <w:bookmarkStart w:id="107" w:name="_Toc109906108"/>
      <w:r w:rsidRPr="00441E6A">
        <w:rPr>
          <w:sz w:val="24"/>
        </w:rPr>
        <w:t>Бюджети на Българската национална телевизия, Българското национално радио  и Българската телеграфна агенция</w:t>
      </w:r>
      <w:bookmarkEnd w:id="107"/>
      <w:r w:rsidRPr="00441E6A">
        <w:rPr>
          <w:sz w:val="24"/>
        </w:rPr>
        <w:t xml:space="preserve"> </w:t>
      </w:r>
    </w:p>
    <w:p w14:paraId="0D94A385" w14:textId="6BC556E6" w:rsidR="00441E6A" w:rsidRPr="00DB12BD" w:rsidRDefault="00441E6A" w:rsidP="00441E6A">
      <w:pPr>
        <w:spacing w:before="240"/>
        <w:ind w:firstLine="567"/>
        <w:jc w:val="both"/>
        <w:rPr>
          <w:color w:val="0070C0"/>
          <w:szCs w:val="20"/>
        </w:rPr>
      </w:pPr>
      <w:r w:rsidRPr="00E52A10">
        <w:rPr>
          <w:b/>
        </w:rPr>
        <w:t xml:space="preserve">Приходите на Българската </w:t>
      </w:r>
      <w:r w:rsidRPr="00E71BE5">
        <w:rPr>
          <w:b/>
        </w:rPr>
        <w:t xml:space="preserve">национална телевизия (БНТ) </w:t>
      </w:r>
      <w:r w:rsidRPr="00E71BE5">
        <w:t xml:space="preserve">към 31.12.2022 г. са в размер на 10,7 млн. лв. при планирани за годината 10,0 млн. лв. или за отчетния период  постъпилите средства са с 6,5 % повече от планираните. </w:t>
      </w:r>
      <w:r w:rsidRPr="00E71BE5">
        <w:rPr>
          <w:szCs w:val="20"/>
        </w:rPr>
        <w:t>Отчетените приходи са постъпления от продажба на услуги, стоки и продукция (</w:t>
      </w:r>
      <w:r w:rsidRPr="00946807">
        <w:rPr>
          <w:szCs w:val="20"/>
        </w:rPr>
        <w:t>реклама, технически услуги, продажба на програми, приходи от почивно дело, приходи от участия в предизборни форми</w:t>
      </w:r>
      <w:r w:rsidRPr="00E71BE5">
        <w:rPr>
          <w:szCs w:val="20"/>
        </w:rPr>
        <w:t>)</w:t>
      </w:r>
      <w:r>
        <w:rPr>
          <w:szCs w:val="20"/>
        </w:rPr>
        <w:t>,</w:t>
      </w:r>
      <w:r w:rsidRPr="00E71BE5">
        <w:rPr>
          <w:szCs w:val="20"/>
        </w:rPr>
        <w:t xml:space="preserve"> наеми на имущество</w:t>
      </w:r>
      <w:r>
        <w:rPr>
          <w:szCs w:val="20"/>
        </w:rPr>
        <w:t xml:space="preserve">, </w:t>
      </w:r>
      <w:r w:rsidRPr="00946807">
        <w:rPr>
          <w:szCs w:val="20"/>
        </w:rPr>
        <w:t>глоби, санкции и наказателни лихви, помощи и дарения от страната и чужбина и др.</w:t>
      </w:r>
    </w:p>
    <w:p w14:paraId="1A51CE9B" w14:textId="77777777" w:rsidR="00441E6A" w:rsidRPr="001D2F63" w:rsidRDefault="00441E6A" w:rsidP="00441E6A">
      <w:pPr>
        <w:ind w:firstLine="567"/>
        <w:jc w:val="both"/>
      </w:pPr>
      <w:r w:rsidRPr="001D2F63">
        <w:t xml:space="preserve">Отчетените </w:t>
      </w:r>
      <w:r w:rsidRPr="001D2F63">
        <w:rPr>
          <w:b/>
        </w:rPr>
        <w:t>разходи</w:t>
      </w:r>
      <w:r w:rsidRPr="001D2F63">
        <w:t xml:space="preserve"> </w:t>
      </w:r>
      <w:r w:rsidRPr="001D2F63">
        <w:rPr>
          <w:b/>
        </w:rPr>
        <w:t>на БНТ</w:t>
      </w:r>
      <w:r w:rsidRPr="001D2F63">
        <w:t xml:space="preserve"> към 31.12.2022 г. са в размер на 93,8 млн. лв. или 102,4 % спрямо предвидените разходи в годишния разчет. </w:t>
      </w:r>
      <w:r w:rsidRPr="001D2F63">
        <w:rPr>
          <w:szCs w:val="20"/>
        </w:rPr>
        <w:t xml:space="preserve">За годината са отчетени 71,8 млн. лв. текущи разходи и 22,0 млн. лв. капиталови разходи. В разпределението на разходите по бюджета на обществената медия е включен преходният остатък за 2021 г. (съгл. чл. 70, ал. 6 от Закона за радиото и телевизията) в размер на 1,1 млн. лв. За отчетния период  средствата са усвоени за </w:t>
      </w:r>
      <w:r w:rsidRPr="001D2F63">
        <w:rPr>
          <w:szCs w:val="20"/>
        </w:rPr>
        <w:lastRenderedPageBreak/>
        <w:t xml:space="preserve">реализирането на основните цели и дейности на БНТ по подготовката, създаването и разпространението на телевизионни програми съгласно разпоредбите на Закона за радиото и телевизията. </w:t>
      </w:r>
    </w:p>
    <w:p w14:paraId="4F6FC701" w14:textId="77777777" w:rsidR="00441E6A" w:rsidRPr="00910F18" w:rsidRDefault="00441E6A" w:rsidP="00441E6A">
      <w:pPr>
        <w:pStyle w:val="Title"/>
        <w:ind w:firstLine="567"/>
        <w:jc w:val="both"/>
        <w:rPr>
          <w:b w:val="0"/>
        </w:rPr>
      </w:pPr>
      <w:r w:rsidRPr="00910F18">
        <w:rPr>
          <w:b w:val="0"/>
        </w:rPr>
        <w:t>Общо утвърдените с чл. 49, т. 2 от ЗДБРБ за 2022 г.</w:t>
      </w:r>
      <w:r w:rsidRPr="00910F18">
        <w:t xml:space="preserve"> </w:t>
      </w:r>
      <w:r w:rsidRPr="00910F18">
        <w:rPr>
          <w:i/>
        </w:rPr>
        <w:t>бюджетни взаимоотношения на БНТ с централния бюджет</w:t>
      </w:r>
      <w:r w:rsidRPr="00910F18">
        <w:rPr>
          <w:b w:val="0"/>
        </w:rPr>
        <w:t xml:space="preserve"> са в размер на 80,6 млн. лв. Съгласно ПМС № 31/2022 г., ПМС № 241/2022 г. и ПМС № 436/2022 г. са одобрени 3,0 млн. лв. допълнителни трансфери.</w:t>
      </w:r>
    </w:p>
    <w:p w14:paraId="0E326222" w14:textId="77777777" w:rsidR="00441E6A" w:rsidRPr="00973588" w:rsidRDefault="00441E6A" w:rsidP="00441E6A">
      <w:pPr>
        <w:pStyle w:val="Title"/>
        <w:ind w:firstLine="567"/>
        <w:jc w:val="both"/>
        <w:rPr>
          <w:b w:val="0"/>
        </w:rPr>
      </w:pPr>
      <w:r w:rsidRPr="00910F18">
        <w:rPr>
          <w:b w:val="0"/>
        </w:rPr>
        <w:tab/>
        <w:t xml:space="preserve">Към 31.12.2022 г. е усвоена сума в размер на 83,6 млн. лв. или 100,0 % от размера </w:t>
      </w:r>
      <w:r w:rsidRPr="00973588">
        <w:rPr>
          <w:b w:val="0"/>
        </w:rPr>
        <w:t>на бюджетните взаимоотношения на БНТ с централния бюджет по уточнен план.</w:t>
      </w:r>
    </w:p>
    <w:p w14:paraId="3DEB73FD" w14:textId="77777777" w:rsidR="00441E6A" w:rsidRDefault="00441E6A" w:rsidP="00441E6A">
      <w:pPr>
        <w:ind w:firstLine="708"/>
        <w:jc w:val="both"/>
      </w:pPr>
    </w:p>
    <w:p w14:paraId="0CCD8F40" w14:textId="77777777" w:rsidR="00441E6A" w:rsidRPr="00973588" w:rsidRDefault="00441E6A" w:rsidP="00441E6A">
      <w:pPr>
        <w:ind w:firstLine="708"/>
        <w:jc w:val="both"/>
        <w:rPr>
          <w:b/>
          <w:color w:val="0070C0"/>
        </w:rPr>
      </w:pPr>
      <w:r w:rsidRPr="00973588">
        <w:rPr>
          <w:b/>
        </w:rPr>
        <w:t>Приходите по бюджета на Българското национално радио (БНР)</w:t>
      </w:r>
      <w:r w:rsidRPr="00973588">
        <w:t xml:space="preserve"> към 31.12.2022 г. са в размер на 1,4 млн. лв., което представлява 77,9 % от заложените приходи в разчетите към ЗДБРБ за 2022 г. - 1,8 млн. лв. По-ниският процент изпълнение на приходите спрямо планираните за 2022 г. се дължи на отчетени по-ниски постъпления от рекламна дейност</w:t>
      </w:r>
      <w:r w:rsidRPr="00973588">
        <w:rPr>
          <w:szCs w:val="20"/>
        </w:rPr>
        <w:t>.</w:t>
      </w:r>
      <w:r w:rsidRPr="00973588">
        <w:t xml:space="preserve"> </w:t>
      </w:r>
      <w:r w:rsidRPr="00927821">
        <w:rPr>
          <w:szCs w:val="20"/>
        </w:rPr>
        <w:t xml:space="preserve">Отчетените приходи са постъпления от продажба на услуги, стоки и продукция </w:t>
      </w:r>
      <w:r w:rsidRPr="004A2E93">
        <w:rPr>
          <w:szCs w:val="20"/>
          <w:lang w:val="ru-RU"/>
        </w:rPr>
        <w:t>(</w:t>
      </w:r>
      <w:r w:rsidRPr="00927821">
        <w:rPr>
          <w:szCs w:val="20"/>
        </w:rPr>
        <w:t>реклама, спонсорство, технически услуги, съвместни продукции, приходи от концертна дейност и лицензионна дейност</w:t>
      </w:r>
      <w:r w:rsidRPr="004A2E93">
        <w:rPr>
          <w:szCs w:val="20"/>
          <w:lang w:val="ru-RU"/>
        </w:rPr>
        <w:t>)</w:t>
      </w:r>
      <w:r w:rsidRPr="00927821">
        <w:rPr>
          <w:szCs w:val="20"/>
        </w:rPr>
        <w:t>, наеми на имущество, глоби, санкции и наказателни лихви,  помощи и дарения от страната и чужбина и др.</w:t>
      </w:r>
      <w:r>
        <w:rPr>
          <w:szCs w:val="20"/>
        </w:rPr>
        <w:t xml:space="preserve"> </w:t>
      </w:r>
    </w:p>
    <w:p w14:paraId="44FD31AA" w14:textId="77777777" w:rsidR="00441E6A" w:rsidRPr="00DB12BD" w:rsidRDefault="00441E6A" w:rsidP="00441E6A">
      <w:pPr>
        <w:ind w:firstLine="567"/>
        <w:jc w:val="both"/>
        <w:rPr>
          <w:color w:val="0070C0"/>
          <w:szCs w:val="20"/>
        </w:rPr>
      </w:pPr>
      <w:r w:rsidRPr="005158E9">
        <w:rPr>
          <w:szCs w:val="20"/>
        </w:rPr>
        <w:t xml:space="preserve">Изпълнението на </w:t>
      </w:r>
      <w:r w:rsidRPr="005158E9">
        <w:rPr>
          <w:b/>
          <w:szCs w:val="20"/>
        </w:rPr>
        <w:t>разходите</w:t>
      </w:r>
      <w:r w:rsidRPr="005158E9">
        <w:rPr>
          <w:szCs w:val="20"/>
        </w:rPr>
        <w:t xml:space="preserve"> </w:t>
      </w:r>
      <w:r w:rsidRPr="005158E9">
        <w:rPr>
          <w:b/>
          <w:szCs w:val="20"/>
        </w:rPr>
        <w:t>по бюджета на</w:t>
      </w:r>
      <w:r w:rsidRPr="005158E9">
        <w:rPr>
          <w:szCs w:val="20"/>
        </w:rPr>
        <w:t xml:space="preserve"> </w:t>
      </w:r>
      <w:r w:rsidRPr="005158E9">
        <w:rPr>
          <w:b/>
          <w:szCs w:val="20"/>
        </w:rPr>
        <w:t xml:space="preserve">БНР </w:t>
      </w:r>
      <w:r w:rsidRPr="0003686A">
        <w:rPr>
          <w:szCs w:val="20"/>
        </w:rPr>
        <w:t xml:space="preserve">възлиза на 57,2 млн. лв. или 98,5 % </w:t>
      </w:r>
      <w:r w:rsidRPr="0003686A">
        <w:t xml:space="preserve">от предвидените разходи в разчетите към ЗДБРБ за 2022 г. – 58,1 млн. лв. </w:t>
      </w:r>
      <w:r w:rsidRPr="0003686A">
        <w:rPr>
          <w:szCs w:val="20"/>
        </w:rPr>
        <w:t xml:space="preserve">За периода са отчетени 53,6 млн. лв. текущи разходи и 3,7 млн. лв. капиталови разходи. </w:t>
      </w:r>
      <w:r w:rsidRPr="008562BA">
        <w:rPr>
          <w:szCs w:val="20"/>
        </w:rPr>
        <w:t>Средствата са усвоени за реализирането на основните цели и дейности на БНР по подготовката, създаването и разпространението на национални и регионални програми съгласно разпоредбите на Закона за радиото и телевизията.</w:t>
      </w:r>
      <w:r w:rsidRPr="004A2E93">
        <w:rPr>
          <w:szCs w:val="20"/>
          <w:lang w:val="ru-RU"/>
        </w:rPr>
        <w:t xml:space="preserve"> </w:t>
      </w:r>
      <w:r w:rsidRPr="008562BA">
        <w:rPr>
          <w:szCs w:val="20"/>
        </w:rPr>
        <w:t xml:space="preserve">В разпределението  на разходите по бюджета на БНР е включен преходния остатък за 2021 г. </w:t>
      </w:r>
      <w:r w:rsidRPr="004A2E93">
        <w:rPr>
          <w:szCs w:val="20"/>
          <w:lang w:val="ru-RU"/>
        </w:rPr>
        <w:t>(</w:t>
      </w:r>
      <w:r w:rsidRPr="008562BA">
        <w:rPr>
          <w:szCs w:val="20"/>
        </w:rPr>
        <w:t>съгл. чл. 70, ал. 6 от ЗРТ</w:t>
      </w:r>
      <w:r w:rsidRPr="004A2E93">
        <w:rPr>
          <w:szCs w:val="20"/>
          <w:lang w:val="ru-RU"/>
        </w:rPr>
        <w:t>)</w:t>
      </w:r>
      <w:r w:rsidRPr="008562BA">
        <w:rPr>
          <w:szCs w:val="20"/>
        </w:rPr>
        <w:t xml:space="preserve"> в размер на 2,5 млн. лв.</w:t>
      </w:r>
      <w:r>
        <w:rPr>
          <w:szCs w:val="20"/>
        </w:rPr>
        <w:t xml:space="preserve"> </w:t>
      </w:r>
    </w:p>
    <w:p w14:paraId="40670F10" w14:textId="7D29B4D0" w:rsidR="00441E6A" w:rsidRPr="00AA4EF2" w:rsidRDefault="00441E6A" w:rsidP="00441E6A">
      <w:pPr>
        <w:pStyle w:val="Title"/>
        <w:ind w:firstLine="567"/>
        <w:jc w:val="both"/>
        <w:rPr>
          <w:b w:val="0"/>
        </w:rPr>
      </w:pPr>
      <w:r w:rsidRPr="00AA4EF2">
        <w:rPr>
          <w:b w:val="0"/>
        </w:rPr>
        <w:t>Общо утвърдените с чл. 49, т. 1 от ЗДБРБ за 2022 г.</w:t>
      </w:r>
      <w:r w:rsidRPr="00AA4EF2">
        <w:t xml:space="preserve">  </w:t>
      </w:r>
      <w:r w:rsidRPr="00AA4EF2">
        <w:rPr>
          <w:i/>
        </w:rPr>
        <w:t>бюджетни взаимоотношения на БНР с централния бюджет</w:t>
      </w:r>
      <w:r w:rsidRPr="00AA4EF2">
        <w:t xml:space="preserve"> </w:t>
      </w:r>
      <w:r w:rsidRPr="00C71E65">
        <w:rPr>
          <w:b w:val="0"/>
        </w:rPr>
        <w:t>за 2022 г.</w:t>
      </w:r>
      <w:r w:rsidRPr="00AA4EF2">
        <w:t xml:space="preserve"> </w:t>
      </w:r>
      <w:r w:rsidRPr="00AA4EF2">
        <w:rPr>
          <w:b w:val="0"/>
        </w:rPr>
        <w:t>са в размер на 55,7 млн. лв. Съгласно ПМС № 241/2022 г. и ПМС № 467/2022 г. са одобрени допълнителни трансфер</w:t>
      </w:r>
      <w:r w:rsidR="00EA569B">
        <w:rPr>
          <w:b w:val="0"/>
        </w:rPr>
        <w:t>и</w:t>
      </w:r>
      <w:r w:rsidRPr="00AA4EF2">
        <w:rPr>
          <w:b w:val="0"/>
        </w:rPr>
        <w:t xml:space="preserve"> от 2,4 млн. лв.</w:t>
      </w:r>
    </w:p>
    <w:p w14:paraId="4CB9BD84" w14:textId="77777777" w:rsidR="00441E6A" w:rsidRPr="00AA4EF2" w:rsidRDefault="00441E6A" w:rsidP="00441E6A">
      <w:pPr>
        <w:ind w:firstLine="567"/>
        <w:jc w:val="both"/>
        <w:rPr>
          <w:szCs w:val="20"/>
        </w:rPr>
      </w:pPr>
      <w:r w:rsidRPr="00AA4EF2">
        <w:t xml:space="preserve">За отчетния период е усвоена сума в размер на 58,2 млн. лв. или 100,0 % от размера на </w:t>
      </w:r>
      <w:r w:rsidRPr="00AA4EF2">
        <w:rPr>
          <w:lang w:eastAsia="bg-BG"/>
        </w:rPr>
        <w:t>бюджетните взаимоотношения на БНР с централния бюджет по уточнен план.</w:t>
      </w:r>
    </w:p>
    <w:p w14:paraId="0CA84F97" w14:textId="77777777" w:rsidR="00441E6A" w:rsidRPr="008B6777" w:rsidRDefault="00441E6A" w:rsidP="00441E6A">
      <w:pPr>
        <w:spacing w:before="240"/>
        <w:ind w:firstLine="567"/>
        <w:jc w:val="both"/>
        <w:rPr>
          <w:b/>
          <w:szCs w:val="20"/>
        </w:rPr>
      </w:pPr>
      <w:r w:rsidRPr="008B6777">
        <w:rPr>
          <w:b/>
          <w:szCs w:val="20"/>
        </w:rPr>
        <w:t xml:space="preserve">Приходите на </w:t>
      </w:r>
      <w:r w:rsidRPr="008B6777">
        <w:rPr>
          <w:b/>
        </w:rPr>
        <w:t>Българската телеграфна агенция (БТА)</w:t>
      </w:r>
      <w:r w:rsidRPr="008B6777">
        <w:t xml:space="preserve"> </w:t>
      </w:r>
      <w:r w:rsidRPr="008B6777">
        <w:rPr>
          <w:szCs w:val="20"/>
        </w:rPr>
        <w:t xml:space="preserve">към 31.12.2022 г. са 0,8 млн. лв. при предвидени 0,3 млн. лв. за годината, като това са основно постъпления от продажба на информационни продукти и услуги. </w:t>
      </w:r>
    </w:p>
    <w:p w14:paraId="30021724" w14:textId="77777777" w:rsidR="00441E6A" w:rsidRPr="00292DA5" w:rsidRDefault="00441E6A" w:rsidP="00441E6A">
      <w:pPr>
        <w:ind w:firstLine="567"/>
        <w:jc w:val="both"/>
        <w:rPr>
          <w:szCs w:val="20"/>
        </w:rPr>
      </w:pPr>
      <w:r w:rsidRPr="008B6777">
        <w:rPr>
          <w:szCs w:val="20"/>
        </w:rPr>
        <w:t>Отчетените</w:t>
      </w:r>
      <w:r w:rsidRPr="008B6777">
        <w:rPr>
          <w:b/>
          <w:szCs w:val="20"/>
        </w:rPr>
        <w:t xml:space="preserve"> разходи на БТА</w:t>
      </w:r>
      <w:r w:rsidRPr="008B6777">
        <w:rPr>
          <w:szCs w:val="20"/>
        </w:rPr>
        <w:t xml:space="preserve"> за периода са 10,2 млн. лв., което е 97,5 % от годишния разчет за 2022 г.,</w:t>
      </w:r>
      <w:r w:rsidRPr="008B6777">
        <w:rPr>
          <w:rFonts w:eastAsia="Batang"/>
          <w:lang w:eastAsia="zh-TW"/>
        </w:rPr>
        <w:t xml:space="preserve"> като това са разходи за персонал, издръжка и капиталови разходи</w:t>
      </w:r>
      <w:r w:rsidRPr="008B6777">
        <w:rPr>
          <w:rFonts w:eastAsia="Batang"/>
          <w:lang w:val="ru-RU" w:eastAsia="zh-TW"/>
        </w:rPr>
        <w:t xml:space="preserve"> (</w:t>
      </w:r>
      <w:r w:rsidRPr="008B6777">
        <w:rPr>
          <w:rFonts w:eastAsia="Batang"/>
          <w:lang w:eastAsia="zh-TW"/>
        </w:rPr>
        <w:t xml:space="preserve">за осигуряване на съвременна техника за </w:t>
      </w:r>
      <w:r w:rsidRPr="008B6777">
        <w:t xml:space="preserve">безвъзмездното разпространение на </w:t>
      </w:r>
      <w:r w:rsidRPr="00292DA5">
        <w:t>информацията</w:t>
      </w:r>
      <w:r w:rsidRPr="00292DA5">
        <w:rPr>
          <w:lang w:val="ru-RU"/>
        </w:rPr>
        <w:t>)</w:t>
      </w:r>
      <w:r w:rsidRPr="00292DA5">
        <w:t>.</w:t>
      </w:r>
      <w:r w:rsidRPr="00292DA5">
        <w:rPr>
          <w:lang w:eastAsia="bg-BG"/>
        </w:rPr>
        <w:t xml:space="preserve"> </w:t>
      </w:r>
    </w:p>
    <w:p w14:paraId="5B3E9E43" w14:textId="08FCB6FC" w:rsidR="00441E6A" w:rsidRPr="00DB12BD" w:rsidRDefault="009E2BD9" w:rsidP="00441E6A">
      <w:pPr>
        <w:ind w:firstLine="567"/>
        <w:jc w:val="both"/>
        <w:rPr>
          <w:color w:val="0070C0"/>
          <w:szCs w:val="20"/>
        </w:rPr>
      </w:pPr>
      <w:r w:rsidRPr="009E2BD9">
        <w:rPr>
          <w:szCs w:val="20"/>
        </w:rPr>
        <w:t xml:space="preserve">Общо утвърдените </w:t>
      </w:r>
      <w:r w:rsidRPr="00C71E65">
        <w:rPr>
          <w:b/>
          <w:i/>
          <w:szCs w:val="20"/>
        </w:rPr>
        <w:t>бюджетни взаимоотношения на БТА с централния бюджет</w:t>
      </w:r>
      <w:r w:rsidRPr="009E2BD9">
        <w:rPr>
          <w:szCs w:val="20"/>
        </w:rPr>
        <w:t xml:space="preserve"> за 2022 г. са в размер на 10,1 млн. лв. Съгла</w:t>
      </w:r>
      <w:r w:rsidR="00BA2B6D">
        <w:rPr>
          <w:szCs w:val="20"/>
        </w:rPr>
        <w:t>сно ПМС №241/2022 г. и ПМС №427</w:t>
      </w:r>
      <w:r w:rsidRPr="009E2BD9">
        <w:rPr>
          <w:szCs w:val="20"/>
        </w:rPr>
        <w:t>/2022 г. са одобрени допълнителни трансфер от 3,2</w:t>
      </w:r>
      <w:r>
        <w:rPr>
          <w:szCs w:val="20"/>
        </w:rPr>
        <w:t xml:space="preserve"> </w:t>
      </w:r>
      <w:r w:rsidRPr="009E2BD9">
        <w:rPr>
          <w:szCs w:val="20"/>
        </w:rPr>
        <w:t>млн. лв. За отчетния период е усвоена сума в размер на 13,3 млн. лв. или 100 % от размера на бюджетните взаимоотношения на БТА с централния бюджет по уточнен план</w:t>
      </w:r>
      <w:r w:rsidR="00441E6A" w:rsidRPr="00AA4EF2">
        <w:rPr>
          <w:lang w:eastAsia="bg-BG"/>
        </w:rPr>
        <w:t>.</w:t>
      </w:r>
      <w:r w:rsidR="00441E6A">
        <w:rPr>
          <w:lang w:eastAsia="bg-BG"/>
        </w:rPr>
        <w:t xml:space="preserve"> </w:t>
      </w:r>
    </w:p>
    <w:p w14:paraId="63A45335" w14:textId="77777777" w:rsidR="007C1025" w:rsidRPr="00DB12BD" w:rsidRDefault="007C1025" w:rsidP="007C1025">
      <w:pPr>
        <w:ind w:firstLine="567"/>
        <w:jc w:val="both"/>
        <w:rPr>
          <w:color w:val="0070C0"/>
          <w:szCs w:val="20"/>
        </w:rPr>
      </w:pPr>
    </w:p>
    <w:p w14:paraId="4AA22F16" w14:textId="77777777" w:rsidR="00446778" w:rsidRPr="00DB12BD" w:rsidRDefault="00446778" w:rsidP="007C1025">
      <w:pPr>
        <w:pStyle w:val="Title"/>
        <w:jc w:val="both"/>
        <w:rPr>
          <w:color w:val="0070C0"/>
        </w:rPr>
      </w:pPr>
    </w:p>
    <w:p w14:paraId="4AF52FFD" w14:textId="77777777" w:rsidR="00446778" w:rsidRPr="00DB12BD" w:rsidRDefault="00446778" w:rsidP="007C1025">
      <w:pPr>
        <w:pStyle w:val="Title"/>
        <w:jc w:val="both"/>
        <w:rPr>
          <w:color w:val="0070C0"/>
        </w:rPr>
      </w:pPr>
    </w:p>
    <w:p w14:paraId="3B3EE450" w14:textId="77777777" w:rsidR="00446778" w:rsidRPr="00DB12BD" w:rsidRDefault="00446778" w:rsidP="007C1025">
      <w:pPr>
        <w:pStyle w:val="Title"/>
        <w:jc w:val="both"/>
        <w:rPr>
          <w:color w:val="0070C0"/>
        </w:rPr>
      </w:pPr>
    </w:p>
    <w:p w14:paraId="76C99E03" w14:textId="77777777" w:rsidR="00446778" w:rsidRPr="00DB12BD" w:rsidRDefault="00446778" w:rsidP="007C1025">
      <w:pPr>
        <w:pStyle w:val="Title"/>
        <w:jc w:val="both"/>
        <w:rPr>
          <w:color w:val="0070C0"/>
        </w:rPr>
      </w:pPr>
    </w:p>
    <w:p w14:paraId="2FBFC7D6" w14:textId="77777777" w:rsidR="00446778" w:rsidRPr="00DB12BD" w:rsidRDefault="00446778" w:rsidP="007C1025">
      <w:pPr>
        <w:pStyle w:val="Title"/>
        <w:jc w:val="both"/>
        <w:rPr>
          <w:color w:val="0070C0"/>
        </w:rPr>
      </w:pPr>
    </w:p>
    <w:p w14:paraId="6B622233" w14:textId="77777777" w:rsidR="00446778" w:rsidRPr="00DB12BD" w:rsidRDefault="00446778" w:rsidP="007C1025">
      <w:pPr>
        <w:pStyle w:val="Title"/>
        <w:jc w:val="both"/>
        <w:rPr>
          <w:color w:val="0070C0"/>
        </w:rPr>
      </w:pPr>
    </w:p>
    <w:p w14:paraId="2EC6E6FB" w14:textId="77777777" w:rsidR="00446778" w:rsidRPr="00DB12BD" w:rsidRDefault="00446778" w:rsidP="007C1025">
      <w:pPr>
        <w:pStyle w:val="Title"/>
        <w:jc w:val="both"/>
        <w:rPr>
          <w:color w:val="0070C0"/>
        </w:rPr>
      </w:pPr>
    </w:p>
    <w:p w14:paraId="1F97E6C1" w14:textId="77777777" w:rsidR="00001ABF" w:rsidRPr="00DB12BD" w:rsidRDefault="00001ABF" w:rsidP="007C1025">
      <w:pPr>
        <w:pStyle w:val="Title"/>
        <w:jc w:val="both"/>
        <w:rPr>
          <w:color w:val="0070C0"/>
        </w:rPr>
      </w:pPr>
    </w:p>
    <w:p w14:paraId="217C3D1A" w14:textId="5FB46C8C" w:rsidR="007C1025" w:rsidRPr="004E257C" w:rsidRDefault="007C1025" w:rsidP="007C1025">
      <w:pPr>
        <w:pStyle w:val="Title"/>
        <w:jc w:val="both"/>
      </w:pPr>
      <w:r w:rsidRPr="004E257C">
        <w:t xml:space="preserve">Министерство на финансите, </w:t>
      </w:r>
      <w:r w:rsidR="004E257C" w:rsidRPr="004E257C">
        <w:t xml:space="preserve">февруари </w:t>
      </w:r>
      <w:r w:rsidRPr="004E257C">
        <w:t>202</w:t>
      </w:r>
      <w:r w:rsidR="004E257C" w:rsidRPr="001F3E55">
        <w:rPr>
          <w:lang w:val="ru-RU"/>
        </w:rPr>
        <w:t>3</w:t>
      </w:r>
      <w:r w:rsidRPr="004E257C">
        <w:t xml:space="preserve"> г.</w:t>
      </w:r>
    </w:p>
    <w:sectPr w:rsidR="007C1025" w:rsidRPr="004E257C" w:rsidSect="00441E7C">
      <w:footerReference w:type="even" r:id="rId13"/>
      <w:footerReference w:type="default" r:id="rId14"/>
      <w:endnotePr>
        <w:numFmt w:val="decimal"/>
      </w:endnotePr>
      <w:type w:val="continuous"/>
      <w:pgSz w:w="11906" w:h="16838"/>
      <w:pgMar w:top="709" w:right="1106" w:bottom="426"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624C1" w14:textId="77777777" w:rsidR="002E0B57" w:rsidRDefault="002E0B57">
      <w:r>
        <w:separator/>
      </w:r>
    </w:p>
  </w:endnote>
  <w:endnote w:type="continuationSeparator" w:id="0">
    <w:p w14:paraId="0F967DAB" w14:textId="77777777" w:rsidR="002E0B57" w:rsidRDefault="002E0B57">
      <w:r>
        <w:continuationSeparator/>
      </w:r>
    </w:p>
  </w:endnote>
  <w:endnote w:type="continuationNotice" w:id="1">
    <w:p w14:paraId="4545AF10" w14:textId="77777777" w:rsidR="002E0B57" w:rsidRDefault="002E0B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Futura Bk">
    <w:altName w:val="Arial"/>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ABECB" w14:textId="77777777" w:rsidR="002E0B57" w:rsidRDefault="002E0B57" w:rsidP="00EA0F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F63D0C" w14:textId="77777777" w:rsidR="002E0B57" w:rsidRDefault="002E0B57" w:rsidP="00A7411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164DC" w14:textId="7E0CE51C" w:rsidR="002E0B57" w:rsidRDefault="002E0B57" w:rsidP="00EA0F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D3398">
      <w:rPr>
        <w:rStyle w:val="PageNumber"/>
        <w:noProof/>
      </w:rPr>
      <w:t>26</w:t>
    </w:r>
    <w:r>
      <w:rPr>
        <w:rStyle w:val="PageNumber"/>
      </w:rPr>
      <w:fldChar w:fldCharType="end"/>
    </w:r>
  </w:p>
  <w:p w14:paraId="5CD71E31" w14:textId="77777777" w:rsidR="002E0B57" w:rsidRDefault="002E0B57" w:rsidP="00A74112">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E4557" w14:textId="77777777" w:rsidR="002E0B57" w:rsidRDefault="002E0B57">
      <w:r>
        <w:separator/>
      </w:r>
    </w:p>
  </w:footnote>
  <w:footnote w:type="continuationSeparator" w:id="0">
    <w:p w14:paraId="30E89340" w14:textId="77777777" w:rsidR="002E0B57" w:rsidRDefault="002E0B57">
      <w:r>
        <w:continuationSeparator/>
      </w:r>
    </w:p>
  </w:footnote>
  <w:footnote w:type="continuationNotice" w:id="1">
    <w:p w14:paraId="0EB840B0" w14:textId="77777777" w:rsidR="002E0B57" w:rsidRDefault="002E0B57"/>
  </w:footnote>
  <w:footnote w:id="2">
    <w:p w14:paraId="327EABEE" w14:textId="77777777" w:rsidR="002E0B57" w:rsidRPr="007D18FE" w:rsidRDefault="002E0B57" w:rsidP="00E74802">
      <w:pPr>
        <w:pStyle w:val="FootnoteText"/>
        <w:jc w:val="both"/>
        <w:rPr>
          <w:sz w:val="18"/>
          <w:szCs w:val="18"/>
          <w:lang w:val="bg-BG"/>
        </w:rPr>
      </w:pPr>
      <w:r w:rsidRPr="007D18FE">
        <w:rPr>
          <w:rStyle w:val="FootnoteReference"/>
          <w:sz w:val="18"/>
          <w:szCs w:val="18"/>
        </w:rPr>
        <w:footnoteRef/>
      </w:r>
      <w:r w:rsidRPr="001953AC">
        <w:rPr>
          <w:sz w:val="18"/>
          <w:szCs w:val="18"/>
          <w:lang w:val="ru-RU"/>
        </w:rPr>
        <w:t xml:space="preserve"> </w:t>
      </w:r>
      <w:r w:rsidRPr="007D18FE">
        <w:rPr>
          <w:sz w:val="18"/>
          <w:szCs w:val="18"/>
          <w:lang w:val="bg-BG"/>
        </w:rPr>
        <w:t>Обхваща държавния бюджет и бюджетите на общините, социалноосигурителните фондове, ДВУ, БАН, БНР, БНТ, БТА, бюджетите по чл.14, ал.4 от ЗПФ, както и сметките за средствата от ЕС и сметките за чужди средства на бюджетните организации. Данните за текущата година са на база месечни отчети, а тези за предходната година - на база тримесечни отчети на ПРБ.</w:t>
      </w:r>
    </w:p>
  </w:footnote>
  <w:footnote w:id="3">
    <w:p w14:paraId="24F24878" w14:textId="77777777" w:rsidR="002E0B57" w:rsidRPr="007D18FE" w:rsidRDefault="002E0B57" w:rsidP="00222173">
      <w:pPr>
        <w:pStyle w:val="FootnoteText"/>
        <w:jc w:val="both"/>
        <w:rPr>
          <w:sz w:val="18"/>
          <w:szCs w:val="18"/>
          <w:lang w:val="bg-BG"/>
        </w:rPr>
      </w:pPr>
      <w:r w:rsidRPr="007D18FE">
        <w:rPr>
          <w:rStyle w:val="FootnoteReference"/>
          <w:sz w:val="18"/>
          <w:szCs w:val="18"/>
        </w:rPr>
        <w:footnoteRef/>
      </w:r>
      <w:r w:rsidRPr="007D18FE">
        <w:rPr>
          <w:sz w:val="18"/>
          <w:szCs w:val="18"/>
          <w:lang w:val="bg-BG"/>
        </w:rPr>
        <w:t xml:space="preserve"> Поради извършено закръгление в млн. лв., някои сумарни позиции в Таблица №1, Таблица  №2 и в текста не се изчерпват от съставните им числа.</w:t>
      </w:r>
    </w:p>
  </w:footnote>
  <w:footnote w:id="4">
    <w:p w14:paraId="7DD2E00F" w14:textId="77777777" w:rsidR="002E0B57" w:rsidRPr="00D13ABE" w:rsidRDefault="002E0B57" w:rsidP="00222173">
      <w:pPr>
        <w:pStyle w:val="FootnoteText"/>
        <w:rPr>
          <w:lang w:val="bg-BG"/>
        </w:rPr>
      </w:pPr>
      <w:r>
        <w:rPr>
          <w:rStyle w:val="FootnoteReference"/>
        </w:rPr>
        <w:footnoteRef/>
      </w:r>
      <w:r w:rsidRPr="00FC69BD">
        <w:rPr>
          <w:lang w:val="bg-BG"/>
        </w:rPr>
        <w:t xml:space="preserve"> </w:t>
      </w:r>
      <w:r w:rsidRPr="008E7BFE">
        <w:rPr>
          <w:sz w:val="18"/>
          <w:szCs w:val="18"/>
          <w:lang w:val="bg-BG"/>
        </w:rPr>
        <w:t>Разчети към ЗДБРБ за 2022 г. (ДВ, бр. 18 от 04.03.2022 г., изм. и доп. ДВ., бр. 52 от 05.07.2022 г.).</w:t>
      </w:r>
    </w:p>
  </w:footnote>
  <w:footnote w:id="5">
    <w:p w14:paraId="7B355689" w14:textId="77777777" w:rsidR="002E0B57" w:rsidRPr="00341022" w:rsidRDefault="002E0B57" w:rsidP="00872B75">
      <w:pPr>
        <w:pStyle w:val="FootnoteText"/>
        <w:jc w:val="both"/>
        <w:rPr>
          <w:sz w:val="18"/>
          <w:szCs w:val="18"/>
          <w:lang w:val="bg-BG"/>
        </w:rPr>
      </w:pPr>
      <w:r w:rsidRPr="00DC217A">
        <w:rPr>
          <w:rStyle w:val="FootnoteReference"/>
          <w:sz w:val="18"/>
          <w:szCs w:val="18"/>
          <w:lang w:val="bg-BG"/>
        </w:rPr>
        <w:footnoteRef/>
      </w:r>
      <w:r w:rsidRPr="00DC217A">
        <w:rPr>
          <w:sz w:val="18"/>
          <w:szCs w:val="18"/>
          <w:lang w:val="bg-BG"/>
        </w:rPr>
        <w:t xml:space="preserve"> </w:t>
      </w:r>
      <w:r w:rsidRPr="00DC217A">
        <w:rPr>
          <w:rFonts w:eastAsiaTheme="minorHAnsi"/>
          <w:sz w:val="18"/>
          <w:szCs w:val="18"/>
          <w:lang w:val="bg-BG"/>
        </w:rPr>
        <w:t xml:space="preserve">По бюджета на Фонд „Сигурност на електроенергийната система“ постъпват неданъчни приходи, респективно се извършват разходи, в изпълнение на §24 и §23 от Преходните и заключителните разпоредби на ЗДБРБ за 2022 г., които са с еднократен извънреден характер и не са заложени в разчетите към ЗДБРБ за 2022 г. За периода юли-декември постъпилите приходи от </w:t>
      </w:r>
      <w:r w:rsidRPr="00341022">
        <w:rPr>
          <w:rFonts w:eastAsiaTheme="minorHAnsi"/>
          <w:sz w:val="18"/>
          <w:szCs w:val="18"/>
          <w:lang w:val="bg-BG"/>
        </w:rPr>
        <w:t xml:space="preserve">целеви вноски са в размер на 3 181,0 млн. лв. </w:t>
      </w:r>
    </w:p>
  </w:footnote>
  <w:footnote w:id="6">
    <w:p w14:paraId="59452D78" w14:textId="77777777" w:rsidR="002E0B57" w:rsidRPr="00DC217A" w:rsidRDefault="002E0B57" w:rsidP="006F2FE6">
      <w:pPr>
        <w:pStyle w:val="FootnoteText"/>
        <w:rPr>
          <w:sz w:val="18"/>
          <w:szCs w:val="18"/>
          <w:lang w:val="bg-BG"/>
        </w:rPr>
      </w:pPr>
      <w:r w:rsidRPr="00341022">
        <w:rPr>
          <w:rStyle w:val="FootnoteReference"/>
          <w:sz w:val="18"/>
          <w:szCs w:val="18"/>
          <w:lang w:val="bg-BG"/>
        </w:rPr>
        <w:footnoteRef/>
      </w:r>
      <w:r w:rsidRPr="00341022">
        <w:rPr>
          <w:sz w:val="18"/>
          <w:szCs w:val="18"/>
          <w:lang w:val="bg-BG"/>
        </w:rPr>
        <w:t xml:space="preserve"> Временна солидарна вноска от свръхпечалбите на предприятията извършващи дейност в отраслите на суровия нефт, природния газ, въглищата и нефтопреработването в размер на 33 на сто върху основата за определяне на временната солидарна вноска.</w:t>
      </w:r>
    </w:p>
  </w:footnote>
  <w:footnote w:id="7">
    <w:p w14:paraId="1DEA8FB2" w14:textId="77777777" w:rsidR="002E0B57" w:rsidRPr="00E74802" w:rsidRDefault="002E0B57" w:rsidP="00222173">
      <w:pPr>
        <w:pStyle w:val="FootnoteText"/>
        <w:jc w:val="both"/>
        <w:rPr>
          <w:sz w:val="18"/>
          <w:szCs w:val="18"/>
          <w:lang w:val="bg-BG"/>
        </w:rPr>
      </w:pPr>
      <w:r w:rsidRPr="00E74802">
        <w:rPr>
          <w:rStyle w:val="FootnoteReference"/>
          <w:sz w:val="18"/>
          <w:szCs w:val="18"/>
          <w:lang w:val="bg-BG"/>
        </w:rPr>
        <w:footnoteRef/>
      </w:r>
      <w:r w:rsidRPr="00E74802">
        <w:rPr>
          <w:sz w:val="18"/>
          <w:szCs w:val="18"/>
          <w:lang w:val="bg-BG"/>
        </w:rPr>
        <w:t xml:space="preserve"> </w:t>
      </w:r>
      <w:r w:rsidRPr="004D0661">
        <w:rPr>
          <w:sz w:val="18"/>
          <w:szCs w:val="18"/>
          <w:lang w:val="bg-BG"/>
        </w:rPr>
        <w:t>Обхватът на показателя фискален резерв е в съответствие с §1, т. 41 от Допълнителните разпоредби на Закона за публичните финанси.</w:t>
      </w:r>
    </w:p>
  </w:footnote>
  <w:footnote w:id="8">
    <w:p w14:paraId="4A975709" w14:textId="77777777" w:rsidR="002E0B57" w:rsidRPr="003D60B8" w:rsidRDefault="002E0B57" w:rsidP="00222173">
      <w:pPr>
        <w:pStyle w:val="FootnoteText"/>
        <w:rPr>
          <w:lang w:val="bg-BG"/>
        </w:rPr>
      </w:pPr>
      <w:r w:rsidRPr="003D60B8">
        <w:rPr>
          <w:rStyle w:val="FootnoteReference"/>
          <w:lang w:val="bg-BG"/>
        </w:rPr>
        <w:footnoteRef/>
      </w:r>
      <w:r w:rsidRPr="003D60B8">
        <w:rPr>
          <w:lang w:val="bg-BG"/>
        </w:rPr>
        <w:t xml:space="preserve"> </w:t>
      </w:r>
      <w:r w:rsidRPr="003D60B8">
        <w:rPr>
          <w:sz w:val="18"/>
          <w:szCs w:val="16"/>
          <w:lang w:val="bg-BG"/>
        </w:rPr>
        <w:t>Държавният бюджет включва централен бюджет, бюджетите на НС, съдебната власт, министерствата и ведомствата.</w:t>
      </w:r>
    </w:p>
  </w:footnote>
  <w:footnote w:id="9">
    <w:p w14:paraId="09CF061D" w14:textId="77777777" w:rsidR="002E0B57" w:rsidRPr="003D60B8" w:rsidRDefault="002E0B57" w:rsidP="00A25A63">
      <w:pPr>
        <w:pStyle w:val="FootnoteText"/>
        <w:jc w:val="both"/>
        <w:rPr>
          <w:sz w:val="18"/>
          <w:szCs w:val="18"/>
          <w:lang w:val="bg-BG"/>
        </w:rPr>
      </w:pPr>
      <w:r w:rsidRPr="003D60B8">
        <w:rPr>
          <w:rStyle w:val="FootnoteReference"/>
          <w:sz w:val="18"/>
          <w:szCs w:val="18"/>
          <w:lang w:val="bg-BG"/>
        </w:rPr>
        <w:footnoteRef/>
      </w:r>
      <w:r w:rsidRPr="003D60B8">
        <w:rPr>
          <w:sz w:val="18"/>
          <w:szCs w:val="18"/>
          <w:lang w:val="bg-BG"/>
        </w:rPr>
        <w:t xml:space="preserve"> Поради извършено закръгление в млн. лв., някои сумарни позиции в таблицата и в текста не се изчерпват от съставните им числа.</w:t>
      </w:r>
    </w:p>
  </w:footnote>
  <w:footnote w:id="10">
    <w:p w14:paraId="662A4506" w14:textId="77777777" w:rsidR="002E0B57" w:rsidRPr="003D60B8" w:rsidRDefault="002E0B57" w:rsidP="00A25A63">
      <w:pPr>
        <w:pStyle w:val="FootnoteText"/>
        <w:rPr>
          <w:color w:val="FF0000"/>
          <w:sz w:val="18"/>
          <w:szCs w:val="18"/>
          <w:lang w:val="bg-BG"/>
        </w:rPr>
      </w:pPr>
      <w:r w:rsidRPr="003D60B8">
        <w:rPr>
          <w:rStyle w:val="FootnoteReference"/>
          <w:sz w:val="18"/>
          <w:szCs w:val="18"/>
          <w:lang w:val="bg-BG"/>
        </w:rPr>
        <w:footnoteRef/>
      </w:r>
      <w:r w:rsidRPr="003D60B8">
        <w:rPr>
          <w:sz w:val="18"/>
          <w:szCs w:val="18"/>
          <w:lang w:val="bg-BG"/>
        </w:rPr>
        <w:t xml:space="preserve"> Разчети към ЗДБРБ за 2022 г. (ДВ, бр. 18 от 04.03.2022 г., изм. и доп. ДВ., бр. 52 от 05.07.2022 г.).</w:t>
      </w:r>
    </w:p>
  </w:footnote>
  <w:footnote w:id="11">
    <w:p w14:paraId="7EA6E3BF" w14:textId="77777777" w:rsidR="002E0B57" w:rsidRPr="003D60B8" w:rsidRDefault="002E0B57" w:rsidP="00A25A63">
      <w:pPr>
        <w:pStyle w:val="FootnoteText"/>
        <w:jc w:val="both"/>
        <w:rPr>
          <w:sz w:val="18"/>
          <w:szCs w:val="18"/>
          <w:lang w:val="bg-BG"/>
        </w:rPr>
      </w:pPr>
      <w:r w:rsidRPr="003D60B8">
        <w:rPr>
          <w:rStyle w:val="FootnoteReference"/>
          <w:sz w:val="18"/>
          <w:szCs w:val="18"/>
          <w:lang w:val="bg-BG"/>
        </w:rPr>
        <w:footnoteRef/>
      </w:r>
      <w:r w:rsidRPr="003D60B8">
        <w:rPr>
          <w:sz w:val="18"/>
          <w:szCs w:val="18"/>
          <w:lang w:val="bg-BG"/>
        </w:rPr>
        <w:t xml:space="preserve"> В позицията "Резерв за непредвидени и неотложни разходи" се посочват само данните по разчет. Разходите по отчет се отразяват по съответните разходни позиции, към които се отнасят извършените разходи.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40E0"/>
    <w:multiLevelType w:val="hybridMultilevel"/>
    <w:tmpl w:val="94142DF6"/>
    <w:lvl w:ilvl="0" w:tplc="CA968970">
      <w:start w:val="43"/>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 w15:restartNumberingAfterBreak="0">
    <w:nsid w:val="02A64D70"/>
    <w:multiLevelType w:val="hybridMultilevel"/>
    <w:tmpl w:val="F85C9BE4"/>
    <w:lvl w:ilvl="0" w:tplc="982A2DA2">
      <w:numFmt w:val="bullet"/>
      <w:lvlText w:val="-"/>
      <w:lvlJc w:val="left"/>
      <w:pPr>
        <w:ind w:left="420" w:hanging="360"/>
      </w:pPr>
      <w:rPr>
        <w:rFonts w:ascii="Times New Roman" w:eastAsiaTheme="minorHAnsi" w:hAnsi="Times New Roman" w:cs="Times New Roman"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2" w15:restartNumberingAfterBreak="0">
    <w:nsid w:val="03127CD0"/>
    <w:multiLevelType w:val="hybridMultilevel"/>
    <w:tmpl w:val="1338A1D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C82018B"/>
    <w:multiLevelType w:val="hybridMultilevel"/>
    <w:tmpl w:val="A2482DFC"/>
    <w:lvl w:ilvl="0" w:tplc="0409000B">
      <w:start w:val="1"/>
      <w:numFmt w:val="bullet"/>
      <w:lvlText w:val=""/>
      <w:lvlJc w:val="left"/>
      <w:pPr>
        <w:ind w:left="1400" w:hanging="360"/>
      </w:pPr>
      <w:rPr>
        <w:rFonts w:ascii="Wingdings" w:hAnsi="Wingdings"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4" w15:restartNumberingAfterBreak="0">
    <w:nsid w:val="14105CA9"/>
    <w:multiLevelType w:val="hybridMultilevel"/>
    <w:tmpl w:val="2D5A56EE"/>
    <w:lvl w:ilvl="0" w:tplc="88C42E5E">
      <w:start w:val="1"/>
      <w:numFmt w:val="decimal"/>
      <w:pStyle w:val="ParagraphNumbering"/>
      <w:lvlText w:val="%1.     "/>
      <w:lvlJc w:val="left"/>
      <w:pPr>
        <w:tabs>
          <w:tab w:val="num" w:pos="1260"/>
        </w:tabs>
        <w:ind w:left="540" w:firstLine="0"/>
      </w:pPr>
      <w:rPr>
        <w:rFonts w:hint="default"/>
        <w:b/>
      </w:rPr>
    </w:lvl>
    <w:lvl w:ilvl="1" w:tplc="F6E687FE">
      <w:start w:val="1"/>
      <w:numFmt w:val="upperRoman"/>
      <w:lvlText w:val="%2."/>
      <w:lvlJc w:val="right"/>
      <w:pPr>
        <w:tabs>
          <w:tab w:val="num" w:pos="1260"/>
        </w:tabs>
        <w:ind w:left="1260" w:hanging="18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rPr>
        <w:b/>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88305B3"/>
    <w:multiLevelType w:val="hybridMultilevel"/>
    <w:tmpl w:val="9684ED6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C372835"/>
    <w:multiLevelType w:val="multilevel"/>
    <w:tmpl w:val="7B586E5A"/>
    <w:lvl w:ilvl="0">
      <w:start w:val="1"/>
      <w:numFmt w:val="bullet"/>
      <w:lvlText w:val=""/>
      <w:lvlJc w:val="left"/>
      <w:pPr>
        <w:tabs>
          <w:tab w:val="num" w:pos="532"/>
        </w:tabs>
        <w:ind w:left="532" w:hanging="390"/>
      </w:pPr>
      <w:rPr>
        <w:rFonts w:ascii="Wingdings" w:hAnsi="Wingding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7" w15:restartNumberingAfterBreak="0">
    <w:nsid w:val="20EE040C"/>
    <w:multiLevelType w:val="hybridMultilevel"/>
    <w:tmpl w:val="DF5C7CEA"/>
    <w:lvl w:ilvl="0" w:tplc="04020005">
      <w:start w:val="1"/>
      <w:numFmt w:val="bullet"/>
      <w:lvlText w:val=""/>
      <w:lvlJc w:val="left"/>
      <w:pPr>
        <w:tabs>
          <w:tab w:val="num" w:pos="360"/>
        </w:tabs>
        <w:ind w:left="360" w:hanging="360"/>
      </w:pPr>
      <w:rPr>
        <w:rFonts w:ascii="Wingdings" w:hAnsi="Wingdings" w:hint="default"/>
        <w:color w:val="auto"/>
        <w:sz w:val="28"/>
        <w:u w:color="FFFFFF"/>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8D6CFF"/>
    <w:multiLevelType w:val="hybridMultilevel"/>
    <w:tmpl w:val="8E9EC7B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C6531B"/>
    <w:multiLevelType w:val="hybridMultilevel"/>
    <w:tmpl w:val="FB0CC328"/>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 w15:restartNumberingAfterBreak="0">
    <w:nsid w:val="2DF55951"/>
    <w:multiLevelType w:val="hybridMultilevel"/>
    <w:tmpl w:val="ACF48FC2"/>
    <w:lvl w:ilvl="0" w:tplc="9D148122">
      <w:start w:val="1"/>
      <w:numFmt w:val="bullet"/>
      <w:lvlText w:val=""/>
      <w:lvlJc w:val="left"/>
      <w:pPr>
        <w:ind w:left="720"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2F8B1941"/>
    <w:multiLevelType w:val="hybridMultilevel"/>
    <w:tmpl w:val="269A2F3C"/>
    <w:lvl w:ilvl="0" w:tplc="1AC8DDA4">
      <w:start w:val="1"/>
      <w:numFmt w:val="bullet"/>
      <w:lvlText w:val=""/>
      <w:lvlJc w:val="left"/>
      <w:pPr>
        <w:tabs>
          <w:tab w:val="num" w:pos="1440"/>
        </w:tabs>
        <w:ind w:left="740" w:firstLine="340"/>
      </w:pPr>
      <w:rPr>
        <w:rFonts w:ascii="Wingdings" w:hAnsi="Wingdings" w:hint="default"/>
        <w:sz w:val="24"/>
        <w:szCs w:val="24"/>
      </w:rPr>
    </w:lvl>
    <w:lvl w:ilvl="1" w:tplc="B8089F6A">
      <w:start w:val="1"/>
      <w:numFmt w:val="bullet"/>
      <w:lvlText w:val=""/>
      <w:lvlJc w:val="left"/>
      <w:pPr>
        <w:tabs>
          <w:tab w:val="num" w:pos="1437"/>
        </w:tabs>
        <w:ind w:left="1437" w:hanging="357"/>
      </w:pPr>
      <w:rPr>
        <w:rFonts w:ascii="Wingdings" w:hAnsi="Wingdings" w:hint="default"/>
        <w:color w:val="auto"/>
        <w:sz w:val="28"/>
        <w:szCs w:val="24"/>
        <w:u w:color="FFFFFF"/>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CB4556"/>
    <w:multiLevelType w:val="hybridMultilevel"/>
    <w:tmpl w:val="4CFCC9E0"/>
    <w:lvl w:ilvl="0" w:tplc="04020003">
      <w:start w:val="1"/>
      <w:numFmt w:val="bullet"/>
      <w:lvlText w:val="o"/>
      <w:lvlJc w:val="left"/>
      <w:pPr>
        <w:tabs>
          <w:tab w:val="num" w:pos="1346"/>
        </w:tabs>
        <w:ind w:left="984" w:firstLine="96"/>
      </w:pPr>
      <w:rPr>
        <w:rFonts w:ascii="Courier New" w:hAnsi="Courier New" w:cs="Courier New" w:hint="default"/>
        <w:color w:val="auto"/>
      </w:rPr>
    </w:lvl>
    <w:lvl w:ilvl="1" w:tplc="04020003" w:tentative="1">
      <w:start w:val="1"/>
      <w:numFmt w:val="bullet"/>
      <w:lvlText w:val="o"/>
      <w:lvlJc w:val="left"/>
      <w:pPr>
        <w:tabs>
          <w:tab w:val="num" w:pos="1383"/>
        </w:tabs>
        <w:ind w:left="1383" w:hanging="360"/>
      </w:pPr>
      <w:rPr>
        <w:rFonts w:ascii="Courier New" w:hAnsi="Courier New" w:cs="Courier New" w:hint="default"/>
      </w:rPr>
    </w:lvl>
    <w:lvl w:ilvl="2" w:tplc="04020005" w:tentative="1">
      <w:start w:val="1"/>
      <w:numFmt w:val="bullet"/>
      <w:lvlText w:val=""/>
      <w:lvlJc w:val="left"/>
      <w:pPr>
        <w:tabs>
          <w:tab w:val="num" w:pos="2103"/>
        </w:tabs>
        <w:ind w:left="2103" w:hanging="360"/>
      </w:pPr>
      <w:rPr>
        <w:rFonts w:ascii="Wingdings" w:hAnsi="Wingdings" w:hint="default"/>
      </w:rPr>
    </w:lvl>
    <w:lvl w:ilvl="3" w:tplc="04020001" w:tentative="1">
      <w:start w:val="1"/>
      <w:numFmt w:val="bullet"/>
      <w:lvlText w:val=""/>
      <w:lvlJc w:val="left"/>
      <w:pPr>
        <w:tabs>
          <w:tab w:val="num" w:pos="2823"/>
        </w:tabs>
        <w:ind w:left="2823" w:hanging="360"/>
      </w:pPr>
      <w:rPr>
        <w:rFonts w:ascii="Symbol" w:hAnsi="Symbol" w:hint="default"/>
      </w:rPr>
    </w:lvl>
    <w:lvl w:ilvl="4" w:tplc="04020003" w:tentative="1">
      <w:start w:val="1"/>
      <w:numFmt w:val="bullet"/>
      <w:lvlText w:val="o"/>
      <w:lvlJc w:val="left"/>
      <w:pPr>
        <w:tabs>
          <w:tab w:val="num" w:pos="3543"/>
        </w:tabs>
        <w:ind w:left="3543" w:hanging="360"/>
      </w:pPr>
      <w:rPr>
        <w:rFonts w:ascii="Courier New" w:hAnsi="Courier New" w:cs="Courier New" w:hint="default"/>
      </w:rPr>
    </w:lvl>
    <w:lvl w:ilvl="5" w:tplc="04020005" w:tentative="1">
      <w:start w:val="1"/>
      <w:numFmt w:val="bullet"/>
      <w:lvlText w:val=""/>
      <w:lvlJc w:val="left"/>
      <w:pPr>
        <w:tabs>
          <w:tab w:val="num" w:pos="4263"/>
        </w:tabs>
        <w:ind w:left="4263" w:hanging="360"/>
      </w:pPr>
      <w:rPr>
        <w:rFonts w:ascii="Wingdings" w:hAnsi="Wingdings" w:hint="default"/>
      </w:rPr>
    </w:lvl>
    <w:lvl w:ilvl="6" w:tplc="04020001" w:tentative="1">
      <w:start w:val="1"/>
      <w:numFmt w:val="bullet"/>
      <w:lvlText w:val=""/>
      <w:lvlJc w:val="left"/>
      <w:pPr>
        <w:tabs>
          <w:tab w:val="num" w:pos="4983"/>
        </w:tabs>
        <w:ind w:left="4983" w:hanging="360"/>
      </w:pPr>
      <w:rPr>
        <w:rFonts w:ascii="Symbol" w:hAnsi="Symbol" w:hint="default"/>
      </w:rPr>
    </w:lvl>
    <w:lvl w:ilvl="7" w:tplc="04020003" w:tentative="1">
      <w:start w:val="1"/>
      <w:numFmt w:val="bullet"/>
      <w:lvlText w:val="o"/>
      <w:lvlJc w:val="left"/>
      <w:pPr>
        <w:tabs>
          <w:tab w:val="num" w:pos="5703"/>
        </w:tabs>
        <w:ind w:left="5703" w:hanging="360"/>
      </w:pPr>
      <w:rPr>
        <w:rFonts w:ascii="Courier New" w:hAnsi="Courier New" w:cs="Courier New" w:hint="default"/>
      </w:rPr>
    </w:lvl>
    <w:lvl w:ilvl="8" w:tplc="04020005" w:tentative="1">
      <w:start w:val="1"/>
      <w:numFmt w:val="bullet"/>
      <w:lvlText w:val=""/>
      <w:lvlJc w:val="left"/>
      <w:pPr>
        <w:tabs>
          <w:tab w:val="num" w:pos="6423"/>
        </w:tabs>
        <w:ind w:left="6423" w:hanging="360"/>
      </w:pPr>
      <w:rPr>
        <w:rFonts w:ascii="Wingdings" w:hAnsi="Wingdings" w:hint="default"/>
      </w:rPr>
    </w:lvl>
  </w:abstractNum>
  <w:abstractNum w:abstractNumId="13" w15:restartNumberingAfterBreak="0">
    <w:nsid w:val="40506C4C"/>
    <w:multiLevelType w:val="hybridMultilevel"/>
    <w:tmpl w:val="8E46A080"/>
    <w:lvl w:ilvl="0" w:tplc="0402000B">
      <w:start w:val="1"/>
      <w:numFmt w:val="bullet"/>
      <w:lvlText w:val=""/>
      <w:lvlJc w:val="left"/>
      <w:pPr>
        <w:tabs>
          <w:tab w:val="num" w:pos="928"/>
        </w:tabs>
        <w:ind w:left="928" w:hanging="360"/>
      </w:pPr>
      <w:rPr>
        <w:rFonts w:ascii="Wingdings" w:hAnsi="Wingdings" w:hint="default"/>
      </w:rPr>
    </w:lvl>
    <w:lvl w:ilvl="1" w:tplc="0402000F">
      <w:start w:val="1"/>
      <w:numFmt w:val="decimal"/>
      <w:lvlText w:val="%2."/>
      <w:lvlJc w:val="left"/>
      <w:pPr>
        <w:tabs>
          <w:tab w:val="num" w:pos="1440"/>
        </w:tabs>
        <w:ind w:left="1440" w:hanging="360"/>
      </w:pPr>
      <w:rPr>
        <w:rFonts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843DC3"/>
    <w:multiLevelType w:val="hybridMultilevel"/>
    <w:tmpl w:val="59487C1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89254F4"/>
    <w:multiLevelType w:val="hybridMultilevel"/>
    <w:tmpl w:val="A78E9870"/>
    <w:lvl w:ilvl="0" w:tplc="0409000B">
      <w:start w:val="1"/>
      <w:numFmt w:val="bullet"/>
      <w:lvlText w:val=""/>
      <w:lvlJc w:val="left"/>
      <w:pPr>
        <w:tabs>
          <w:tab w:val="num" w:pos="360"/>
        </w:tabs>
        <w:ind w:left="360" w:hanging="360"/>
      </w:pPr>
      <w:rPr>
        <w:rFonts w:ascii="Wingdings" w:hAnsi="Wingdings" w:hint="default"/>
      </w:rPr>
    </w:lvl>
    <w:lvl w:ilvl="1" w:tplc="8DDE1D3E">
      <w:start w:val="1"/>
      <w:numFmt w:val="bullet"/>
      <w:lvlText w:val=""/>
      <w:lvlJc w:val="left"/>
      <w:pPr>
        <w:tabs>
          <w:tab w:val="num" w:pos="1383"/>
        </w:tabs>
        <w:ind w:left="683" w:firstLine="340"/>
      </w:pPr>
      <w:rPr>
        <w:rFonts w:ascii="Wingdings" w:hAnsi="Wingdings"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16" w15:restartNumberingAfterBreak="0">
    <w:nsid w:val="491C773E"/>
    <w:multiLevelType w:val="hybridMultilevel"/>
    <w:tmpl w:val="95184B5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4A5F564A"/>
    <w:multiLevelType w:val="hybridMultilevel"/>
    <w:tmpl w:val="19C03E34"/>
    <w:lvl w:ilvl="0" w:tplc="B8089F6A">
      <w:start w:val="1"/>
      <w:numFmt w:val="bullet"/>
      <w:lvlText w:val=""/>
      <w:lvlJc w:val="left"/>
      <w:pPr>
        <w:tabs>
          <w:tab w:val="num" w:pos="6878"/>
        </w:tabs>
        <w:ind w:left="6878" w:hanging="357"/>
      </w:pPr>
      <w:rPr>
        <w:rFonts w:ascii="Wingdings" w:hAnsi="Wingdings" w:hint="default"/>
        <w:color w:val="auto"/>
        <w:sz w:val="28"/>
        <w:u w:color="FFFFFF"/>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B1C3D5E"/>
    <w:multiLevelType w:val="hybridMultilevel"/>
    <w:tmpl w:val="05085AC2"/>
    <w:lvl w:ilvl="0" w:tplc="EDA44120">
      <w:start w:val="1"/>
      <w:numFmt w:val="bullet"/>
      <w:lvlText w:val="-"/>
      <w:lvlJc w:val="left"/>
      <w:pPr>
        <w:tabs>
          <w:tab w:val="num" w:pos="700"/>
        </w:tabs>
        <w:ind w:left="700" w:hanging="360"/>
      </w:pPr>
      <w:rPr>
        <w:rFonts w:ascii="Mangal" w:hAnsi="Mangal" w:hint="default"/>
      </w:rPr>
    </w:lvl>
    <w:lvl w:ilvl="1" w:tplc="C7466056">
      <w:start w:val="1"/>
      <w:numFmt w:val="bullet"/>
      <w:lvlText w:val=""/>
      <w:lvlJc w:val="left"/>
      <w:pPr>
        <w:tabs>
          <w:tab w:val="num" w:pos="1440"/>
        </w:tabs>
        <w:ind w:left="740" w:firstLine="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EB1EBB"/>
    <w:multiLevelType w:val="hybridMultilevel"/>
    <w:tmpl w:val="A7840AB6"/>
    <w:lvl w:ilvl="0" w:tplc="531CAAA0">
      <w:start w:val="1"/>
      <w:numFmt w:val="bullet"/>
      <w:lvlText w:val=""/>
      <w:lvlJc w:val="left"/>
      <w:pPr>
        <w:tabs>
          <w:tab w:val="num" w:pos="540"/>
        </w:tabs>
        <w:ind w:left="540" w:hanging="360"/>
      </w:pPr>
      <w:rPr>
        <w:rFonts w:ascii="Wingdings" w:hAnsi="Wingdings" w:hint="default"/>
        <w:color w:val="auto"/>
      </w:rPr>
    </w:lvl>
    <w:lvl w:ilvl="1" w:tplc="60389F10">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D05421"/>
    <w:multiLevelType w:val="hybridMultilevel"/>
    <w:tmpl w:val="82BC036E"/>
    <w:lvl w:ilvl="0" w:tplc="0409000D">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1" w15:restartNumberingAfterBreak="0">
    <w:nsid w:val="4F0D78F0"/>
    <w:multiLevelType w:val="hybridMultilevel"/>
    <w:tmpl w:val="33664FCA"/>
    <w:lvl w:ilvl="0" w:tplc="5AC6C2E0">
      <w:start w:val="1"/>
      <w:numFmt w:val="bullet"/>
      <w:lvlText w:val=""/>
      <w:lvlJc w:val="left"/>
      <w:pPr>
        <w:tabs>
          <w:tab w:val="num" w:pos="1346"/>
        </w:tabs>
        <w:ind w:left="984" w:firstLine="96"/>
      </w:pPr>
      <w:rPr>
        <w:rFonts w:ascii="Symbol" w:hAnsi="Symbol" w:hint="default"/>
        <w:color w:val="auto"/>
      </w:rPr>
    </w:lvl>
    <w:lvl w:ilvl="1" w:tplc="04020003" w:tentative="1">
      <w:start w:val="1"/>
      <w:numFmt w:val="bullet"/>
      <w:lvlText w:val="o"/>
      <w:lvlJc w:val="left"/>
      <w:pPr>
        <w:tabs>
          <w:tab w:val="num" w:pos="1383"/>
        </w:tabs>
        <w:ind w:left="1383" w:hanging="360"/>
      </w:pPr>
      <w:rPr>
        <w:rFonts w:ascii="Courier New" w:hAnsi="Courier New" w:cs="Courier New" w:hint="default"/>
      </w:rPr>
    </w:lvl>
    <w:lvl w:ilvl="2" w:tplc="04020005" w:tentative="1">
      <w:start w:val="1"/>
      <w:numFmt w:val="bullet"/>
      <w:lvlText w:val=""/>
      <w:lvlJc w:val="left"/>
      <w:pPr>
        <w:tabs>
          <w:tab w:val="num" w:pos="2103"/>
        </w:tabs>
        <w:ind w:left="2103" w:hanging="360"/>
      </w:pPr>
      <w:rPr>
        <w:rFonts w:ascii="Wingdings" w:hAnsi="Wingdings" w:hint="default"/>
      </w:rPr>
    </w:lvl>
    <w:lvl w:ilvl="3" w:tplc="04020001" w:tentative="1">
      <w:start w:val="1"/>
      <w:numFmt w:val="bullet"/>
      <w:lvlText w:val=""/>
      <w:lvlJc w:val="left"/>
      <w:pPr>
        <w:tabs>
          <w:tab w:val="num" w:pos="2823"/>
        </w:tabs>
        <w:ind w:left="2823" w:hanging="360"/>
      </w:pPr>
      <w:rPr>
        <w:rFonts w:ascii="Symbol" w:hAnsi="Symbol" w:hint="default"/>
      </w:rPr>
    </w:lvl>
    <w:lvl w:ilvl="4" w:tplc="04020003" w:tentative="1">
      <w:start w:val="1"/>
      <w:numFmt w:val="bullet"/>
      <w:lvlText w:val="o"/>
      <w:lvlJc w:val="left"/>
      <w:pPr>
        <w:tabs>
          <w:tab w:val="num" w:pos="3543"/>
        </w:tabs>
        <w:ind w:left="3543" w:hanging="360"/>
      </w:pPr>
      <w:rPr>
        <w:rFonts w:ascii="Courier New" w:hAnsi="Courier New" w:cs="Courier New" w:hint="default"/>
      </w:rPr>
    </w:lvl>
    <w:lvl w:ilvl="5" w:tplc="04020005" w:tentative="1">
      <w:start w:val="1"/>
      <w:numFmt w:val="bullet"/>
      <w:lvlText w:val=""/>
      <w:lvlJc w:val="left"/>
      <w:pPr>
        <w:tabs>
          <w:tab w:val="num" w:pos="4263"/>
        </w:tabs>
        <w:ind w:left="4263" w:hanging="360"/>
      </w:pPr>
      <w:rPr>
        <w:rFonts w:ascii="Wingdings" w:hAnsi="Wingdings" w:hint="default"/>
      </w:rPr>
    </w:lvl>
    <w:lvl w:ilvl="6" w:tplc="04020001" w:tentative="1">
      <w:start w:val="1"/>
      <w:numFmt w:val="bullet"/>
      <w:lvlText w:val=""/>
      <w:lvlJc w:val="left"/>
      <w:pPr>
        <w:tabs>
          <w:tab w:val="num" w:pos="4983"/>
        </w:tabs>
        <w:ind w:left="4983" w:hanging="360"/>
      </w:pPr>
      <w:rPr>
        <w:rFonts w:ascii="Symbol" w:hAnsi="Symbol" w:hint="default"/>
      </w:rPr>
    </w:lvl>
    <w:lvl w:ilvl="7" w:tplc="04020003" w:tentative="1">
      <w:start w:val="1"/>
      <w:numFmt w:val="bullet"/>
      <w:lvlText w:val="o"/>
      <w:lvlJc w:val="left"/>
      <w:pPr>
        <w:tabs>
          <w:tab w:val="num" w:pos="5703"/>
        </w:tabs>
        <w:ind w:left="5703" w:hanging="360"/>
      </w:pPr>
      <w:rPr>
        <w:rFonts w:ascii="Courier New" w:hAnsi="Courier New" w:cs="Courier New" w:hint="default"/>
      </w:rPr>
    </w:lvl>
    <w:lvl w:ilvl="8" w:tplc="04020005" w:tentative="1">
      <w:start w:val="1"/>
      <w:numFmt w:val="bullet"/>
      <w:lvlText w:val=""/>
      <w:lvlJc w:val="left"/>
      <w:pPr>
        <w:tabs>
          <w:tab w:val="num" w:pos="6423"/>
        </w:tabs>
        <w:ind w:left="6423" w:hanging="360"/>
      </w:pPr>
      <w:rPr>
        <w:rFonts w:ascii="Wingdings" w:hAnsi="Wingdings" w:hint="default"/>
      </w:rPr>
    </w:lvl>
  </w:abstractNum>
  <w:abstractNum w:abstractNumId="22" w15:restartNumberingAfterBreak="0">
    <w:nsid w:val="53A41434"/>
    <w:multiLevelType w:val="hybridMultilevel"/>
    <w:tmpl w:val="D4069CA2"/>
    <w:lvl w:ilvl="0" w:tplc="AB6E2D68">
      <w:start w:val="1"/>
      <w:numFmt w:val="bullet"/>
      <w:lvlText w:val=""/>
      <w:lvlJc w:val="left"/>
      <w:pPr>
        <w:tabs>
          <w:tab w:val="num" w:pos="7650"/>
        </w:tabs>
        <w:ind w:left="7650" w:hanging="360"/>
      </w:pPr>
      <w:rPr>
        <w:rFonts w:ascii="Wingdings" w:hAnsi="Wingdings" w:hint="default"/>
        <w:color w:val="auto"/>
        <w:sz w:val="24"/>
        <w:szCs w:val="24"/>
      </w:rPr>
    </w:lvl>
    <w:lvl w:ilvl="1" w:tplc="7DDCFFB6">
      <w:start w:val="1"/>
      <w:numFmt w:val="bullet"/>
      <w:lvlText w:val=""/>
      <w:lvlJc w:val="left"/>
      <w:pPr>
        <w:tabs>
          <w:tab w:val="num" w:pos="1440"/>
        </w:tabs>
        <w:ind w:left="1440" w:hanging="360"/>
      </w:pPr>
      <w:rPr>
        <w:rFonts w:ascii="Wingdings" w:hAnsi="Wingdings"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A14DC7"/>
    <w:multiLevelType w:val="hybridMultilevel"/>
    <w:tmpl w:val="0612223A"/>
    <w:lvl w:ilvl="0" w:tplc="04020003">
      <w:start w:val="1"/>
      <w:numFmt w:val="bullet"/>
      <w:lvlText w:val="o"/>
      <w:lvlJc w:val="left"/>
      <w:pPr>
        <w:tabs>
          <w:tab w:val="num" w:pos="1346"/>
        </w:tabs>
        <w:ind w:left="984" w:firstLine="96"/>
      </w:pPr>
      <w:rPr>
        <w:rFonts w:ascii="Courier New" w:hAnsi="Courier New" w:cs="Courier New" w:hint="default"/>
        <w:color w:val="auto"/>
      </w:rPr>
    </w:lvl>
    <w:lvl w:ilvl="1" w:tplc="04020003" w:tentative="1">
      <w:start w:val="1"/>
      <w:numFmt w:val="bullet"/>
      <w:lvlText w:val="o"/>
      <w:lvlJc w:val="left"/>
      <w:pPr>
        <w:tabs>
          <w:tab w:val="num" w:pos="1383"/>
        </w:tabs>
        <w:ind w:left="1383" w:hanging="360"/>
      </w:pPr>
      <w:rPr>
        <w:rFonts w:ascii="Courier New" w:hAnsi="Courier New" w:cs="Courier New" w:hint="default"/>
      </w:rPr>
    </w:lvl>
    <w:lvl w:ilvl="2" w:tplc="04020005" w:tentative="1">
      <w:start w:val="1"/>
      <w:numFmt w:val="bullet"/>
      <w:lvlText w:val=""/>
      <w:lvlJc w:val="left"/>
      <w:pPr>
        <w:tabs>
          <w:tab w:val="num" w:pos="2103"/>
        </w:tabs>
        <w:ind w:left="2103" w:hanging="360"/>
      </w:pPr>
      <w:rPr>
        <w:rFonts w:ascii="Wingdings" w:hAnsi="Wingdings" w:hint="default"/>
      </w:rPr>
    </w:lvl>
    <w:lvl w:ilvl="3" w:tplc="04020001" w:tentative="1">
      <w:start w:val="1"/>
      <w:numFmt w:val="bullet"/>
      <w:lvlText w:val=""/>
      <w:lvlJc w:val="left"/>
      <w:pPr>
        <w:tabs>
          <w:tab w:val="num" w:pos="2823"/>
        </w:tabs>
        <w:ind w:left="2823" w:hanging="360"/>
      </w:pPr>
      <w:rPr>
        <w:rFonts w:ascii="Symbol" w:hAnsi="Symbol" w:hint="default"/>
      </w:rPr>
    </w:lvl>
    <w:lvl w:ilvl="4" w:tplc="04020003" w:tentative="1">
      <w:start w:val="1"/>
      <w:numFmt w:val="bullet"/>
      <w:lvlText w:val="o"/>
      <w:lvlJc w:val="left"/>
      <w:pPr>
        <w:tabs>
          <w:tab w:val="num" w:pos="3543"/>
        </w:tabs>
        <w:ind w:left="3543" w:hanging="360"/>
      </w:pPr>
      <w:rPr>
        <w:rFonts w:ascii="Courier New" w:hAnsi="Courier New" w:cs="Courier New" w:hint="default"/>
      </w:rPr>
    </w:lvl>
    <w:lvl w:ilvl="5" w:tplc="04020005" w:tentative="1">
      <w:start w:val="1"/>
      <w:numFmt w:val="bullet"/>
      <w:lvlText w:val=""/>
      <w:lvlJc w:val="left"/>
      <w:pPr>
        <w:tabs>
          <w:tab w:val="num" w:pos="4263"/>
        </w:tabs>
        <w:ind w:left="4263" w:hanging="360"/>
      </w:pPr>
      <w:rPr>
        <w:rFonts w:ascii="Wingdings" w:hAnsi="Wingdings" w:hint="default"/>
      </w:rPr>
    </w:lvl>
    <w:lvl w:ilvl="6" w:tplc="04020001" w:tentative="1">
      <w:start w:val="1"/>
      <w:numFmt w:val="bullet"/>
      <w:lvlText w:val=""/>
      <w:lvlJc w:val="left"/>
      <w:pPr>
        <w:tabs>
          <w:tab w:val="num" w:pos="4983"/>
        </w:tabs>
        <w:ind w:left="4983" w:hanging="360"/>
      </w:pPr>
      <w:rPr>
        <w:rFonts w:ascii="Symbol" w:hAnsi="Symbol" w:hint="default"/>
      </w:rPr>
    </w:lvl>
    <w:lvl w:ilvl="7" w:tplc="04020003" w:tentative="1">
      <w:start w:val="1"/>
      <w:numFmt w:val="bullet"/>
      <w:lvlText w:val="o"/>
      <w:lvlJc w:val="left"/>
      <w:pPr>
        <w:tabs>
          <w:tab w:val="num" w:pos="5703"/>
        </w:tabs>
        <w:ind w:left="5703" w:hanging="360"/>
      </w:pPr>
      <w:rPr>
        <w:rFonts w:ascii="Courier New" w:hAnsi="Courier New" w:cs="Courier New" w:hint="default"/>
      </w:rPr>
    </w:lvl>
    <w:lvl w:ilvl="8" w:tplc="04020005" w:tentative="1">
      <w:start w:val="1"/>
      <w:numFmt w:val="bullet"/>
      <w:lvlText w:val=""/>
      <w:lvlJc w:val="left"/>
      <w:pPr>
        <w:tabs>
          <w:tab w:val="num" w:pos="6423"/>
        </w:tabs>
        <w:ind w:left="6423" w:hanging="360"/>
      </w:pPr>
      <w:rPr>
        <w:rFonts w:ascii="Wingdings" w:hAnsi="Wingdings" w:hint="default"/>
      </w:rPr>
    </w:lvl>
  </w:abstractNum>
  <w:abstractNum w:abstractNumId="24" w15:restartNumberingAfterBreak="0">
    <w:nsid w:val="55D92F24"/>
    <w:multiLevelType w:val="hybridMultilevel"/>
    <w:tmpl w:val="C3E23384"/>
    <w:lvl w:ilvl="0" w:tplc="0402000D">
      <w:start w:val="1"/>
      <w:numFmt w:val="bullet"/>
      <w:lvlText w:val=""/>
      <w:lvlJc w:val="left"/>
      <w:pPr>
        <w:ind w:left="2250" w:hanging="360"/>
      </w:pPr>
      <w:rPr>
        <w:rFonts w:ascii="Wingdings" w:hAnsi="Wingdings" w:hint="default"/>
      </w:rPr>
    </w:lvl>
    <w:lvl w:ilvl="1" w:tplc="04020003" w:tentative="1">
      <w:start w:val="1"/>
      <w:numFmt w:val="bullet"/>
      <w:lvlText w:val="o"/>
      <w:lvlJc w:val="left"/>
      <w:pPr>
        <w:ind w:left="2040" w:hanging="360"/>
      </w:pPr>
      <w:rPr>
        <w:rFonts w:ascii="Courier New" w:hAnsi="Courier New" w:cs="Courier New" w:hint="default"/>
      </w:rPr>
    </w:lvl>
    <w:lvl w:ilvl="2" w:tplc="04020005" w:tentative="1">
      <w:start w:val="1"/>
      <w:numFmt w:val="bullet"/>
      <w:lvlText w:val=""/>
      <w:lvlJc w:val="left"/>
      <w:pPr>
        <w:ind w:left="2760" w:hanging="360"/>
      </w:pPr>
      <w:rPr>
        <w:rFonts w:ascii="Wingdings" w:hAnsi="Wingdings" w:hint="default"/>
      </w:rPr>
    </w:lvl>
    <w:lvl w:ilvl="3" w:tplc="04020001" w:tentative="1">
      <w:start w:val="1"/>
      <w:numFmt w:val="bullet"/>
      <w:lvlText w:val=""/>
      <w:lvlJc w:val="left"/>
      <w:pPr>
        <w:ind w:left="3480" w:hanging="360"/>
      </w:pPr>
      <w:rPr>
        <w:rFonts w:ascii="Symbol" w:hAnsi="Symbol" w:hint="default"/>
      </w:rPr>
    </w:lvl>
    <w:lvl w:ilvl="4" w:tplc="04020003" w:tentative="1">
      <w:start w:val="1"/>
      <w:numFmt w:val="bullet"/>
      <w:lvlText w:val="o"/>
      <w:lvlJc w:val="left"/>
      <w:pPr>
        <w:ind w:left="4200" w:hanging="360"/>
      </w:pPr>
      <w:rPr>
        <w:rFonts w:ascii="Courier New" w:hAnsi="Courier New" w:cs="Courier New" w:hint="default"/>
      </w:rPr>
    </w:lvl>
    <w:lvl w:ilvl="5" w:tplc="04020005" w:tentative="1">
      <w:start w:val="1"/>
      <w:numFmt w:val="bullet"/>
      <w:lvlText w:val=""/>
      <w:lvlJc w:val="left"/>
      <w:pPr>
        <w:ind w:left="4920" w:hanging="360"/>
      </w:pPr>
      <w:rPr>
        <w:rFonts w:ascii="Wingdings" w:hAnsi="Wingdings" w:hint="default"/>
      </w:rPr>
    </w:lvl>
    <w:lvl w:ilvl="6" w:tplc="04020001" w:tentative="1">
      <w:start w:val="1"/>
      <w:numFmt w:val="bullet"/>
      <w:lvlText w:val=""/>
      <w:lvlJc w:val="left"/>
      <w:pPr>
        <w:ind w:left="5640" w:hanging="360"/>
      </w:pPr>
      <w:rPr>
        <w:rFonts w:ascii="Symbol" w:hAnsi="Symbol" w:hint="default"/>
      </w:rPr>
    </w:lvl>
    <w:lvl w:ilvl="7" w:tplc="04020003" w:tentative="1">
      <w:start w:val="1"/>
      <w:numFmt w:val="bullet"/>
      <w:lvlText w:val="o"/>
      <w:lvlJc w:val="left"/>
      <w:pPr>
        <w:ind w:left="6360" w:hanging="360"/>
      </w:pPr>
      <w:rPr>
        <w:rFonts w:ascii="Courier New" w:hAnsi="Courier New" w:cs="Courier New" w:hint="default"/>
      </w:rPr>
    </w:lvl>
    <w:lvl w:ilvl="8" w:tplc="04020005" w:tentative="1">
      <w:start w:val="1"/>
      <w:numFmt w:val="bullet"/>
      <w:lvlText w:val=""/>
      <w:lvlJc w:val="left"/>
      <w:pPr>
        <w:ind w:left="7080" w:hanging="360"/>
      </w:pPr>
      <w:rPr>
        <w:rFonts w:ascii="Wingdings" w:hAnsi="Wingdings" w:hint="default"/>
      </w:rPr>
    </w:lvl>
  </w:abstractNum>
  <w:abstractNum w:abstractNumId="25" w15:restartNumberingAfterBreak="0">
    <w:nsid w:val="582E15B7"/>
    <w:multiLevelType w:val="hybridMultilevel"/>
    <w:tmpl w:val="B862F89C"/>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6" w15:restartNumberingAfterBreak="0">
    <w:nsid w:val="643A5E75"/>
    <w:multiLevelType w:val="hybridMultilevel"/>
    <w:tmpl w:val="B314ADC8"/>
    <w:lvl w:ilvl="0" w:tplc="04020001">
      <w:start w:val="1"/>
      <w:numFmt w:val="bullet"/>
      <w:lvlText w:val=""/>
      <w:lvlJc w:val="left"/>
      <w:pPr>
        <w:tabs>
          <w:tab w:val="num" w:pos="1101"/>
        </w:tabs>
        <w:ind w:left="1101" w:hanging="360"/>
      </w:pPr>
      <w:rPr>
        <w:rFonts w:ascii="Symbol" w:hAnsi="Symbol" w:hint="default"/>
      </w:rPr>
    </w:lvl>
    <w:lvl w:ilvl="1" w:tplc="04020003">
      <w:start w:val="1"/>
      <w:numFmt w:val="bullet"/>
      <w:lvlText w:val="o"/>
      <w:lvlJc w:val="left"/>
      <w:pPr>
        <w:tabs>
          <w:tab w:val="num" w:pos="1821"/>
        </w:tabs>
        <w:ind w:left="1821" w:hanging="360"/>
      </w:pPr>
      <w:rPr>
        <w:rFonts w:ascii="Courier New" w:hAnsi="Courier New" w:cs="Courier New" w:hint="default"/>
      </w:rPr>
    </w:lvl>
    <w:lvl w:ilvl="2" w:tplc="04020005" w:tentative="1">
      <w:start w:val="1"/>
      <w:numFmt w:val="bullet"/>
      <w:lvlText w:val=""/>
      <w:lvlJc w:val="left"/>
      <w:pPr>
        <w:tabs>
          <w:tab w:val="num" w:pos="2541"/>
        </w:tabs>
        <w:ind w:left="2541" w:hanging="360"/>
      </w:pPr>
      <w:rPr>
        <w:rFonts w:ascii="Wingdings" w:hAnsi="Wingdings" w:hint="default"/>
      </w:rPr>
    </w:lvl>
    <w:lvl w:ilvl="3" w:tplc="04020001" w:tentative="1">
      <w:start w:val="1"/>
      <w:numFmt w:val="bullet"/>
      <w:lvlText w:val=""/>
      <w:lvlJc w:val="left"/>
      <w:pPr>
        <w:tabs>
          <w:tab w:val="num" w:pos="3261"/>
        </w:tabs>
        <w:ind w:left="3261" w:hanging="360"/>
      </w:pPr>
      <w:rPr>
        <w:rFonts w:ascii="Symbol" w:hAnsi="Symbol" w:hint="default"/>
      </w:rPr>
    </w:lvl>
    <w:lvl w:ilvl="4" w:tplc="04020003" w:tentative="1">
      <w:start w:val="1"/>
      <w:numFmt w:val="bullet"/>
      <w:lvlText w:val="o"/>
      <w:lvlJc w:val="left"/>
      <w:pPr>
        <w:tabs>
          <w:tab w:val="num" w:pos="3981"/>
        </w:tabs>
        <w:ind w:left="3981" w:hanging="360"/>
      </w:pPr>
      <w:rPr>
        <w:rFonts w:ascii="Courier New" w:hAnsi="Courier New" w:cs="Courier New" w:hint="default"/>
      </w:rPr>
    </w:lvl>
    <w:lvl w:ilvl="5" w:tplc="04020005" w:tentative="1">
      <w:start w:val="1"/>
      <w:numFmt w:val="bullet"/>
      <w:lvlText w:val=""/>
      <w:lvlJc w:val="left"/>
      <w:pPr>
        <w:tabs>
          <w:tab w:val="num" w:pos="4701"/>
        </w:tabs>
        <w:ind w:left="4701" w:hanging="360"/>
      </w:pPr>
      <w:rPr>
        <w:rFonts w:ascii="Wingdings" w:hAnsi="Wingdings" w:hint="default"/>
      </w:rPr>
    </w:lvl>
    <w:lvl w:ilvl="6" w:tplc="04020001" w:tentative="1">
      <w:start w:val="1"/>
      <w:numFmt w:val="bullet"/>
      <w:lvlText w:val=""/>
      <w:lvlJc w:val="left"/>
      <w:pPr>
        <w:tabs>
          <w:tab w:val="num" w:pos="5421"/>
        </w:tabs>
        <w:ind w:left="5421" w:hanging="360"/>
      </w:pPr>
      <w:rPr>
        <w:rFonts w:ascii="Symbol" w:hAnsi="Symbol" w:hint="default"/>
      </w:rPr>
    </w:lvl>
    <w:lvl w:ilvl="7" w:tplc="04020003" w:tentative="1">
      <w:start w:val="1"/>
      <w:numFmt w:val="bullet"/>
      <w:lvlText w:val="o"/>
      <w:lvlJc w:val="left"/>
      <w:pPr>
        <w:tabs>
          <w:tab w:val="num" w:pos="6141"/>
        </w:tabs>
        <w:ind w:left="6141" w:hanging="360"/>
      </w:pPr>
      <w:rPr>
        <w:rFonts w:ascii="Courier New" w:hAnsi="Courier New" w:cs="Courier New" w:hint="default"/>
      </w:rPr>
    </w:lvl>
    <w:lvl w:ilvl="8" w:tplc="04020005" w:tentative="1">
      <w:start w:val="1"/>
      <w:numFmt w:val="bullet"/>
      <w:lvlText w:val=""/>
      <w:lvlJc w:val="left"/>
      <w:pPr>
        <w:tabs>
          <w:tab w:val="num" w:pos="6861"/>
        </w:tabs>
        <w:ind w:left="6861" w:hanging="360"/>
      </w:pPr>
      <w:rPr>
        <w:rFonts w:ascii="Wingdings" w:hAnsi="Wingdings" w:hint="default"/>
      </w:rPr>
    </w:lvl>
  </w:abstractNum>
  <w:abstractNum w:abstractNumId="27" w15:restartNumberingAfterBreak="0">
    <w:nsid w:val="65CD370F"/>
    <w:multiLevelType w:val="hybridMultilevel"/>
    <w:tmpl w:val="F0D23F02"/>
    <w:lvl w:ilvl="0" w:tplc="708AF0F2">
      <w:start w:val="1"/>
      <w:numFmt w:val="bullet"/>
      <w:lvlText w:val=""/>
      <w:lvlJc w:val="left"/>
      <w:pPr>
        <w:tabs>
          <w:tab w:val="num" w:pos="700"/>
        </w:tabs>
        <w:ind w:left="700" w:hanging="360"/>
      </w:pPr>
      <w:rPr>
        <w:rFonts w:ascii="Symbol" w:hAnsi="Symbol" w:hint="default"/>
      </w:rPr>
    </w:lvl>
    <w:lvl w:ilvl="1" w:tplc="C7466056">
      <w:start w:val="1"/>
      <w:numFmt w:val="bullet"/>
      <w:lvlText w:val=""/>
      <w:lvlJc w:val="left"/>
      <w:pPr>
        <w:tabs>
          <w:tab w:val="num" w:pos="1440"/>
        </w:tabs>
        <w:ind w:left="740" w:firstLine="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9E6BBC"/>
    <w:multiLevelType w:val="hybridMultilevel"/>
    <w:tmpl w:val="A3186A2C"/>
    <w:lvl w:ilvl="0" w:tplc="3B28C328">
      <w:start w:val="1"/>
      <w:numFmt w:val="bullet"/>
      <w:lvlText w:val="♦"/>
      <w:lvlJc w:val="left"/>
      <w:pPr>
        <w:tabs>
          <w:tab w:val="num" w:pos="2880"/>
        </w:tabs>
        <w:ind w:left="2880" w:hanging="360"/>
      </w:pPr>
      <w:rPr>
        <w:rFonts w:ascii="Courier New" w:hAnsi="Courier New" w:hint="default"/>
        <w:sz w:val="24"/>
        <w:szCs w:val="24"/>
      </w:rPr>
    </w:lvl>
    <w:lvl w:ilvl="1" w:tplc="8D0EC7F8">
      <w:start w:val="1"/>
      <w:numFmt w:val="bullet"/>
      <w:lvlText w:val=""/>
      <w:lvlJc w:val="left"/>
      <w:pPr>
        <w:tabs>
          <w:tab w:val="num" w:pos="2160"/>
        </w:tabs>
        <w:ind w:left="2160" w:hanging="360"/>
      </w:pPr>
      <w:rPr>
        <w:rFonts w:ascii="Wingdings" w:hAnsi="Wingdings" w:hint="default"/>
        <w:color w:val="auto"/>
        <w:sz w:val="24"/>
        <w:szCs w:val="24"/>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8B65AC9"/>
    <w:multiLevelType w:val="hybridMultilevel"/>
    <w:tmpl w:val="313EA526"/>
    <w:lvl w:ilvl="0" w:tplc="257A31AA">
      <w:start w:val="1"/>
      <w:numFmt w:val="bullet"/>
      <w:lvlText w:val=""/>
      <w:lvlJc w:val="left"/>
      <w:pPr>
        <w:tabs>
          <w:tab w:val="num" w:pos="540"/>
        </w:tabs>
        <w:ind w:left="30" w:firstLine="15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204032"/>
    <w:multiLevelType w:val="hybridMultilevel"/>
    <w:tmpl w:val="5A7CE09A"/>
    <w:lvl w:ilvl="0" w:tplc="3B28C328">
      <w:start w:val="1"/>
      <w:numFmt w:val="bullet"/>
      <w:lvlText w:val="♦"/>
      <w:lvlJc w:val="left"/>
      <w:pPr>
        <w:tabs>
          <w:tab w:val="num" w:pos="2880"/>
        </w:tabs>
        <w:ind w:left="2880" w:hanging="360"/>
      </w:pPr>
      <w:rPr>
        <w:rFonts w:ascii="Courier New" w:hAnsi="Courier New" w:hint="default"/>
        <w:sz w:val="24"/>
        <w:szCs w:val="24"/>
      </w:rPr>
    </w:lvl>
    <w:lvl w:ilvl="1" w:tplc="7DDCFFB6">
      <w:start w:val="1"/>
      <w:numFmt w:val="bullet"/>
      <w:lvlText w:val=""/>
      <w:lvlJc w:val="left"/>
      <w:pPr>
        <w:tabs>
          <w:tab w:val="num" w:pos="2160"/>
        </w:tabs>
        <w:ind w:left="2160" w:hanging="360"/>
      </w:pPr>
      <w:rPr>
        <w:rFonts w:ascii="Wingdings" w:hAnsi="Wingdings" w:hint="default"/>
        <w:sz w:val="24"/>
        <w:szCs w:val="24"/>
      </w:rPr>
    </w:lvl>
    <w:lvl w:ilvl="2" w:tplc="F3BE7F08">
      <w:start w:val="1"/>
      <w:numFmt w:val="bullet"/>
      <w:lvlText w:val=""/>
      <w:lvlJc w:val="left"/>
      <w:pPr>
        <w:tabs>
          <w:tab w:val="num" w:pos="2880"/>
        </w:tabs>
        <w:ind w:left="2880" w:hanging="360"/>
      </w:pPr>
      <w:rPr>
        <w:rFonts w:ascii="Wingdings" w:hAnsi="Wingdings" w:hint="default"/>
        <w:color w:val="000000"/>
        <w:sz w:val="24"/>
        <w:szCs w:val="24"/>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6E544B1C"/>
    <w:multiLevelType w:val="hybridMultilevel"/>
    <w:tmpl w:val="F19A58DE"/>
    <w:lvl w:ilvl="0" w:tplc="0402000B">
      <w:start w:val="1"/>
      <w:numFmt w:val="bullet"/>
      <w:lvlText w:val=""/>
      <w:lvlJc w:val="left"/>
      <w:pPr>
        <w:ind w:left="928" w:hanging="360"/>
      </w:pPr>
      <w:rPr>
        <w:rFonts w:ascii="Wingdings" w:hAnsi="Wingdings"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32" w15:restartNumberingAfterBreak="0">
    <w:nsid w:val="6F1E15D4"/>
    <w:multiLevelType w:val="hybridMultilevel"/>
    <w:tmpl w:val="9DAEC4A6"/>
    <w:lvl w:ilvl="0" w:tplc="A0881FC2">
      <w:start w:val="1"/>
      <w:numFmt w:val="bullet"/>
      <w:lvlText w:val=""/>
      <w:lvlJc w:val="left"/>
      <w:pPr>
        <w:tabs>
          <w:tab w:val="num" w:pos="1440"/>
        </w:tabs>
        <w:ind w:left="740" w:firstLine="340"/>
      </w:pPr>
      <w:rPr>
        <w:rFonts w:ascii="Wingdings" w:hAnsi="Wingdings" w:hint="default"/>
        <w:color w:val="000000"/>
        <w:sz w:val="24"/>
        <w:szCs w:val="24"/>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78209C"/>
    <w:multiLevelType w:val="hybridMultilevel"/>
    <w:tmpl w:val="5624217C"/>
    <w:lvl w:ilvl="0" w:tplc="CA968970">
      <w:start w:val="43"/>
      <w:numFmt w:val="bullet"/>
      <w:lvlText w:val="-"/>
      <w:lvlJc w:val="left"/>
      <w:pPr>
        <w:ind w:left="1429" w:hanging="360"/>
      </w:pPr>
      <w:rPr>
        <w:rFonts w:ascii="Times New Roman" w:eastAsia="Times New Roman" w:hAnsi="Times New Roman" w:cs="Times New Roman" w:hint="default"/>
      </w:rPr>
    </w:lvl>
    <w:lvl w:ilvl="1" w:tplc="04020003">
      <w:start w:val="1"/>
      <w:numFmt w:val="bullet"/>
      <w:lvlText w:val="o"/>
      <w:lvlJc w:val="left"/>
      <w:pPr>
        <w:ind w:left="2149" w:hanging="360"/>
      </w:pPr>
      <w:rPr>
        <w:rFonts w:ascii="Courier New" w:hAnsi="Courier New" w:cs="Courier New" w:hint="default"/>
      </w:rPr>
    </w:lvl>
    <w:lvl w:ilvl="2" w:tplc="04020005">
      <w:start w:val="1"/>
      <w:numFmt w:val="bullet"/>
      <w:lvlText w:val=""/>
      <w:lvlJc w:val="left"/>
      <w:pPr>
        <w:ind w:left="2869" w:hanging="360"/>
      </w:pPr>
      <w:rPr>
        <w:rFonts w:ascii="Wingdings" w:hAnsi="Wingdings" w:hint="default"/>
      </w:rPr>
    </w:lvl>
    <w:lvl w:ilvl="3" w:tplc="04020001">
      <w:start w:val="1"/>
      <w:numFmt w:val="bullet"/>
      <w:lvlText w:val=""/>
      <w:lvlJc w:val="left"/>
      <w:pPr>
        <w:ind w:left="3589" w:hanging="360"/>
      </w:pPr>
      <w:rPr>
        <w:rFonts w:ascii="Symbol" w:hAnsi="Symbol" w:hint="default"/>
      </w:rPr>
    </w:lvl>
    <w:lvl w:ilvl="4" w:tplc="04020003">
      <w:start w:val="1"/>
      <w:numFmt w:val="bullet"/>
      <w:lvlText w:val="o"/>
      <w:lvlJc w:val="left"/>
      <w:pPr>
        <w:ind w:left="4309" w:hanging="360"/>
      </w:pPr>
      <w:rPr>
        <w:rFonts w:ascii="Courier New" w:hAnsi="Courier New" w:cs="Courier New" w:hint="default"/>
      </w:rPr>
    </w:lvl>
    <w:lvl w:ilvl="5" w:tplc="04020005">
      <w:start w:val="1"/>
      <w:numFmt w:val="bullet"/>
      <w:lvlText w:val=""/>
      <w:lvlJc w:val="left"/>
      <w:pPr>
        <w:ind w:left="5029" w:hanging="360"/>
      </w:pPr>
      <w:rPr>
        <w:rFonts w:ascii="Wingdings" w:hAnsi="Wingdings" w:hint="default"/>
      </w:rPr>
    </w:lvl>
    <w:lvl w:ilvl="6" w:tplc="04020001">
      <w:start w:val="1"/>
      <w:numFmt w:val="bullet"/>
      <w:lvlText w:val=""/>
      <w:lvlJc w:val="left"/>
      <w:pPr>
        <w:ind w:left="5749" w:hanging="360"/>
      </w:pPr>
      <w:rPr>
        <w:rFonts w:ascii="Symbol" w:hAnsi="Symbol" w:hint="default"/>
      </w:rPr>
    </w:lvl>
    <w:lvl w:ilvl="7" w:tplc="04020003">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hint="default"/>
      </w:rPr>
    </w:lvl>
  </w:abstractNum>
  <w:abstractNum w:abstractNumId="34" w15:restartNumberingAfterBreak="0">
    <w:nsid w:val="71812127"/>
    <w:multiLevelType w:val="multilevel"/>
    <w:tmpl w:val="FDE86A66"/>
    <w:lvl w:ilvl="0">
      <w:start w:val="1"/>
      <w:numFmt w:val="decimal"/>
      <w:lvlText w:val="%1."/>
      <w:lvlJc w:val="left"/>
      <w:pPr>
        <w:tabs>
          <w:tab w:val="num" w:pos="532"/>
        </w:tabs>
        <w:ind w:left="532" w:hanging="39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35" w15:restartNumberingAfterBreak="0">
    <w:nsid w:val="74400184"/>
    <w:multiLevelType w:val="hybridMultilevel"/>
    <w:tmpl w:val="93A0FF94"/>
    <w:lvl w:ilvl="0" w:tplc="A0881FC2">
      <w:start w:val="1"/>
      <w:numFmt w:val="bullet"/>
      <w:lvlText w:val=""/>
      <w:lvlJc w:val="left"/>
      <w:pPr>
        <w:tabs>
          <w:tab w:val="num" w:pos="1440"/>
        </w:tabs>
        <w:ind w:left="740" w:firstLine="340"/>
      </w:pPr>
      <w:rPr>
        <w:rFonts w:ascii="Wingdings" w:hAnsi="Wingdings" w:hint="default"/>
        <w:color w:val="000000"/>
        <w:sz w:val="24"/>
        <w:szCs w:val="24"/>
      </w:rPr>
    </w:lvl>
    <w:lvl w:ilvl="1" w:tplc="CAE42808">
      <w:start w:val="1"/>
      <w:numFmt w:val="bullet"/>
      <w:lvlText w:val=""/>
      <w:lvlJc w:val="left"/>
      <w:pPr>
        <w:tabs>
          <w:tab w:val="num" w:pos="1440"/>
        </w:tabs>
        <w:ind w:left="1440" w:hanging="360"/>
      </w:pPr>
      <w:rPr>
        <w:rFonts w:ascii="Wingdings" w:hAnsi="Wingdings" w:hint="default"/>
        <w:color w:val="000000"/>
        <w:sz w:val="24"/>
        <w:szCs w:val="24"/>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D837F9"/>
    <w:multiLevelType w:val="hybridMultilevel"/>
    <w:tmpl w:val="21AA00B6"/>
    <w:lvl w:ilvl="0" w:tplc="3B28C328">
      <w:start w:val="1"/>
      <w:numFmt w:val="bullet"/>
      <w:lvlText w:val="♦"/>
      <w:lvlJc w:val="left"/>
      <w:pPr>
        <w:tabs>
          <w:tab w:val="num" w:pos="2880"/>
        </w:tabs>
        <w:ind w:left="2880" w:hanging="360"/>
      </w:pPr>
      <w:rPr>
        <w:rFonts w:ascii="Courier New" w:hAnsi="Courier New" w:hint="default"/>
        <w:sz w:val="24"/>
        <w:szCs w:val="24"/>
      </w:rPr>
    </w:lvl>
    <w:lvl w:ilvl="1" w:tplc="72E4233E">
      <w:start w:val="1"/>
      <w:numFmt w:val="bullet"/>
      <w:lvlText w:val=""/>
      <w:lvlJc w:val="left"/>
      <w:pPr>
        <w:tabs>
          <w:tab w:val="num" w:pos="2160"/>
        </w:tabs>
        <w:ind w:left="2160" w:hanging="360"/>
      </w:pPr>
      <w:rPr>
        <w:rFonts w:ascii="Symbol" w:hAnsi="Symbol" w:hint="default"/>
        <w:sz w:val="24"/>
        <w:szCs w:val="24"/>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15"/>
  </w:num>
  <w:num w:numId="3">
    <w:abstractNumId w:val="29"/>
  </w:num>
  <w:num w:numId="4">
    <w:abstractNumId w:val="11"/>
  </w:num>
  <w:num w:numId="5">
    <w:abstractNumId w:val="32"/>
  </w:num>
  <w:num w:numId="6">
    <w:abstractNumId w:val="22"/>
  </w:num>
  <w:num w:numId="7">
    <w:abstractNumId w:val="27"/>
  </w:num>
  <w:num w:numId="8">
    <w:abstractNumId w:val="19"/>
  </w:num>
  <w:num w:numId="9">
    <w:abstractNumId w:val="34"/>
  </w:num>
  <w:num w:numId="10">
    <w:abstractNumId w:val="28"/>
  </w:num>
  <w:num w:numId="11">
    <w:abstractNumId w:val="26"/>
  </w:num>
  <w:num w:numId="12">
    <w:abstractNumId w:val="36"/>
  </w:num>
  <w:num w:numId="13">
    <w:abstractNumId w:val="35"/>
  </w:num>
  <w:num w:numId="14">
    <w:abstractNumId w:val="30"/>
  </w:num>
  <w:num w:numId="15">
    <w:abstractNumId w:val="17"/>
  </w:num>
  <w:num w:numId="16">
    <w:abstractNumId w:val="7"/>
  </w:num>
  <w:num w:numId="17">
    <w:abstractNumId w:val="8"/>
  </w:num>
  <w:num w:numId="18">
    <w:abstractNumId w:val="18"/>
  </w:num>
  <w:num w:numId="19">
    <w:abstractNumId w:val="24"/>
  </w:num>
  <w:num w:numId="20">
    <w:abstractNumId w:val="31"/>
  </w:num>
  <w:num w:numId="21">
    <w:abstractNumId w:val="25"/>
  </w:num>
  <w:num w:numId="22">
    <w:abstractNumId w:val="14"/>
  </w:num>
  <w:num w:numId="23">
    <w:abstractNumId w:val="0"/>
  </w:num>
  <w:num w:numId="24">
    <w:abstractNumId w:val="2"/>
  </w:num>
  <w:num w:numId="25">
    <w:abstractNumId w:val="33"/>
  </w:num>
  <w:num w:numId="26">
    <w:abstractNumId w:val="23"/>
  </w:num>
  <w:num w:numId="27">
    <w:abstractNumId w:val="6"/>
  </w:num>
  <w:num w:numId="28">
    <w:abstractNumId w:val="13"/>
  </w:num>
  <w:num w:numId="29">
    <w:abstractNumId w:val="21"/>
  </w:num>
  <w:num w:numId="30">
    <w:abstractNumId w:val="12"/>
  </w:num>
  <w:num w:numId="31">
    <w:abstractNumId w:val="1"/>
  </w:num>
  <w:num w:numId="32">
    <w:abstractNumId w:val="16"/>
  </w:num>
  <w:num w:numId="33">
    <w:abstractNumId w:val="9"/>
  </w:num>
  <w:num w:numId="34">
    <w:abstractNumId w:val="20"/>
  </w:num>
  <w:num w:numId="35">
    <w:abstractNumId w:val="3"/>
  </w:num>
  <w:num w:numId="36">
    <w:abstractNumId w:val="5"/>
  </w:num>
  <w:num w:numId="37">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E15"/>
    <w:rsid w:val="00000D15"/>
    <w:rsid w:val="00000EF0"/>
    <w:rsid w:val="00000FE1"/>
    <w:rsid w:val="00001580"/>
    <w:rsid w:val="000016BE"/>
    <w:rsid w:val="00001A67"/>
    <w:rsid w:val="00001ABF"/>
    <w:rsid w:val="00002BD7"/>
    <w:rsid w:val="00002D9C"/>
    <w:rsid w:val="00003489"/>
    <w:rsid w:val="00003B52"/>
    <w:rsid w:val="00003E35"/>
    <w:rsid w:val="00004264"/>
    <w:rsid w:val="00005544"/>
    <w:rsid w:val="00005A85"/>
    <w:rsid w:val="000063FC"/>
    <w:rsid w:val="000065C6"/>
    <w:rsid w:val="0000691E"/>
    <w:rsid w:val="00006956"/>
    <w:rsid w:val="00006A56"/>
    <w:rsid w:val="00006EBC"/>
    <w:rsid w:val="00007ABF"/>
    <w:rsid w:val="00007F94"/>
    <w:rsid w:val="000111D3"/>
    <w:rsid w:val="00011383"/>
    <w:rsid w:val="000119C6"/>
    <w:rsid w:val="000122E0"/>
    <w:rsid w:val="00012533"/>
    <w:rsid w:val="000126AC"/>
    <w:rsid w:val="0001276F"/>
    <w:rsid w:val="00012AE6"/>
    <w:rsid w:val="00013053"/>
    <w:rsid w:val="0001332F"/>
    <w:rsid w:val="0001356B"/>
    <w:rsid w:val="00013677"/>
    <w:rsid w:val="00013B93"/>
    <w:rsid w:val="00013C59"/>
    <w:rsid w:val="000146EA"/>
    <w:rsid w:val="000158A2"/>
    <w:rsid w:val="00015C0F"/>
    <w:rsid w:val="00015D5B"/>
    <w:rsid w:val="00017412"/>
    <w:rsid w:val="000175C7"/>
    <w:rsid w:val="000178CA"/>
    <w:rsid w:val="00017EA1"/>
    <w:rsid w:val="0002050E"/>
    <w:rsid w:val="000215BD"/>
    <w:rsid w:val="00021A5F"/>
    <w:rsid w:val="000221B7"/>
    <w:rsid w:val="000229E1"/>
    <w:rsid w:val="00022CAC"/>
    <w:rsid w:val="00022D9E"/>
    <w:rsid w:val="0002351F"/>
    <w:rsid w:val="00023BF6"/>
    <w:rsid w:val="00023D31"/>
    <w:rsid w:val="00024065"/>
    <w:rsid w:val="0002444B"/>
    <w:rsid w:val="0002477E"/>
    <w:rsid w:val="0002478B"/>
    <w:rsid w:val="000249B9"/>
    <w:rsid w:val="000256B4"/>
    <w:rsid w:val="00025953"/>
    <w:rsid w:val="00025F45"/>
    <w:rsid w:val="000261E2"/>
    <w:rsid w:val="00026903"/>
    <w:rsid w:val="0002693A"/>
    <w:rsid w:val="00026AD5"/>
    <w:rsid w:val="00027951"/>
    <w:rsid w:val="00027B74"/>
    <w:rsid w:val="00030353"/>
    <w:rsid w:val="00030658"/>
    <w:rsid w:val="000307D3"/>
    <w:rsid w:val="000311EA"/>
    <w:rsid w:val="00031377"/>
    <w:rsid w:val="00031593"/>
    <w:rsid w:val="00031710"/>
    <w:rsid w:val="000319CB"/>
    <w:rsid w:val="000320C8"/>
    <w:rsid w:val="00032966"/>
    <w:rsid w:val="0003319F"/>
    <w:rsid w:val="00033ACB"/>
    <w:rsid w:val="000340ED"/>
    <w:rsid w:val="00034135"/>
    <w:rsid w:val="00034396"/>
    <w:rsid w:val="00034FE3"/>
    <w:rsid w:val="0003586B"/>
    <w:rsid w:val="000359FA"/>
    <w:rsid w:val="0003621F"/>
    <w:rsid w:val="000363E3"/>
    <w:rsid w:val="000369D6"/>
    <w:rsid w:val="00036A1B"/>
    <w:rsid w:val="00036E3B"/>
    <w:rsid w:val="00037141"/>
    <w:rsid w:val="000377BC"/>
    <w:rsid w:val="000378DC"/>
    <w:rsid w:val="000406B2"/>
    <w:rsid w:val="0004080C"/>
    <w:rsid w:val="0004098D"/>
    <w:rsid w:val="00040C20"/>
    <w:rsid w:val="000411D9"/>
    <w:rsid w:val="00041338"/>
    <w:rsid w:val="000419FC"/>
    <w:rsid w:val="00042634"/>
    <w:rsid w:val="00042853"/>
    <w:rsid w:val="00042C9E"/>
    <w:rsid w:val="00042E57"/>
    <w:rsid w:val="0004338F"/>
    <w:rsid w:val="000436DD"/>
    <w:rsid w:val="000439F5"/>
    <w:rsid w:val="00043AA0"/>
    <w:rsid w:val="00043AB2"/>
    <w:rsid w:val="00043E35"/>
    <w:rsid w:val="00043E3A"/>
    <w:rsid w:val="00044147"/>
    <w:rsid w:val="0004426E"/>
    <w:rsid w:val="00044273"/>
    <w:rsid w:val="00045116"/>
    <w:rsid w:val="000465FC"/>
    <w:rsid w:val="0004753C"/>
    <w:rsid w:val="00050A1B"/>
    <w:rsid w:val="00051E5E"/>
    <w:rsid w:val="00052449"/>
    <w:rsid w:val="00052485"/>
    <w:rsid w:val="00052B23"/>
    <w:rsid w:val="00052C5C"/>
    <w:rsid w:val="00053B0F"/>
    <w:rsid w:val="00053C71"/>
    <w:rsid w:val="00053D51"/>
    <w:rsid w:val="00054555"/>
    <w:rsid w:val="000546BF"/>
    <w:rsid w:val="000546D0"/>
    <w:rsid w:val="000548B8"/>
    <w:rsid w:val="00054CE2"/>
    <w:rsid w:val="00054E02"/>
    <w:rsid w:val="00055007"/>
    <w:rsid w:val="000551E4"/>
    <w:rsid w:val="00055A61"/>
    <w:rsid w:val="00055DD1"/>
    <w:rsid w:val="00056221"/>
    <w:rsid w:val="00056B58"/>
    <w:rsid w:val="00056D9D"/>
    <w:rsid w:val="0005737D"/>
    <w:rsid w:val="00057886"/>
    <w:rsid w:val="00060A02"/>
    <w:rsid w:val="00060B42"/>
    <w:rsid w:val="000613BA"/>
    <w:rsid w:val="0006166E"/>
    <w:rsid w:val="00061758"/>
    <w:rsid w:val="000621DE"/>
    <w:rsid w:val="00062315"/>
    <w:rsid w:val="00062A78"/>
    <w:rsid w:val="00063235"/>
    <w:rsid w:val="00063CF1"/>
    <w:rsid w:val="00063E15"/>
    <w:rsid w:val="000642B9"/>
    <w:rsid w:val="00064472"/>
    <w:rsid w:val="0006477A"/>
    <w:rsid w:val="00064AF3"/>
    <w:rsid w:val="00064C44"/>
    <w:rsid w:val="00064E39"/>
    <w:rsid w:val="0006584F"/>
    <w:rsid w:val="00065A46"/>
    <w:rsid w:val="00065DF8"/>
    <w:rsid w:val="000663D1"/>
    <w:rsid w:val="000666C0"/>
    <w:rsid w:val="00066EED"/>
    <w:rsid w:val="00067283"/>
    <w:rsid w:val="0007047E"/>
    <w:rsid w:val="000709C1"/>
    <w:rsid w:val="00070A97"/>
    <w:rsid w:val="00071F12"/>
    <w:rsid w:val="00072D22"/>
    <w:rsid w:val="00073108"/>
    <w:rsid w:val="00073DF5"/>
    <w:rsid w:val="00074744"/>
    <w:rsid w:val="000751C1"/>
    <w:rsid w:val="00075256"/>
    <w:rsid w:val="0007526B"/>
    <w:rsid w:val="000768B3"/>
    <w:rsid w:val="000801C8"/>
    <w:rsid w:val="00080AB2"/>
    <w:rsid w:val="00080EF5"/>
    <w:rsid w:val="0008155D"/>
    <w:rsid w:val="0008165A"/>
    <w:rsid w:val="000819F9"/>
    <w:rsid w:val="00081AFD"/>
    <w:rsid w:val="00082392"/>
    <w:rsid w:val="00082679"/>
    <w:rsid w:val="000827A4"/>
    <w:rsid w:val="000829EB"/>
    <w:rsid w:val="00082BD9"/>
    <w:rsid w:val="00082DCA"/>
    <w:rsid w:val="0008327E"/>
    <w:rsid w:val="000832E5"/>
    <w:rsid w:val="000833A2"/>
    <w:rsid w:val="0008357F"/>
    <w:rsid w:val="000844A3"/>
    <w:rsid w:val="000853B1"/>
    <w:rsid w:val="00085704"/>
    <w:rsid w:val="00085734"/>
    <w:rsid w:val="00085B96"/>
    <w:rsid w:val="00085E01"/>
    <w:rsid w:val="00085E1A"/>
    <w:rsid w:val="00086FA7"/>
    <w:rsid w:val="00087295"/>
    <w:rsid w:val="0008745A"/>
    <w:rsid w:val="000878C4"/>
    <w:rsid w:val="0009002F"/>
    <w:rsid w:val="000900E3"/>
    <w:rsid w:val="000901EA"/>
    <w:rsid w:val="000902B5"/>
    <w:rsid w:val="00090D1D"/>
    <w:rsid w:val="00091196"/>
    <w:rsid w:val="00091BCE"/>
    <w:rsid w:val="000931C8"/>
    <w:rsid w:val="000937AB"/>
    <w:rsid w:val="000937E0"/>
    <w:rsid w:val="00093CFC"/>
    <w:rsid w:val="00093F6F"/>
    <w:rsid w:val="000943E4"/>
    <w:rsid w:val="00094625"/>
    <w:rsid w:val="000949D3"/>
    <w:rsid w:val="00094A6C"/>
    <w:rsid w:val="00094A78"/>
    <w:rsid w:val="00095164"/>
    <w:rsid w:val="000959DC"/>
    <w:rsid w:val="00095EF0"/>
    <w:rsid w:val="0009743A"/>
    <w:rsid w:val="000A052A"/>
    <w:rsid w:val="000A09A2"/>
    <w:rsid w:val="000A09BA"/>
    <w:rsid w:val="000A0B07"/>
    <w:rsid w:val="000A2294"/>
    <w:rsid w:val="000A301B"/>
    <w:rsid w:val="000A3426"/>
    <w:rsid w:val="000A397E"/>
    <w:rsid w:val="000A3F57"/>
    <w:rsid w:val="000A5B32"/>
    <w:rsid w:val="000A6E4D"/>
    <w:rsid w:val="000A7446"/>
    <w:rsid w:val="000A7841"/>
    <w:rsid w:val="000B0616"/>
    <w:rsid w:val="000B0815"/>
    <w:rsid w:val="000B09E5"/>
    <w:rsid w:val="000B0CE6"/>
    <w:rsid w:val="000B11FB"/>
    <w:rsid w:val="000B175F"/>
    <w:rsid w:val="000B1A24"/>
    <w:rsid w:val="000B1E59"/>
    <w:rsid w:val="000B25CC"/>
    <w:rsid w:val="000B2CBE"/>
    <w:rsid w:val="000B460F"/>
    <w:rsid w:val="000B474D"/>
    <w:rsid w:val="000B49EE"/>
    <w:rsid w:val="000B52FA"/>
    <w:rsid w:val="000B5F1E"/>
    <w:rsid w:val="000B62C7"/>
    <w:rsid w:val="000B6D3A"/>
    <w:rsid w:val="000B7234"/>
    <w:rsid w:val="000B7447"/>
    <w:rsid w:val="000B75C1"/>
    <w:rsid w:val="000B7C4F"/>
    <w:rsid w:val="000B7E66"/>
    <w:rsid w:val="000C06FE"/>
    <w:rsid w:val="000C0A44"/>
    <w:rsid w:val="000C0FA1"/>
    <w:rsid w:val="000C13A5"/>
    <w:rsid w:val="000C150D"/>
    <w:rsid w:val="000C244E"/>
    <w:rsid w:val="000C2FAC"/>
    <w:rsid w:val="000C4CBB"/>
    <w:rsid w:val="000C56B9"/>
    <w:rsid w:val="000C5ACF"/>
    <w:rsid w:val="000C5C6D"/>
    <w:rsid w:val="000C6742"/>
    <w:rsid w:val="000C69AE"/>
    <w:rsid w:val="000C6CB5"/>
    <w:rsid w:val="000C6CF3"/>
    <w:rsid w:val="000C72DC"/>
    <w:rsid w:val="000C7303"/>
    <w:rsid w:val="000C736E"/>
    <w:rsid w:val="000C75A5"/>
    <w:rsid w:val="000C75DD"/>
    <w:rsid w:val="000C7BB6"/>
    <w:rsid w:val="000D01A6"/>
    <w:rsid w:val="000D0538"/>
    <w:rsid w:val="000D06A6"/>
    <w:rsid w:val="000D0AB1"/>
    <w:rsid w:val="000D23F8"/>
    <w:rsid w:val="000D2516"/>
    <w:rsid w:val="000D26D5"/>
    <w:rsid w:val="000D2B33"/>
    <w:rsid w:val="000D2BE7"/>
    <w:rsid w:val="000D3407"/>
    <w:rsid w:val="000D3942"/>
    <w:rsid w:val="000D3FA7"/>
    <w:rsid w:val="000D4203"/>
    <w:rsid w:val="000D445F"/>
    <w:rsid w:val="000D46FD"/>
    <w:rsid w:val="000D49F5"/>
    <w:rsid w:val="000D4BEB"/>
    <w:rsid w:val="000D5449"/>
    <w:rsid w:val="000D5722"/>
    <w:rsid w:val="000D5EE2"/>
    <w:rsid w:val="000D6D92"/>
    <w:rsid w:val="000D725A"/>
    <w:rsid w:val="000D740D"/>
    <w:rsid w:val="000D78E4"/>
    <w:rsid w:val="000D7B46"/>
    <w:rsid w:val="000E0B42"/>
    <w:rsid w:val="000E0EBA"/>
    <w:rsid w:val="000E0EE9"/>
    <w:rsid w:val="000E1529"/>
    <w:rsid w:val="000E1EAF"/>
    <w:rsid w:val="000E1FB5"/>
    <w:rsid w:val="000E2207"/>
    <w:rsid w:val="000E234B"/>
    <w:rsid w:val="000E2869"/>
    <w:rsid w:val="000E2894"/>
    <w:rsid w:val="000E2B21"/>
    <w:rsid w:val="000E39DF"/>
    <w:rsid w:val="000E3BA7"/>
    <w:rsid w:val="000E3BD1"/>
    <w:rsid w:val="000E3CDC"/>
    <w:rsid w:val="000E4599"/>
    <w:rsid w:val="000E4CFE"/>
    <w:rsid w:val="000E4EB4"/>
    <w:rsid w:val="000E5205"/>
    <w:rsid w:val="000E5295"/>
    <w:rsid w:val="000E5483"/>
    <w:rsid w:val="000E5EE9"/>
    <w:rsid w:val="000E632B"/>
    <w:rsid w:val="000E6968"/>
    <w:rsid w:val="000E71C9"/>
    <w:rsid w:val="000E76B3"/>
    <w:rsid w:val="000E773D"/>
    <w:rsid w:val="000F04F4"/>
    <w:rsid w:val="000F26DE"/>
    <w:rsid w:val="000F2C41"/>
    <w:rsid w:val="000F3534"/>
    <w:rsid w:val="000F3A6E"/>
    <w:rsid w:val="000F3EA1"/>
    <w:rsid w:val="000F47A8"/>
    <w:rsid w:val="000F4AE4"/>
    <w:rsid w:val="000F4DCA"/>
    <w:rsid w:val="000F4F8C"/>
    <w:rsid w:val="000F5080"/>
    <w:rsid w:val="000F52E8"/>
    <w:rsid w:val="000F57CC"/>
    <w:rsid w:val="000F5EC6"/>
    <w:rsid w:val="000F5EF4"/>
    <w:rsid w:val="000F5F76"/>
    <w:rsid w:val="000F68AF"/>
    <w:rsid w:val="000F6975"/>
    <w:rsid w:val="000F6B35"/>
    <w:rsid w:val="0010026D"/>
    <w:rsid w:val="0010055E"/>
    <w:rsid w:val="001006E1"/>
    <w:rsid w:val="00100CE5"/>
    <w:rsid w:val="00100D97"/>
    <w:rsid w:val="001011A4"/>
    <w:rsid w:val="00101301"/>
    <w:rsid w:val="001017B7"/>
    <w:rsid w:val="00101B1C"/>
    <w:rsid w:val="0010212B"/>
    <w:rsid w:val="00102523"/>
    <w:rsid w:val="0010261A"/>
    <w:rsid w:val="00102869"/>
    <w:rsid w:val="001028F7"/>
    <w:rsid w:val="00102BA6"/>
    <w:rsid w:val="0010358B"/>
    <w:rsid w:val="00103BC3"/>
    <w:rsid w:val="001046B0"/>
    <w:rsid w:val="00104BB5"/>
    <w:rsid w:val="0010539A"/>
    <w:rsid w:val="001053A6"/>
    <w:rsid w:val="00106081"/>
    <w:rsid w:val="0010649F"/>
    <w:rsid w:val="0010683E"/>
    <w:rsid w:val="00106E64"/>
    <w:rsid w:val="00107065"/>
    <w:rsid w:val="00107258"/>
    <w:rsid w:val="0010743D"/>
    <w:rsid w:val="00107498"/>
    <w:rsid w:val="001077FA"/>
    <w:rsid w:val="00107C9F"/>
    <w:rsid w:val="00107F93"/>
    <w:rsid w:val="00110E74"/>
    <w:rsid w:val="0011106B"/>
    <w:rsid w:val="0011244D"/>
    <w:rsid w:val="00112882"/>
    <w:rsid w:val="00112CAC"/>
    <w:rsid w:val="00112E96"/>
    <w:rsid w:val="00113D6E"/>
    <w:rsid w:val="00113FD8"/>
    <w:rsid w:val="00114DE5"/>
    <w:rsid w:val="001168A8"/>
    <w:rsid w:val="00116D77"/>
    <w:rsid w:val="001173BA"/>
    <w:rsid w:val="001179C1"/>
    <w:rsid w:val="00117C68"/>
    <w:rsid w:val="00117CA6"/>
    <w:rsid w:val="001202E6"/>
    <w:rsid w:val="00120BC1"/>
    <w:rsid w:val="00120CC7"/>
    <w:rsid w:val="00121946"/>
    <w:rsid w:val="00122F3A"/>
    <w:rsid w:val="00122FCA"/>
    <w:rsid w:val="00123862"/>
    <w:rsid w:val="00123B59"/>
    <w:rsid w:val="00123CED"/>
    <w:rsid w:val="00123E2A"/>
    <w:rsid w:val="00124548"/>
    <w:rsid w:val="00124777"/>
    <w:rsid w:val="00124FAC"/>
    <w:rsid w:val="00124FB9"/>
    <w:rsid w:val="00125B7A"/>
    <w:rsid w:val="001260AA"/>
    <w:rsid w:val="001264C3"/>
    <w:rsid w:val="00126805"/>
    <w:rsid w:val="001269AE"/>
    <w:rsid w:val="00127D25"/>
    <w:rsid w:val="001301B6"/>
    <w:rsid w:val="001305A6"/>
    <w:rsid w:val="00131B05"/>
    <w:rsid w:val="00132423"/>
    <w:rsid w:val="00132AD1"/>
    <w:rsid w:val="00132CE0"/>
    <w:rsid w:val="00133033"/>
    <w:rsid w:val="0013308F"/>
    <w:rsid w:val="00133478"/>
    <w:rsid w:val="00133644"/>
    <w:rsid w:val="00133E02"/>
    <w:rsid w:val="001342F2"/>
    <w:rsid w:val="0013522E"/>
    <w:rsid w:val="0013588C"/>
    <w:rsid w:val="00135A23"/>
    <w:rsid w:val="00135E92"/>
    <w:rsid w:val="00136C08"/>
    <w:rsid w:val="00136DA4"/>
    <w:rsid w:val="001371FA"/>
    <w:rsid w:val="0013776C"/>
    <w:rsid w:val="00140E24"/>
    <w:rsid w:val="00140F18"/>
    <w:rsid w:val="00140F61"/>
    <w:rsid w:val="0014108F"/>
    <w:rsid w:val="00141B03"/>
    <w:rsid w:val="00142979"/>
    <w:rsid w:val="00142ABD"/>
    <w:rsid w:val="00142EDB"/>
    <w:rsid w:val="00143002"/>
    <w:rsid w:val="001434EA"/>
    <w:rsid w:val="00143814"/>
    <w:rsid w:val="001445AC"/>
    <w:rsid w:val="00144B67"/>
    <w:rsid w:val="00144BF2"/>
    <w:rsid w:val="00144F2D"/>
    <w:rsid w:val="0014585D"/>
    <w:rsid w:val="00145944"/>
    <w:rsid w:val="00145AD1"/>
    <w:rsid w:val="001462A0"/>
    <w:rsid w:val="00146314"/>
    <w:rsid w:val="001466F3"/>
    <w:rsid w:val="00146C11"/>
    <w:rsid w:val="00147195"/>
    <w:rsid w:val="00150706"/>
    <w:rsid w:val="00150793"/>
    <w:rsid w:val="00150D38"/>
    <w:rsid w:val="00151260"/>
    <w:rsid w:val="001514CB"/>
    <w:rsid w:val="00151757"/>
    <w:rsid w:val="001528EE"/>
    <w:rsid w:val="00152B9C"/>
    <w:rsid w:val="00153077"/>
    <w:rsid w:val="001535F3"/>
    <w:rsid w:val="00153DF3"/>
    <w:rsid w:val="00154247"/>
    <w:rsid w:val="00154DE5"/>
    <w:rsid w:val="00154FA1"/>
    <w:rsid w:val="00155948"/>
    <w:rsid w:val="00155B06"/>
    <w:rsid w:val="00156356"/>
    <w:rsid w:val="00156A3B"/>
    <w:rsid w:val="00156B18"/>
    <w:rsid w:val="00156F40"/>
    <w:rsid w:val="00157673"/>
    <w:rsid w:val="00157743"/>
    <w:rsid w:val="00157B70"/>
    <w:rsid w:val="00157EC4"/>
    <w:rsid w:val="00157EF5"/>
    <w:rsid w:val="0016023C"/>
    <w:rsid w:val="001606A4"/>
    <w:rsid w:val="00160A10"/>
    <w:rsid w:val="00160C5B"/>
    <w:rsid w:val="00160EC6"/>
    <w:rsid w:val="0016116C"/>
    <w:rsid w:val="0016122A"/>
    <w:rsid w:val="0016140B"/>
    <w:rsid w:val="001618CE"/>
    <w:rsid w:val="00161F90"/>
    <w:rsid w:val="001623A2"/>
    <w:rsid w:val="00162F68"/>
    <w:rsid w:val="00163645"/>
    <w:rsid w:val="001643F8"/>
    <w:rsid w:val="00164961"/>
    <w:rsid w:val="00164FAD"/>
    <w:rsid w:val="00165DB5"/>
    <w:rsid w:val="00165FF0"/>
    <w:rsid w:val="00166023"/>
    <w:rsid w:val="001663F9"/>
    <w:rsid w:val="001668BD"/>
    <w:rsid w:val="001671E2"/>
    <w:rsid w:val="001707FB"/>
    <w:rsid w:val="00170EFE"/>
    <w:rsid w:val="00171F8E"/>
    <w:rsid w:val="0017216E"/>
    <w:rsid w:val="0017293F"/>
    <w:rsid w:val="00172AEE"/>
    <w:rsid w:val="00173987"/>
    <w:rsid w:val="00174441"/>
    <w:rsid w:val="0017483F"/>
    <w:rsid w:val="00174C24"/>
    <w:rsid w:val="00175539"/>
    <w:rsid w:val="00175770"/>
    <w:rsid w:val="00175890"/>
    <w:rsid w:val="00175E50"/>
    <w:rsid w:val="00176340"/>
    <w:rsid w:val="00176403"/>
    <w:rsid w:val="00176AE7"/>
    <w:rsid w:val="00176CB6"/>
    <w:rsid w:val="00176E98"/>
    <w:rsid w:val="00177307"/>
    <w:rsid w:val="00180811"/>
    <w:rsid w:val="001808E6"/>
    <w:rsid w:val="00180AEF"/>
    <w:rsid w:val="0018154E"/>
    <w:rsid w:val="00181FCA"/>
    <w:rsid w:val="001820C4"/>
    <w:rsid w:val="001824F0"/>
    <w:rsid w:val="001827BB"/>
    <w:rsid w:val="00182A2B"/>
    <w:rsid w:val="00182A94"/>
    <w:rsid w:val="00182C1A"/>
    <w:rsid w:val="00182D63"/>
    <w:rsid w:val="00182F27"/>
    <w:rsid w:val="00183392"/>
    <w:rsid w:val="0018398A"/>
    <w:rsid w:val="00183D5F"/>
    <w:rsid w:val="00183EA5"/>
    <w:rsid w:val="00183FAF"/>
    <w:rsid w:val="00184502"/>
    <w:rsid w:val="0018452B"/>
    <w:rsid w:val="001845D5"/>
    <w:rsid w:val="001850C5"/>
    <w:rsid w:val="0018526D"/>
    <w:rsid w:val="00185A12"/>
    <w:rsid w:val="00185BF6"/>
    <w:rsid w:val="00185D08"/>
    <w:rsid w:val="00186C81"/>
    <w:rsid w:val="00186DF9"/>
    <w:rsid w:val="00187C31"/>
    <w:rsid w:val="00190379"/>
    <w:rsid w:val="00190983"/>
    <w:rsid w:val="0019151C"/>
    <w:rsid w:val="00191AA6"/>
    <w:rsid w:val="00191AB6"/>
    <w:rsid w:val="00191B55"/>
    <w:rsid w:val="00191EC8"/>
    <w:rsid w:val="00191F79"/>
    <w:rsid w:val="0019213B"/>
    <w:rsid w:val="0019232E"/>
    <w:rsid w:val="0019239F"/>
    <w:rsid w:val="001924F6"/>
    <w:rsid w:val="00192CDB"/>
    <w:rsid w:val="00193D9B"/>
    <w:rsid w:val="00193F20"/>
    <w:rsid w:val="0019413C"/>
    <w:rsid w:val="001941E4"/>
    <w:rsid w:val="001953AC"/>
    <w:rsid w:val="00195517"/>
    <w:rsid w:val="00195CF2"/>
    <w:rsid w:val="00195E11"/>
    <w:rsid w:val="00195F99"/>
    <w:rsid w:val="00195FB3"/>
    <w:rsid w:val="001965AA"/>
    <w:rsid w:val="0019667B"/>
    <w:rsid w:val="001968E4"/>
    <w:rsid w:val="001971AE"/>
    <w:rsid w:val="00197278"/>
    <w:rsid w:val="00197392"/>
    <w:rsid w:val="00197764"/>
    <w:rsid w:val="00197EC3"/>
    <w:rsid w:val="00197FB1"/>
    <w:rsid w:val="001A0204"/>
    <w:rsid w:val="001A0601"/>
    <w:rsid w:val="001A0BB0"/>
    <w:rsid w:val="001A1837"/>
    <w:rsid w:val="001A19C1"/>
    <w:rsid w:val="001A1C51"/>
    <w:rsid w:val="001A236F"/>
    <w:rsid w:val="001A2581"/>
    <w:rsid w:val="001A28BA"/>
    <w:rsid w:val="001A3051"/>
    <w:rsid w:val="001A3387"/>
    <w:rsid w:val="001A4493"/>
    <w:rsid w:val="001A4589"/>
    <w:rsid w:val="001A5350"/>
    <w:rsid w:val="001A5398"/>
    <w:rsid w:val="001A59AF"/>
    <w:rsid w:val="001A6777"/>
    <w:rsid w:val="001A718F"/>
    <w:rsid w:val="001A75B9"/>
    <w:rsid w:val="001B18C3"/>
    <w:rsid w:val="001B1C70"/>
    <w:rsid w:val="001B20E4"/>
    <w:rsid w:val="001B2D1F"/>
    <w:rsid w:val="001B2FCD"/>
    <w:rsid w:val="001B3285"/>
    <w:rsid w:val="001B370A"/>
    <w:rsid w:val="001B39DD"/>
    <w:rsid w:val="001B3BA9"/>
    <w:rsid w:val="001B3E1C"/>
    <w:rsid w:val="001B3EC4"/>
    <w:rsid w:val="001B4165"/>
    <w:rsid w:val="001B44DB"/>
    <w:rsid w:val="001B4DCE"/>
    <w:rsid w:val="001B5EA6"/>
    <w:rsid w:val="001B7035"/>
    <w:rsid w:val="001C0F05"/>
    <w:rsid w:val="001C110F"/>
    <w:rsid w:val="001C129D"/>
    <w:rsid w:val="001C15B0"/>
    <w:rsid w:val="001C239A"/>
    <w:rsid w:val="001C2EE5"/>
    <w:rsid w:val="001C395A"/>
    <w:rsid w:val="001C3A25"/>
    <w:rsid w:val="001C486C"/>
    <w:rsid w:val="001C4B35"/>
    <w:rsid w:val="001C4CCF"/>
    <w:rsid w:val="001C501A"/>
    <w:rsid w:val="001C5CC2"/>
    <w:rsid w:val="001C61DB"/>
    <w:rsid w:val="001C6573"/>
    <w:rsid w:val="001C6BA6"/>
    <w:rsid w:val="001C726D"/>
    <w:rsid w:val="001C78CA"/>
    <w:rsid w:val="001D0161"/>
    <w:rsid w:val="001D01FB"/>
    <w:rsid w:val="001D0221"/>
    <w:rsid w:val="001D13AD"/>
    <w:rsid w:val="001D15E5"/>
    <w:rsid w:val="001D2381"/>
    <w:rsid w:val="001D29EA"/>
    <w:rsid w:val="001D2AFB"/>
    <w:rsid w:val="001D2CE9"/>
    <w:rsid w:val="001D34AF"/>
    <w:rsid w:val="001D3E63"/>
    <w:rsid w:val="001D40DA"/>
    <w:rsid w:val="001D419F"/>
    <w:rsid w:val="001D43D0"/>
    <w:rsid w:val="001D5D9A"/>
    <w:rsid w:val="001D5F08"/>
    <w:rsid w:val="001D6081"/>
    <w:rsid w:val="001D681D"/>
    <w:rsid w:val="001D6B29"/>
    <w:rsid w:val="001D6F2E"/>
    <w:rsid w:val="001D71BC"/>
    <w:rsid w:val="001D7346"/>
    <w:rsid w:val="001D755A"/>
    <w:rsid w:val="001E0367"/>
    <w:rsid w:val="001E11E2"/>
    <w:rsid w:val="001E1857"/>
    <w:rsid w:val="001E2231"/>
    <w:rsid w:val="001E27FB"/>
    <w:rsid w:val="001E2B1A"/>
    <w:rsid w:val="001E373E"/>
    <w:rsid w:val="001E3753"/>
    <w:rsid w:val="001E383E"/>
    <w:rsid w:val="001E4011"/>
    <w:rsid w:val="001E4456"/>
    <w:rsid w:val="001E44C8"/>
    <w:rsid w:val="001E4518"/>
    <w:rsid w:val="001E467A"/>
    <w:rsid w:val="001E4E88"/>
    <w:rsid w:val="001E4FFF"/>
    <w:rsid w:val="001E5BEE"/>
    <w:rsid w:val="001E5ED0"/>
    <w:rsid w:val="001E619D"/>
    <w:rsid w:val="001E68EE"/>
    <w:rsid w:val="001E6A0D"/>
    <w:rsid w:val="001E7136"/>
    <w:rsid w:val="001E751C"/>
    <w:rsid w:val="001E77C4"/>
    <w:rsid w:val="001E7EA4"/>
    <w:rsid w:val="001F00B7"/>
    <w:rsid w:val="001F0EB5"/>
    <w:rsid w:val="001F1092"/>
    <w:rsid w:val="001F18AA"/>
    <w:rsid w:val="001F1E88"/>
    <w:rsid w:val="001F2337"/>
    <w:rsid w:val="001F2AD3"/>
    <w:rsid w:val="001F2FB5"/>
    <w:rsid w:val="001F367C"/>
    <w:rsid w:val="001F3E55"/>
    <w:rsid w:val="001F4EB9"/>
    <w:rsid w:val="001F4FDB"/>
    <w:rsid w:val="001F540A"/>
    <w:rsid w:val="001F58AB"/>
    <w:rsid w:val="001F5D2F"/>
    <w:rsid w:val="001F5E20"/>
    <w:rsid w:val="001F5FA3"/>
    <w:rsid w:val="001F60AC"/>
    <w:rsid w:val="001F6E1E"/>
    <w:rsid w:val="001F6F0C"/>
    <w:rsid w:val="001F728E"/>
    <w:rsid w:val="001F73E9"/>
    <w:rsid w:val="001F74B9"/>
    <w:rsid w:val="001F7F82"/>
    <w:rsid w:val="002002AA"/>
    <w:rsid w:val="002003C3"/>
    <w:rsid w:val="00200D50"/>
    <w:rsid w:val="002019D1"/>
    <w:rsid w:val="00201E8F"/>
    <w:rsid w:val="002023B3"/>
    <w:rsid w:val="00202CDB"/>
    <w:rsid w:val="00203052"/>
    <w:rsid w:val="00204381"/>
    <w:rsid w:val="00204779"/>
    <w:rsid w:val="00204799"/>
    <w:rsid w:val="00204B8D"/>
    <w:rsid w:val="00204EBE"/>
    <w:rsid w:val="002051EA"/>
    <w:rsid w:val="00205B05"/>
    <w:rsid w:val="002060C2"/>
    <w:rsid w:val="00207674"/>
    <w:rsid w:val="002076D5"/>
    <w:rsid w:val="00207C9E"/>
    <w:rsid w:val="002111F3"/>
    <w:rsid w:val="002117F4"/>
    <w:rsid w:val="002118E8"/>
    <w:rsid w:val="00211AE6"/>
    <w:rsid w:val="00212024"/>
    <w:rsid w:val="00212116"/>
    <w:rsid w:val="00212798"/>
    <w:rsid w:val="00213180"/>
    <w:rsid w:val="002136EF"/>
    <w:rsid w:val="00213A5A"/>
    <w:rsid w:val="00213D58"/>
    <w:rsid w:val="00213EB4"/>
    <w:rsid w:val="002142CA"/>
    <w:rsid w:val="0021481A"/>
    <w:rsid w:val="00214D1A"/>
    <w:rsid w:val="00214EEA"/>
    <w:rsid w:val="00214FBE"/>
    <w:rsid w:val="00215254"/>
    <w:rsid w:val="00215ADA"/>
    <w:rsid w:val="00216326"/>
    <w:rsid w:val="00216648"/>
    <w:rsid w:val="00216651"/>
    <w:rsid w:val="0021671E"/>
    <w:rsid w:val="00216AAD"/>
    <w:rsid w:val="00216C9A"/>
    <w:rsid w:val="00216D51"/>
    <w:rsid w:val="00217096"/>
    <w:rsid w:val="002175C4"/>
    <w:rsid w:val="00217C7A"/>
    <w:rsid w:val="00217E93"/>
    <w:rsid w:val="00217FC2"/>
    <w:rsid w:val="00220265"/>
    <w:rsid w:val="0022027B"/>
    <w:rsid w:val="00220699"/>
    <w:rsid w:val="00220CF8"/>
    <w:rsid w:val="00220D8D"/>
    <w:rsid w:val="0022151A"/>
    <w:rsid w:val="002215FD"/>
    <w:rsid w:val="002216C7"/>
    <w:rsid w:val="00221E48"/>
    <w:rsid w:val="00222173"/>
    <w:rsid w:val="00222228"/>
    <w:rsid w:val="00222370"/>
    <w:rsid w:val="00223892"/>
    <w:rsid w:val="00223940"/>
    <w:rsid w:val="00223F09"/>
    <w:rsid w:val="002245C8"/>
    <w:rsid w:val="0022465E"/>
    <w:rsid w:val="00225164"/>
    <w:rsid w:val="00225168"/>
    <w:rsid w:val="0023041D"/>
    <w:rsid w:val="00230974"/>
    <w:rsid w:val="00231385"/>
    <w:rsid w:val="002316E9"/>
    <w:rsid w:val="002326C1"/>
    <w:rsid w:val="00232A8A"/>
    <w:rsid w:val="00233032"/>
    <w:rsid w:val="002332F7"/>
    <w:rsid w:val="00233986"/>
    <w:rsid w:val="00233D50"/>
    <w:rsid w:val="00234372"/>
    <w:rsid w:val="00234798"/>
    <w:rsid w:val="00240C3D"/>
    <w:rsid w:val="00240D9B"/>
    <w:rsid w:val="002413A5"/>
    <w:rsid w:val="00241F56"/>
    <w:rsid w:val="002421FC"/>
    <w:rsid w:val="00242676"/>
    <w:rsid w:val="002433B0"/>
    <w:rsid w:val="00243641"/>
    <w:rsid w:val="0024415B"/>
    <w:rsid w:val="00244642"/>
    <w:rsid w:val="00244D15"/>
    <w:rsid w:val="00244E1B"/>
    <w:rsid w:val="00245474"/>
    <w:rsid w:val="0024558B"/>
    <w:rsid w:val="002462FC"/>
    <w:rsid w:val="00246417"/>
    <w:rsid w:val="00247270"/>
    <w:rsid w:val="0024752F"/>
    <w:rsid w:val="00247C3E"/>
    <w:rsid w:val="002500E6"/>
    <w:rsid w:val="00250178"/>
    <w:rsid w:val="00250302"/>
    <w:rsid w:val="002503BA"/>
    <w:rsid w:val="002509DA"/>
    <w:rsid w:val="00251005"/>
    <w:rsid w:val="0025173F"/>
    <w:rsid w:val="00251963"/>
    <w:rsid w:val="00251F57"/>
    <w:rsid w:val="0025220D"/>
    <w:rsid w:val="002529E3"/>
    <w:rsid w:val="00252E78"/>
    <w:rsid w:val="00253194"/>
    <w:rsid w:val="0025359A"/>
    <w:rsid w:val="00253905"/>
    <w:rsid w:val="002539F9"/>
    <w:rsid w:val="00253D47"/>
    <w:rsid w:val="002542A0"/>
    <w:rsid w:val="002545AB"/>
    <w:rsid w:val="00254667"/>
    <w:rsid w:val="0025469B"/>
    <w:rsid w:val="00254DAC"/>
    <w:rsid w:val="00254F00"/>
    <w:rsid w:val="00255101"/>
    <w:rsid w:val="002553EF"/>
    <w:rsid w:val="0025556C"/>
    <w:rsid w:val="002555A1"/>
    <w:rsid w:val="002557F9"/>
    <w:rsid w:val="002559EF"/>
    <w:rsid w:val="0025637F"/>
    <w:rsid w:val="002567D3"/>
    <w:rsid w:val="00256C8E"/>
    <w:rsid w:val="002572C6"/>
    <w:rsid w:val="00257669"/>
    <w:rsid w:val="00257837"/>
    <w:rsid w:val="00257A26"/>
    <w:rsid w:val="00257C58"/>
    <w:rsid w:val="002605A7"/>
    <w:rsid w:val="00260847"/>
    <w:rsid w:val="00261653"/>
    <w:rsid w:val="0026189C"/>
    <w:rsid w:val="00262391"/>
    <w:rsid w:val="0026368D"/>
    <w:rsid w:val="00263A27"/>
    <w:rsid w:val="0026424C"/>
    <w:rsid w:val="002642FC"/>
    <w:rsid w:val="002648B3"/>
    <w:rsid w:val="0026495C"/>
    <w:rsid w:val="0026544D"/>
    <w:rsid w:val="00266AF5"/>
    <w:rsid w:val="00266D04"/>
    <w:rsid w:val="00266F44"/>
    <w:rsid w:val="002672C4"/>
    <w:rsid w:val="002674FC"/>
    <w:rsid w:val="00267867"/>
    <w:rsid w:val="002701ED"/>
    <w:rsid w:val="0027076E"/>
    <w:rsid w:val="002715E5"/>
    <w:rsid w:val="00271642"/>
    <w:rsid w:val="00271A30"/>
    <w:rsid w:val="00271AF4"/>
    <w:rsid w:val="00272747"/>
    <w:rsid w:val="00272812"/>
    <w:rsid w:val="00273557"/>
    <w:rsid w:val="00273AF1"/>
    <w:rsid w:val="00273EB1"/>
    <w:rsid w:val="002742C4"/>
    <w:rsid w:val="002744A6"/>
    <w:rsid w:val="0027478C"/>
    <w:rsid w:val="002747FE"/>
    <w:rsid w:val="002749F4"/>
    <w:rsid w:val="00274CEA"/>
    <w:rsid w:val="00275BE1"/>
    <w:rsid w:val="002763DB"/>
    <w:rsid w:val="00276E87"/>
    <w:rsid w:val="00280101"/>
    <w:rsid w:val="00280569"/>
    <w:rsid w:val="0028159B"/>
    <w:rsid w:val="002822BC"/>
    <w:rsid w:val="00283343"/>
    <w:rsid w:val="00283475"/>
    <w:rsid w:val="002841B8"/>
    <w:rsid w:val="002843A3"/>
    <w:rsid w:val="00284488"/>
    <w:rsid w:val="0028457F"/>
    <w:rsid w:val="00284996"/>
    <w:rsid w:val="00284D15"/>
    <w:rsid w:val="00285044"/>
    <w:rsid w:val="002852B7"/>
    <w:rsid w:val="0028534D"/>
    <w:rsid w:val="00285594"/>
    <w:rsid w:val="00285654"/>
    <w:rsid w:val="00285B0D"/>
    <w:rsid w:val="00285BC7"/>
    <w:rsid w:val="0028636E"/>
    <w:rsid w:val="00286740"/>
    <w:rsid w:val="00286AC4"/>
    <w:rsid w:val="00287F6C"/>
    <w:rsid w:val="00290163"/>
    <w:rsid w:val="002907AE"/>
    <w:rsid w:val="00290876"/>
    <w:rsid w:val="00290C55"/>
    <w:rsid w:val="00290EE6"/>
    <w:rsid w:val="00291201"/>
    <w:rsid w:val="00292884"/>
    <w:rsid w:val="00292971"/>
    <w:rsid w:val="00292EC1"/>
    <w:rsid w:val="00293051"/>
    <w:rsid w:val="0029338A"/>
    <w:rsid w:val="002939EB"/>
    <w:rsid w:val="00293D1E"/>
    <w:rsid w:val="00294726"/>
    <w:rsid w:val="0029481A"/>
    <w:rsid w:val="00294B02"/>
    <w:rsid w:val="00294D83"/>
    <w:rsid w:val="00295308"/>
    <w:rsid w:val="00295594"/>
    <w:rsid w:val="00295917"/>
    <w:rsid w:val="0029593D"/>
    <w:rsid w:val="00295C97"/>
    <w:rsid w:val="002961BB"/>
    <w:rsid w:val="002968B1"/>
    <w:rsid w:val="002968FE"/>
    <w:rsid w:val="00296F46"/>
    <w:rsid w:val="0029717D"/>
    <w:rsid w:val="00297C07"/>
    <w:rsid w:val="002A1277"/>
    <w:rsid w:val="002A1772"/>
    <w:rsid w:val="002A2035"/>
    <w:rsid w:val="002A29F2"/>
    <w:rsid w:val="002A3C2E"/>
    <w:rsid w:val="002A4706"/>
    <w:rsid w:val="002A4845"/>
    <w:rsid w:val="002A50A9"/>
    <w:rsid w:val="002A5F57"/>
    <w:rsid w:val="002A6CBF"/>
    <w:rsid w:val="002A6D63"/>
    <w:rsid w:val="002A743A"/>
    <w:rsid w:val="002A748F"/>
    <w:rsid w:val="002B02E8"/>
    <w:rsid w:val="002B0384"/>
    <w:rsid w:val="002B1377"/>
    <w:rsid w:val="002B14CD"/>
    <w:rsid w:val="002B2304"/>
    <w:rsid w:val="002B25B2"/>
    <w:rsid w:val="002B25DE"/>
    <w:rsid w:val="002B2668"/>
    <w:rsid w:val="002B2B8E"/>
    <w:rsid w:val="002B2EF8"/>
    <w:rsid w:val="002B323C"/>
    <w:rsid w:val="002B3244"/>
    <w:rsid w:val="002B3E0D"/>
    <w:rsid w:val="002B3E89"/>
    <w:rsid w:val="002B41C0"/>
    <w:rsid w:val="002B484C"/>
    <w:rsid w:val="002B4D3E"/>
    <w:rsid w:val="002B5C17"/>
    <w:rsid w:val="002B5D34"/>
    <w:rsid w:val="002B6133"/>
    <w:rsid w:val="002B695A"/>
    <w:rsid w:val="002B6BB4"/>
    <w:rsid w:val="002B73E2"/>
    <w:rsid w:val="002B7904"/>
    <w:rsid w:val="002B79DA"/>
    <w:rsid w:val="002B7F97"/>
    <w:rsid w:val="002C0110"/>
    <w:rsid w:val="002C0304"/>
    <w:rsid w:val="002C079D"/>
    <w:rsid w:val="002C096A"/>
    <w:rsid w:val="002C12D6"/>
    <w:rsid w:val="002C18B7"/>
    <w:rsid w:val="002C1B26"/>
    <w:rsid w:val="002C23BF"/>
    <w:rsid w:val="002C24D7"/>
    <w:rsid w:val="002C286D"/>
    <w:rsid w:val="002C2CAC"/>
    <w:rsid w:val="002C2F26"/>
    <w:rsid w:val="002C2F4E"/>
    <w:rsid w:val="002C30BA"/>
    <w:rsid w:val="002C33B7"/>
    <w:rsid w:val="002C3578"/>
    <w:rsid w:val="002C3ED6"/>
    <w:rsid w:val="002C418B"/>
    <w:rsid w:val="002C4201"/>
    <w:rsid w:val="002C468E"/>
    <w:rsid w:val="002C4D33"/>
    <w:rsid w:val="002C522A"/>
    <w:rsid w:val="002C541C"/>
    <w:rsid w:val="002C64F3"/>
    <w:rsid w:val="002C6996"/>
    <w:rsid w:val="002C69F6"/>
    <w:rsid w:val="002C6C5B"/>
    <w:rsid w:val="002C7537"/>
    <w:rsid w:val="002D00C7"/>
    <w:rsid w:val="002D030C"/>
    <w:rsid w:val="002D0399"/>
    <w:rsid w:val="002D0882"/>
    <w:rsid w:val="002D1067"/>
    <w:rsid w:val="002D11C6"/>
    <w:rsid w:val="002D1252"/>
    <w:rsid w:val="002D17B2"/>
    <w:rsid w:val="002D17E3"/>
    <w:rsid w:val="002D2739"/>
    <w:rsid w:val="002D2B07"/>
    <w:rsid w:val="002D2DC4"/>
    <w:rsid w:val="002D2FA5"/>
    <w:rsid w:val="002D3AE3"/>
    <w:rsid w:val="002D3F6E"/>
    <w:rsid w:val="002D4760"/>
    <w:rsid w:val="002D516B"/>
    <w:rsid w:val="002D51C1"/>
    <w:rsid w:val="002D527A"/>
    <w:rsid w:val="002D5811"/>
    <w:rsid w:val="002D6978"/>
    <w:rsid w:val="002D6A0C"/>
    <w:rsid w:val="002D6A9D"/>
    <w:rsid w:val="002D72DE"/>
    <w:rsid w:val="002D7651"/>
    <w:rsid w:val="002D7BAD"/>
    <w:rsid w:val="002D7BFC"/>
    <w:rsid w:val="002E029F"/>
    <w:rsid w:val="002E090F"/>
    <w:rsid w:val="002E0B57"/>
    <w:rsid w:val="002E11C3"/>
    <w:rsid w:val="002E130D"/>
    <w:rsid w:val="002E1ADD"/>
    <w:rsid w:val="002E1AFB"/>
    <w:rsid w:val="002E1EDB"/>
    <w:rsid w:val="002E20E4"/>
    <w:rsid w:val="002E2255"/>
    <w:rsid w:val="002E2470"/>
    <w:rsid w:val="002E2C27"/>
    <w:rsid w:val="002E2D64"/>
    <w:rsid w:val="002E2F63"/>
    <w:rsid w:val="002E339C"/>
    <w:rsid w:val="002E4150"/>
    <w:rsid w:val="002E43D0"/>
    <w:rsid w:val="002E49A6"/>
    <w:rsid w:val="002E5EF1"/>
    <w:rsid w:val="002E6EAB"/>
    <w:rsid w:val="002E7799"/>
    <w:rsid w:val="002E7F57"/>
    <w:rsid w:val="002F013B"/>
    <w:rsid w:val="002F0511"/>
    <w:rsid w:val="002F0637"/>
    <w:rsid w:val="002F094A"/>
    <w:rsid w:val="002F0E98"/>
    <w:rsid w:val="002F1617"/>
    <w:rsid w:val="002F209C"/>
    <w:rsid w:val="002F2AA4"/>
    <w:rsid w:val="002F37A8"/>
    <w:rsid w:val="002F3E25"/>
    <w:rsid w:val="002F4E32"/>
    <w:rsid w:val="002F5021"/>
    <w:rsid w:val="002F50A5"/>
    <w:rsid w:val="002F50FC"/>
    <w:rsid w:val="002F5497"/>
    <w:rsid w:val="002F56B6"/>
    <w:rsid w:val="002F58D7"/>
    <w:rsid w:val="002F60FF"/>
    <w:rsid w:val="002F6391"/>
    <w:rsid w:val="002F6888"/>
    <w:rsid w:val="002F68BA"/>
    <w:rsid w:val="002F6AC3"/>
    <w:rsid w:val="002F6D4A"/>
    <w:rsid w:val="002F748D"/>
    <w:rsid w:val="002F781A"/>
    <w:rsid w:val="002F7EAC"/>
    <w:rsid w:val="00300566"/>
    <w:rsid w:val="003006DA"/>
    <w:rsid w:val="0030071E"/>
    <w:rsid w:val="00300C77"/>
    <w:rsid w:val="00300DE1"/>
    <w:rsid w:val="00300E8B"/>
    <w:rsid w:val="0030108C"/>
    <w:rsid w:val="003015BA"/>
    <w:rsid w:val="00301C2C"/>
    <w:rsid w:val="00301E6A"/>
    <w:rsid w:val="00302CD2"/>
    <w:rsid w:val="00302D9D"/>
    <w:rsid w:val="0030300D"/>
    <w:rsid w:val="00303208"/>
    <w:rsid w:val="00303427"/>
    <w:rsid w:val="0030350B"/>
    <w:rsid w:val="00303543"/>
    <w:rsid w:val="00303716"/>
    <w:rsid w:val="00303B0B"/>
    <w:rsid w:val="00303BB4"/>
    <w:rsid w:val="00304129"/>
    <w:rsid w:val="00304177"/>
    <w:rsid w:val="00304DDA"/>
    <w:rsid w:val="00304EE1"/>
    <w:rsid w:val="00305CF4"/>
    <w:rsid w:val="00305F56"/>
    <w:rsid w:val="00306C7B"/>
    <w:rsid w:val="00307BFD"/>
    <w:rsid w:val="00307CF9"/>
    <w:rsid w:val="00307E09"/>
    <w:rsid w:val="00307E4B"/>
    <w:rsid w:val="00307F21"/>
    <w:rsid w:val="00310430"/>
    <w:rsid w:val="003114FA"/>
    <w:rsid w:val="00311BEA"/>
    <w:rsid w:val="00311D79"/>
    <w:rsid w:val="00312B38"/>
    <w:rsid w:val="00313799"/>
    <w:rsid w:val="00313907"/>
    <w:rsid w:val="00313A44"/>
    <w:rsid w:val="00313E37"/>
    <w:rsid w:val="00314D1E"/>
    <w:rsid w:val="00315073"/>
    <w:rsid w:val="00315241"/>
    <w:rsid w:val="003153BB"/>
    <w:rsid w:val="003159D9"/>
    <w:rsid w:val="0031729F"/>
    <w:rsid w:val="003174F8"/>
    <w:rsid w:val="003175E9"/>
    <w:rsid w:val="00317FD8"/>
    <w:rsid w:val="00320B2A"/>
    <w:rsid w:val="00320F20"/>
    <w:rsid w:val="00321098"/>
    <w:rsid w:val="00321558"/>
    <w:rsid w:val="00321743"/>
    <w:rsid w:val="00322176"/>
    <w:rsid w:val="00322BE4"/>
    <w:rsid w:val="00322F9A"/>
    <w:rsid w:val="00322FA8"/>
    <w:rsid w:val="0032450A"/>
    <w:rsid w:val="00324DD1"/>
    <w:rsid w:val="00325472"/>
    <w:rsid w:val="003256C9"/>
    <w:rsid w:val="00325769"/>
    <w:rsid w:val="00325AC3"/>
    <w:rsid w:val="00326155"/>
    <w:rsid w:val="00326B55"/>
    <w:rsid w:val="00327425"/>
    <w:rsid w:val="003302F6"/>
    <w:rsid w:val="00330509"/>
    <w:rsid w:val="003308A9"/>
    <w:rsid w:val="00330C3B"/>
    <w:rsid w:val="0033105F"/>
    <w:rsid w:val="003310A7"/>
    <w:rsid w:val="003311C5"/>
    <w:rsid w:val="00331432"/>
    <w:rsid w:val="00331492"/>
    <w:rsid w:val="00331D03"/>
    <w:rsid w:val="00332972"/>
    <w:rsid w:val="0033309B"/>
    <w:rsid w:val="00333789"/>
    <w:rsid w:val="00333B5E"/>
    <w:rsid w:val="0033433C"/>
    <w:rsid w:val="0033470F"/>
    <w:rsid w:val="00334766"/>
    <w:rsid w:val="00334E1E"/>
    <w:rsid w:val="00335348"/>
    <w:rsid w:val="00335F25"/>
    <w:rsid w:val="00336631"/>
    <w:rsid w:val="003368A9"/>
    <w:rsid w:val="00337244"/>
    <w:rsid w:val="00337793"/>
    <w:rsid w:val="00337863"/>
    <w:rsid w:val="00337CA7"/>
    <w:rsid w:val="00340786"/>
    <w:rsid w:val="00340CE0"/>
    <w:rsid w:val="00341022"/>
    <w:rsid w:val="003418A7"/>
    <w:rsid w:val="00342205"/>
    <w:rsid w:val="003423EB"/>
    <w:rsid w:val="003429F1"/>
    <w:rsid w:val="00342B71"/>
    <w:rsid w:val="00342EDD"/>
    <w:rsid w:val="0034309B"/>
    <w:rsid w:val="00343737"/>
    <w:rsid w:val="00344353"/>
    <w:rsid w:val="00344B38"/>
    <w:rsid w:val="00344F04"/>
    <w:rsid w:val="003451EB"/>
    <w:rsid w:val="003459AC"/>
    <w:rsid w:val="00345C37"/>
    <w:rsid w:val="003464BD"/>
    <w:rsid w:val="00346D46"/>
    <w:rsid w:val="00346E32"/>
    <w:rsid w:val="0034755B"/>
    <w:rsid w:val="00347A59"/>
    <w:rsid w:val="00347E97"/>
    <w:rsid w:val="00350336"/>
    <w:rsid w:val="00350EF3"/>
    <w:rsid w:val="00351513"/>
    <w:rsid w:val="00351BD9"/>
    <w:rsid w:val="00352C2B"/>
    <w:rsid w:val="00352F76"/>
    <w:rsid w:val="0035338B"/>
    <w:rsid w:val="003533A4"/>
    <w:rsid w:val="0035368F"/>
    <w:rsid w:val="00354E8D"/>
    <w:rsid w:val="0035525B"/>
    <w:rsid w:val="003554A7"/>
    <w:rsid w:val="00355C2D"/>
    <w:rsid w:val="00355C89"/>
    <w:rsid w:val="00356698"/>
    <w:rsid w:val="00356CE8"/>
    <w:rsid w:val="003574DE"/>
    <w:rsid w:val="00357827"/>
    <w:rsid w:val="00357974"/>
    <w:rsid w:val="003579F2"/>
    <w:rsid w:val="003579F9"/>
    <w:rsid w:val="00360058"/>
    <w:rsid w:val="00360470"/>
    <w:rsid w:val="00360BE6"/>
    <w:rsid w:val="00360D78"/>
    <w:rsid w:val="00360FE2"/>
    <w:rsid w:val="00361524"/>
    <w:rsid w:val="003615A7"/>
    <w:rsid w:val="00361EAF"/>
    <w:rsid w:val="00361FC7"/>
    <w:rsid w:val="00362463"/>
    <w:rsid w:val="0036257D"/>
    <w:rsid w:val="003628B0"/>
    <w:rsid w:val="00363014"/>
    <w:rsid w:val="0036316C"/>
    <w:rsid w:val="00363315"/>
    <w:rsid w:val="0036333F"/>
    <w:rsid w:val="003636BA"/>
    <w:rsid w:val="00363C1A"/>
    <w:rsid w:val="00363CA0"/>
    <w:rsid w:val="00363E99"/>
    <w:rsid w:val="00364563"/>
    <w:rsid w:val="00364D6E"/>
    <w:rsid w:val="00365679"/>
    <w:rsid w:val="00365690"/>
    <w:rsid w:val="0036577B"/>
    <w:rsid w:val="00365959"/>
    <w:rsid w:val="00366ACD"/>
    <w:rsid w:val="00367033"/>
    <w:rsid w:val="003674D9"/>
    <w:rsid w:val="00367850"/>
    <w:rsid w:val="0037017F"/>
    <w:rsid w:val="00370377"/>
    <w:rsid w:val="00370CE8"/>
    <w:rsid w:val="00371384"/>
    <w:rsid w:val="00371B0D"/>
    <w:rsid w:val="00371EEF"/>
    <w:rsid w:val="00372654"/>
    <w:rsid w:val="00372965"/>
    <w:rsid w:val="00372C6F"/>
    <w:rsid w:val="00373E32"/>
    <w:rsid w:val="0037459F"/>
    <w:rsid w:val="003748CB"/>
    <w:rsid w:val="00374CB3"/>
    <w:rsid w:val="00375136"/>
    <w:rsid w:val="00375C31"/>
    <w:rsid w:val="00376467"/>
    <w:rsid w:val="00376A38"/>
    <w:rsid w:val="00377622"/>
    <w:rsid w:val="00377E04"/>
    <w:rsid w:val="00377FA0"/>
    <w:rsid w:val="00380F3E"/>
    <w:rsid w:val="00380F49"/>
    <w:rsid w:val="003810AB"/>
    <w:rsid w:val="00381745"/>
    <w:rsid w:val="00381764"/>
    <w:rsid w:val="00382167"/>
    <w:rsid w:val="0038363F"/>
    <w:rsid w:val="00383E33"/>
    <w:rsid w:val="003849E0"/>
    <w:rsid w:val="00384DDA"/>
    <w:rsid w:val="00385316"/>
    <w:rsid w:val="003854E9"/>
    <w:rsid w:val="0038577D"/>
    <w:rsid w:val="00385C8A"/>
    <w:rsid w:val="00386827"/>
    <w:rsid w:val="0038746F"/>
    <w:rsid w:val="003878ED"/>
    <w:rsid w:val="00387FF5"/>
    <w:rsid w:val="00390575"/>
    <w:rsid w:val="003906CD"/>
    <w:rsid w:val="00391125"/>
    <w:rsid w:val="0039136E"/>
    <w:rsid w:val="00391F0E"/>
    <w:rsid w:val="003922B1"/>
    <w:rsid w:val="0039296F"/>
    <w:rsid w:val="003930B5"/>
    <w:rsid w:val="0039334A"/>
    <w:rsid w:val="00393468"/>
    <w:rsid w:val="00393585"/>
    <w:rsid w:val="003935B9"/>
    <w:rsid w:val="00394234"/>
    <w:rsid w:val="00394441"/>
    <w:rsid w:val="00395CCF"/>
    <w:rsid w:val="00396338"/>
    <w:rsid w:val="00396749"/>
    <w:rsid w:val="003967B0"/>
    <w:rsid w:val="00396958"/>
    <w:rsid w:val="00396B1E"/>
    <w:rsid w:val="00396BCA"/>
    <w:rsid w:val="00396E17"/>
    <w:rsid w:val="003973DD"/>
    <w:rsid w:val="003A06C5"/>
    <w:rsid w:val="003A0890"/>
    <w:rsid w:val="003A0A29"/>
    <w:rsid w:val="003A0C97"/>
    <w:rsid w:val="003A138D"/>
    <w:rsid w:val="003A1AF7"/>
    <w:rsid w:val="003A221F"/>
    <w:rsid w:val="003A257E"/>
    <w:rsid w:val="003A25F4"/>
    <w:rsid w:val="003A295A"/>
    <w:rsid w:val="003A3159"/>
    <w:rsid w:val="003A39C7"/>
    <w:rsid w:val="003A3AC4"/>
    <w:rsid w:val="003A3D0E"/>
    <w:rsid w:val="003A3D9A"/>
    <w:rsid w:val="003A3E49"/>
    <w:rsid w:val="003A409D"/>
    <w:rsid w:val="003A4129"/>
    <w:rsid w:val="003A420E"/>
    <w:rsid w:val="003A4801"/>
    <w:rsid w:val="003A48A3"/>
    <w:rsid w:val="003A4AAF"/>
    <w:rsid w:val="003A4B2E"/>
    <w:rsid w:val="003A54BC"/>
    <w:rsid w:val="003A5737"/>
    <w:rsid w:val="003A58AF"/>
    <w:rsid w:val="003A7236"/>
    <w:rsid w:val="003B00A6"/>
    <w:rsid w:val="003B019B"/>
    <w:rsid w:val="003B01E4"/>
    <w:rsid w:val="003B088E"/>
    <w:rsid w:val="003B14D8"/>
    <w:rsid w:val="003B1F25"/>
    <w:rsid w:val="003B27DF"/>
    <w:rsid w:val="003B2E07"/>
    <w:rsid w:val="003B3951"/>
    <w:rsid w:val="003B3BDF"/>
    <w:rsid w:val="003B44AF"/>
    <w:rsid w:val="003B46C7"/>
    <w:rsid w:val="003B4787"/>
    <w:rsid w:val="003B4C39"/>
    <w:rsid w:val="003B4F0C"/>
    <w:rsid w:val="003B50BA"/>
    <w:rsid w:val="003B5452"/>
    <w:rsid w:val="003B5717"/>
    <w:rsid w:val="003B5B2E"/>
    <w:rsid w:val="003B5CAF"/>
    <w:rsid w:val="003B6166"/>
    <w:rsid w:val="003B6534"/>
    <w:rsid w:val="003B6D41"/>
    <w:rsid w:val="003B7749"/>
    <w:rsid w:val="003B7C7B"/>
    <w:rsid w:val="003C0E58"/>
    <w:rsid w:val="003C14B1"/>
    <w:rsid w:val="003C1591"/>
    <w:rsid w:val="003C199E"/>
    <w:rsid w:val="003C2280"/>
    <w:rsid w:val="003C2AA7"/>
    <w:rsid w:val="003C2F47"/>
    <w:rsid w:val="003C3846"/>
    <w:rsid w:val="003C44D1"/>
    <w:rsid w:val="003C4733"/>
    <w:rsid w:val="003C4F06"/>
    <w:rsid w:val="003C5A14"/>
    <w:rsid w:val="003C5DE7"/>
    <w:rsid w:val="003C6080"/>
    <w:rsid w:val="003C6592"/>
    <w:rsid w:val="003C667C"/>
    <w:rsid w:val="003C7335"/>
    <w:rsid w:val="003C7651"/>
    <w:rsid w:val="003C7879"/>
    <w:rsid w:val="003C79DB"/>
    <w:rsid w:val="003D029E"/>
    <w:rsid w:val="003D067C"/>
    <w:rsid w:val="003D0906"/>
    <w:rsid w:val="003D13D8"/>
    <w:rsid w:val="003D15B7"/>
    <w:rsid w:val="003D15E3"/>
    <w:rsid w:val="003D15ED"/>
    <w:rsid w:val="003D1608"/>
    <w:rsid w:val="003D20E1"/>
    <w:rsid w:val="003D2486"/>
    <w:rsid w:val="003D2A35"/>
    <w:rsid w:val="003D321B"/>
    <w:rsid w:val="003D35FA"/>
    <w:rsid w:val="003D39EF"/>
    <w:rsid w:val="003D41BA"/>
    <w:rsid w:val="003D41C7"/>
    <w:rsid w:val="003D420B"/>
    <w:rsid w:val="003D45E1"/>
    <w:rsid w:val="003D4CC1"/>
    <w:rsid w:val="003D529E"/>
    <w:rsid w:val="003D5427"/>
    <w:rsid w:val="003D60B8"/>
    <w:rsid w:val="003D6474"/>
    <w:rsid w:val="003D664F"/>
    <w:rsid w:val="003D6670"/>
    <w:rsid w:val="003D6A09"/>
    <w:rsid w:val="003D6F67"/>
    <w:rsid w:val="003D707F"/>
    <w:rsid w:val="003D71B9"/>
    <w:rsid w:val="003D71D5"/>
    <w:rsid w:val="003D74EF"/>
    <w:rsid w:val="003D7671"/>
    <w:rsid w:val="003D7776"/>
    <w:rsid w:val="003E0CAF"/>
    <w:rsid w:val="003E1122"/>
    <w:rsid w:val="003E12C9"/>
    <w:rsid w:val="003E1604"/>
    <w:rsid w:val="003E1766"/>
    <w:rsid w:val="003E18F5"/>
    <w:rsid w:val="003E1A61"/>
    <w:rsid w:val="003E21C5"/>
    <w:rsid w:val="003E279B"/>
    <w:rsid w:val="003E2AB7"/>
    <w:rsid w:val="003E2F36"/>
    <w:rsid w:val="003E2FB3"/>
    <w:rsid w:val="003E377D"/>
    <w:rsid w:val="003E37A0"/>
    <w:rsid w:val="003E393E"/>
    <w:rsid w:val="003E3CFE"/>
    <w:rsid w:val="003E41B1"/>
    <w:rsid w:val="003E4AE0"/>
    <w:rsid w:val="003E507E"/>
    <w:rsid w:val="003E5394"/>
    <w:rsid w:val="003E60BD"/>
    <w:rsid w:val="003E678B"/>
    <w:rsid w:val="003E6CCA"/>
    <w:rsid w:val="003E6D93"/>
    <w:rsid w:val="003E76C6"/>
    <w:rsid w:val="003F0186"/>
    <w:rsid w:val="003F038A"/>
    <w:rsid w:val="003F0555"/>
    <w:rsid w:val="003F09E9"/>
    <w:rsid w:val="003F0D0F"/>
    <w:rsid w:val="003F11D8"/>
    <w:rsid w:val="003F1222"/>
    <w:rsid w:val="003F1303"/>
    <w:rsid w:val="003F1AAC"/>
    <w:rsid w:val="003F1C6D"/>
    <w:rsid w:val="003F1D12"/>
    <w:rsid w:val="003F1E3F"/>
    <w:rsid w:val="003F1ECD"/>
    <w:rsid w:val="003F29D8"/>
    <w:rsid w:val="003F2C12"/>
    <w:rsid w:val="003F3195"/>
    <w:rsid w:val="003F327C"/>
    <w:rsid w:val="003F32A8"/>
    <w:rsid w:val="003F34C4"/>
    <w:rsid w:val="003F3673"/>
    <w:rsid w:val="003F3760"/>
    <w:rsid w:val="003F465F"/>
    <w:rsid w:val="003F47AB"/>
    <w:rsid w:val="003F4B6C"/>
    <w:rsid w:val="003F4DAF"/>
    <w:rsid w:val="003F5A39"/>
    <w:rsid w:val="003F6039"/>
    <w:rsid w:val="003F67D7"/>
    <w:rsid w:val="003F7144"/>
    <w:rsid w:val="003F74EF"/>
    <w:rsid w:val="00400195"/>
    <w:rsid w:val="004006FD"/>
    <w:rsid w:val="00400758"/>
    <w:rsid w:val="00400A77"/>
    <w:rsid w:val="00401262"/>
    <w:rsid w:val="00401B6E"/>
    <w:rsid w:val="0040291B"/>
    <w:rsid w:val="004040FE"/>
    <w:rsid w:val="00404123"/>
    <w:rsid w:val="00404B91"/>
    <w:rsid w:val="00404BB2"/>
    <w:rsid w:val="0040541F"/>
    <w:rsid w:val="00405424"/>
    <w:rsid w:val="00405C8A"/>
    <w:rsid w:val="00406889"/>
    <w:rsid w:val="00406DEE"/>
    <w:rsid w:val="00406E48"/>
    <w:rsid w:val="004072DC"/>
    <w:rsid w:val="00407C6C"/>
    <w:rsid w:val="00410081"/>
    <w:rsid w:val="004103D4"/>
    <w:rsid w:val="00410502"/>
    <w:rsid w:val="00410CE1"/>
    <w:rsid w:val="00410E96"/>
    <w:rsid w:val="00410F5C"/>
    <w:rsid w:val="00411C1D"/>
    <w:rsid w:val="00411FD7"/>
    <w:rsid w:val="0041242B"/>
    <w:rsid w:val="00412A04"/>
    <w:rsid w:val="00412C22"/>
    <w:rsid w:val="00412C54"/>
    <w:rsid w:val="00412DB7"/>
    <w:rsid w:val="0041307A"/>
    <w:rsid w:val="00413397"/>
    <w:rsid w:val="00413D02"/>
    <w:rsid w:val="00413DF7"/>
    <w:rsid w:val="004141EF"/>
    <w:rsid w:val="00414FC0"/>
    <w:rsid w:val="004150A8"/>
    <w:rsid w:val="004158E1"/>
    <w:rsid w:val="00415B20"/>
    <w:rsid w:val="00416173"/>
    <w:rsid w:val="00416B9E"/>
    <w:rsid w:val="00417B00"/>
    <w:rsid w:val="00417E9B"/>
    <w:rsid w:val="00417ECD"/>
    <w:rsid w:val="00420473"/>
    <w:rsid w:val="00420694"/>
    <w:rsid w:val="00420703"/>
    <w:rsid w:val="0042081E"/>
    <w:rsid w:val="00420E0C"/>
    <w:rsid w:val="004217DD"/>
    <w:rsid w:val="00421989"/>
    <w:rsid w:val="00421C02"/>
    <w:rsid w:val="00422163"/>
    <w:rsid w:val="00422B00"/>
    <w:rsid w:val="0042331A"/>
    <w:rsid w:val="00423479"/>
    <w:rsid w:val="004238C0"/>
    <w:rsid w:val="00424B49"/>
    <w:rsid w:val="00424BC0"/>
    <w:rsid w:val="00424CD9"/>
    <w:rsid w:val="00424EE9"/>
    <w:rsid w:val="00425365"/>
    <w:rsid w:val="00425A9F"/>
    <w:rsid w:val="00425C82"/>
    <w:rsid w:val="004267BD"/>
    <w:rsid w:val="00426D00"/>
    <w:rsid w:val="00427071"/>
    <w:rsid w:val="00427AC9"/>
    <w:rsid w:val="00427C33"/>
    <w:rsid w:val="0043000A"/>
    <w:rsid w:val="0043033C"/>
    <w:rsid w:val="004304D3"/>
    <w:rsid w:val="00430A35"/>
    <w:rsid w:val="00430E1F"/>
    <w:rsid w:val="004318F3"/>
    <w:rsid w:val="00431996"/>
    <w:rsid w:val="0043232C"/>
    <w:rsid w:val="00432C14"/>
    <w:rsid w:val="00432D80"/>
    <w:rsid w:val="00432EC8"/>
    <w:rsid w:val="0043341A"/>
    <w:rsid w:val="00433ACC"/>
    <w:rsid w:val="004341E9"/>
    <w:rsid w:val="00434323"/>
    <w:rsid w:val="00434720"/>
    <w:rsid w:val="00434C76"/>
    <w:rsid w:val="00434CA4"/>
    <w:rsid w:val="00434F97"/>
    <w:rsid w:val="00436AF2"/>
    <w:rsid w:val="00436D44"/>
    <w:rsid w:val="004379FE"/>
    <w:rsid w:val="00440C07"/>
    <w:rsid w:val="00440C48"/>
    <w:rsid w:val="00440E3B"/>
    <w:rsid w:val="0044111B"/>
    <w:rsid w:val="00441985"/>
    <w:rsid w:val="00441E6A"/>
    <w:rsid w:val="00441E7C"/>
    <w:rsid w:val="00441F13"/>
    <w:rsid w:val="00441FF4"/>
    <w:rsid w:val="004437DC"/>
    <w:rsid w:val="004443AB"/>
    <w:rsid w:val="00444624"/>
    <w:rsid w:val="0044486A"/>
    <w:rsid w:val="004448DB"/>
    <w:rsid w:val="004450D0"/>
    <w:rsid w:val="00445D17"/>
    <w:rsid w:val="00445E64"/>
    <w:rsid w:val="00445F93"/>
    <w:rsid w:val="0044645D"/>
    <w:rsid w:val="00446746"/>
    <w:rsid w:val="00446778"/>
    <w:rsid w:val="004473E1"/>
    <w:rsid w:val="00447435"/>
    <w:rsid w:val="00447467"/>
    <w:rsid w:val="00447BE4"/>
    <w:rsid w:val="00447CC7"/>
    <w:rsid w:val="00450855"/>
    <w:rsid w:val="0045342A"/>
    <w:rsid w:val="00453531"/>
    <w:rsid w:val="004539F3"/>
    <w:rsid w:val="00453E52"/>
    <w:rsid w:val="00453F61"/>
    <w:rsid w:val="004545F8"/>
    <w:rsid w:val="0045482D"/>
    <w:rsid w:val="00454F37"/>
    <w:rsid w:val="004551C5"/>
    <w:rsid w:val="0045536D"/>
    <w:rsid w:val="0045563A"/>
    <w:rsid w:val="00455C0B"/>
    <w:rsid w:val="0045615C"/>
    <w:rsid w:val="00457539"/>
    <w:rsid w:val="00460676"/>
    <w:rsid w:val="004606B0"/>
    <w:rsid w:val="00460A2F"/>
    <w:rsid w:val="00460DFC"/>
    <w:rsid w:val="00462344"/>
    <w:rsid w:val="00462792"/>
    <w:rsid w:val="00462882"/>
    <w:rsid w:val="00462EC3"/>
    <w:rsid w:val="00463713"/>
    <w:rsid w:val="00464A54"/>
    <w:rsid w:val="00464B57"/>
    <w:rsid w:val="00464F15"/>
    <w:rsid w:val="00465E1C"/>
    <w:rsid w:val="00466288"/>
    <w:rsid w:val="00466633"/>
    <w:rsid w:val="00466917"/>
    <w:rsid w:val="00466A68"/>
    <w:rsid w:val="00466E1F"/>
    <w:rsid w:val="00467A07"/>
    <w:rsid w:val="00467DDF"/>
    <w:rsid w:val="00467E6F"/>
    <w:rsid w:val="0047087C"/>
    <w:rsid w:val="004709CF"/>
    <w:rsid w:val="00470D72"/>
    <w:rsid w:val="004712BA"/>
    <w:rsid w:val="004715DB"/>
    <w:rsid w:val="004717FC"/>
    <w:rsid w:val="00472D57"/>
    <w:rsid w:val="0047319E"/>
    <w:rsid w:val="0047343D"/>
    <w:rsid w:val="004737AB"/>
    <w:rsid w:val="004737D2"/>
    <w:rsid w:val="00474861"/>
    <w:rsid w:val="004749D1"/>
    <w:rsid w:val="004756A4"/>
    <w:rsid w:val="004757DD"/>
    <w:rsid w:val="00475A00"/>
    <w:rsid w:val="00475DE8"/>
    <w:rsid w:val="0047620B"/>
    <w:rsid w:val="0047659C"/>
    <w:rsid w:val="004765C1"/>
    <w:rsid w:val="00476839"/>
    <w:rsid w:val="00477156"/>
    <w:rsid w:val="00477886"/>
    <w:rsid w:val="00480314"/>
    <w:rsid w:val="00480836"/>
    <w:rsid w:val="0048093C"/>
    <w:rsid w:val="00480C6C"/>
    <w:rsid w:val="004813F4"/>
    <w:rsid w:val="00481755"/>
    <w:rsid w:val="00481909"/>
    <w:rsid w:val="00483EBC"/>
    <w:rsid w:val="004841D1"/>
    <w:rsid w:val="004842F9"/>
    <w:rsid w:val="004847E2"/>
    <w:rsid w:val="004856FD"/>
    <w:rsid w:val="0048633C"/>
    <w:rsid w:val="004865F3"/>
    <w:rsid w:val="00487507"/>
    <w:rsid w:val="00487663"/>
    <w:rsid w:val="004877CE"/>
    <w:rsid w:val="00487AA1"/>
    <w:rsid w:val="00487D87"/>
    <w:rsid w:val="0049089F"/>
    <w:rsid w:val="0049099D"/>
    <w:rsid w:val="00490E4A"/>
    <w:rsid w:val="004913DD"/>
    <w:rsid w:val="00491AF2"/>
    <w:rsid w:val="00491FB0"/>
    <w:rsid w:val="00492077"/>
    <w:rsid w:val="004920BE"/>
    <w:rsid w:val="004923E3"/>
    <w:rsid w:val="00492652"/>
    <w:rsid w:val="004930C9"/>
    <w:rsid w:val="004937B0"/>
    <w:rsid w:val="00493F13"/>
    <w:rsid w:val="00495607"/>
    <w:rsid w:val="00495774"/>
    <w:rsid w:val="00495F75"/>
    <w:rsid w:val="00496151"/>
    <w:rsid w:val="00496379"/>
    <w:rsid w:val="004969CB"/>
    <w:rsid w:val="00496CB2"/>
    <w:rsid w:val="0049736C"/>
    <w:rsid w:val="00497689"/>
    <w:rsid w:val="00497B8B"/>
    <w:rsid w:val="004A0111"/>
    <w:rsid w:val="004A0A58"/>
    <w:rsid w:val="004A0AD2"/>
    <w:rsid w:val="004A0E9E"/>
    <w:rsid w:val="004A0FBA"/>
    <w:rsid w:val="004A1431"/>
    <w:rsid w:val="004A16AC"/>
    <w:rsid w:val="004A1B28"/>
    <w:rsid w:val="004A1C37"/>
    <w:rsid w:val="004A20D4"/>
    <w:rsid w:val="004A2BF9"/>
    <w:rsid w:val="004A2C3A"/>
    <w:rsid w:val="004A2E93"/>
    <w:rsid w:val="004A39B3"/>
    <w:rsid w:val="004A3A16"/>
    <w:rsid w:val="004A443B"/>
    <w:rsid w:val="004A5BC6"/>
    <w:rsid w:val="004A6087"/>
    <w:rsid w:val="004A67DF"/>
    <w:rsid w:val="004A69F3"/>
    <w:rsid w:val="004A73AA"/>
    <w:rsid w:val="004B014F"/>
    <w:rsid w:val="004B0A99"/>
    <w:rsid w:val="004B14D9"/>
    <w:rsid w:val="004B20AC"/>
    <w:rsid w:val="004B2450"/>
    <w:rsid w:val="004B32FC"/>
    <w:rsid w:val="004B39AC"/>
    <w:rsid w:val="004B3CEC"/>
    <w:rsid w:val="004B4071"/>
    <w:rsid w:val="004B41CA"/>
    <w:rsid w:val="004B41D3"/>
    <w:rsid w:val="004B4228"/>
    <w:rsid w:val="004B4A3D"/>
    <w:rsid w:val="004B5ADF"/>
    <w:rsid w:val="004B5DC2"/>
    <w:rsid w:val="004B66C4"/>
    <w:rsid w:val="004B67FA"/>
    <w:rsid w:val="004B702C"/>
    <w:rsid w:val="004B7411"/>
    <w:rsid w:val="004B74DA"/>
    <w:rsid w:val="004B7C2B"/>
    <w:rsid w:val="004C009E"/>
    <w:rsid w:val="004C0413"/>
    <w:rsid w:val="004C1CED"/>
    <w:rsid w:val="004C1F3B"/>
    <w:rsid w:val="004C2707"/>
    <w:rsid w:val="004C30CA"/>
    <w:rsid w:val="004C376F"/>
    <w:rsid w:val="004C431E"/>
    <w:rsid w:val="004C43B3"/>
    <w:rsid w:val="004C458A"/>
    <w:rsid w:val="004C4C7A"/>
    <w:rsid w:val="004C4E08"/>
    <w:rsid w:val="004C4F65"/>
    <w:rsid w:val="004C5DDA"/>
    <w:rsid w:val="004C5F4E"/>
    <w:rsid w:val="004C60F8"/>
    <w:rsid w:val="004C65C9"/>
    <w:rsid w:val="004C665A"/>
    <w:rsid w:val="004C6876"/>
    <w:rsid w:val="004C6BE5"/>
    <w:rsid w:val="004C6EDF"/>
    <w:rsid w:val="004C6F08"/>
    <w:rsid w:val="004C75F6"/>
    <w:rsid w:val="004C7DEF"/>
    <w:rsid w:val="004C7F31"/>
    <w:rsid w:val="004D0314"/>
    <w:rsid w:val="004D0661"/>
    <w:rsid w:val="004D0892"/>
    <w:rsid w:val="004D1AD3"/>
    <w:rsid w:val="004D2FC3"/>
    <w:rsid w:val="004D311F"/>
    <w:rsid w:val="004D3D6A"/>
    <w:rsid w:val="004D47C1"/>
    <w:rsid w:val="004D4B5F"/>
    <w:rsid w:val="004D4EF0"/>
    <w:rsid w:val="004D54BD"/>
    <w:rsid w:val="004D6524"/>
    <w:rsid w:val="004D68BE"/>
    <w:rsid w:val="004D6BD9"/>
    <w:rsid w:val="004D6CE6"/>
    <w:rsid w:val="004D789A"/>
    <w:rsid w:val="004E0134"/>
    <w:rsid w:val="004E0695"/>
    <w:rsid w:val="004E081A"/>
    <w:rsid w:val="004E09DC"/>
    <w:rsid w:val="004E0F90"/>
    <w:rsid w:val="004E1162"/>
    <w:rsid w:val="004E13CC"/>
    <w:rsid w:val="004E1731"/>
    <w:rsid w:val="004E1D47"/>
    <w:rsid w:val="004E20A2"/>
    <w:rsid w:val="004E257C"/>
    <w:rsid w:val="004E2A05"/>
    <w:rsid w:val="004E31BA"/>
    <w:rsid w:val="004E3872"/>
    <w:rsid w:val="004E3966"/>
    <w:rsid w:val="004E3AFB"/>
    <w:rsid w:val="004E3D62"/>
    <w:rsid w:val="004E414E"/>
    <w:rsid w:val="004E4295"/>
    <w:rsid w:val="004E43D2"/>
    <w:rsid w:val="004E45A3"/>
    <w:rsid w:val="004E4646"/>
    <w:rsid w:val="004E46DA"/>
    <w:rsid w:val="004E4E79"/>
    <w:rsid w:val="004E59B2"/>
    <w:rsid w:val="004E5E56"/>
    <w:rsid w:val="004E604F"/>
    <w:rsid w:val="004E73E8"/>
    <w:rsid w:val="004E74EC"/>
    <w:rsid w:val="004E7BF8"/>
    <w:rsid w:val="004E7DEA"/>
    <w:rsid w:val="004F0914"/>
    <w:rsid w:val="004F141F"/>
    <w:rsid w:val="004F2000"/>
    <w:rsid w:val="004F2318"/>
    <w:rsid w:val="004F24FB"/>
    <w:rsid w:val="004F26ED"/>
    <w:rsid w:val="004F2F68"/>
    <w:rsid w:val="004F3176"/>
    <w:rsid w:val="004F4735"/>
    <w:rsid w:val="004F5B6B"/>
    <w:rsid w:val="004F5B94"/>
    <w:rsid w:val="004F63B9"/>
    <w:rsid w:val="004F709F"/>
    <w:rsid w:val="004F7288"/>
    <w:rsid w:val="004F767C"/>
    <w:rsid w:val="00500010"/>
    <w:rsid w:val="005001BC"/>
    <w:rsid w:val="00500BFA"/>
    <w:rsid w:val="00500DD6"/>
    <w:rsid w:val="005013E6"/>
    <w:rsid w:val="00501648"/>
    <w:rsid w:val="00501C83"/>
    <w:rsid w:val="005024E0"/>
    <w:rsid w:val="0050271A"/>
    <w:rsid w:val="00502E71"/>
    <w:rsid w:val="00502ED4"/>
    <w:rsid w:val="00503537"/>
    <w:rsid w:val="00503A88"/>
    <w:rsid w:val="005042A1"/>
    <w:rsid w:val="005042BC"/>
    <w:rsid w:val="00504C80"/>
    <w:rsid w:val="005061E5"/>
    <w:rsid w:val="005062B4"/>
    <w:rsid w:val="00506384"/>
    <w:rsid w:val="00506F08"/>
    <w:rsid w:val="005074FD"/>
    <w:rsid w:val="00507B6A"/>
    <w:rsid w:val="005104CF"/>
    <w:rsid w:val="00510E7E"/>
    <w:rsid w:val="00510F27"/>
    <w:rsid w:val="00511B57"/>
    <w:rsid w:val="00511EE9"/>
    <w:rsid w:val="00513759"/>
    <w:rsid w:val="00514262"/>
    <w:rsid w:val="00514327"/>
    <w:rsid w:val="00514D54"/>
    <w:rsid w:val="00515531"/>
    <w:rsid w:val="005159CD"/>
    <w:rsid w:val="00515C6E"/>
    <w:rsid w:val="005160E2"/>
    <w:rsid w:val="005161AD"/>
    <w:rsid w:val="00516BBA"/>
    <w:rsid w:val="00516CBD"/>
    <w:rsid w:val="00516EB9"/>
    <w:rsid w:val="005170B4"/>
    <w:rsid w:val="0051752A"/>
    <w:rsid w:val="00517F39"/>
    <w:rsid w:val="00517FBF"/>
    <w:rsid w:val="005211AC"/>
    <w:rsid w:val="0052127C"/>
    <w:rsid w:val="00521371"/>
    <w:rsid w:val="005214E2"/>
    <w:rsid w:val="00521531"/>
    <w:rsid w:val="00521617"/>
    <w:rsid w:val="00522945"/>
    <w:rsid w:val="00523070"/>
    <w:rsid w:val="00523380"/>
    <w:rsid w:val="005239B7"/>
    <w:rsid w:val="00523BD2"/>
    <w:rsid w:val="00523CBE"/>
    <w:rsid w:val="00523FAF"/>
    <w:rsid w:val="00524146"/>
    <w:rsid w:val="00524713"/>
    <w:rsid w:val="00524C53"/>
    <w:rsid w:val="00524EA5"/>
    <w:rsid w:val="00525257"/>
    <w:rsid w:val="00525345"/>
    <w:rsid w:val="00525B14"/>
    <w:rsid w:val="00525B7E"/>
    <w:rsid w:val="00525D95"/>
    <w:rsid w:val="005260E6"/>
    <w:rsid w:val="0052633F"/>
    <w:rsid w:val="00526790"/>
    <w:rsid w:val="00526B74"/>
    <w:rsid w:val="00526DB4"/>
    <w:rsid w:val="00527332"/>
    <w:rsid w:val="00527901"/>
    <w:rsid w:val="00527AC5"/>
    <w:rsid w:val="00527EDB"/>
    <w:rsid w:val="0053043B"/>
    <w:rsid w:val="00530B61"/>
    <w:rsid w:val="00530FDE"/>
    <w:rsid w:val="0053152B"/>
    <w:rsid w:val="00531CF0"/>
    <w:rsid w:val="00531E6A"/>
    <w:rsid w:val="0053288C"/>
    <w:rsid w:val="00532B67"/>
    <w:rsid w:val="00532B8D"/>
    <w:rsid w:val="00532E70"/>
    <w:rsid w:val="00533A1F"/>
    <w:rsid w:val="005342A1"/>
    <w:rsid w:val="00534CF1"/>
    <w:rsid w:val="0053580A"/>
    <w:rsid w:val="0053590B"/>
    <w:rsid w:val="00535D0B"/>
    <w:rsid w:val="00536119"/>
    <w:rsid w:val="00536390"/>
    <w:rsid w:val="0053646A"/>
    <w:rsid w:val="0053674A"/>
    <w:rsid w:val="00536EB8"/>
    <w:rsid w:val="0053709A"/>
    <w:rsid w:val="00537407"/>
    <w:rsid w:val="00540B24"/>
    <w:rsid w:val="005415DB"/>
    <w:rsid w:val="005416BB"/>
    <w:rsid w:val="005418E2"/>
    <w:rsid w:val="00541A87"/>
    <w:rsid w:val="00541CC7"/>
    <w:rsid w:val="00541D3C"/>
    <w:rsid w:val="005420B3"/>
    <w:rsid w:val="00542445"/>
    <w:rsid w:val="005426DA"/>
    <w:rsid w:val="00542F7E"/>
    <w:rsid w:val="0054375C"/>
    <w:rsid w:val="00543B10"/>
    <w:rsid w:val="00544D59"/>
    <w:rsid w:val="00545235"/>
    <w:rsid w:val="005452F5"/>
    <w:rsid w:val="00546054"/>
    <w:rsid w:val="005466DD"/>
    <w:rsid w:val="00546765"/>
    <w:rsid w:val="00546871"/>
    <w:rsid w:val="00547879"/>
    <w:rsid w:val="005479F1"/>
    <w:rsid w:val="00547B59"/>
    <w:rsid w:val="00547D22"/>
    <w:rsid w:val="00547E58"/>
    <w:rsid w:val="00547FD8"/>
    <w:rsid w:val="00550288"/>
    <w:rsid w:val="005509A3"/>
    <w:rsid w:val="00550D79"/>
    <w:rsid w:val="005517D2"/>
    <w:rsid w:val="00551840"/>
    <w:rsid w:val="00551D2E"/>
    <w:rsid w:val="00552143"/>
    <w:rsid w:val="005523C9"/>
    <w:rsid w:val="00552767"/>
    <w:rsid w:val="005529F1"/>
    <w:rsid w:val="00552DD1"/>
    <w:rsid w:val="00552E00"/>
    <w:rsid w:val="00553279"/>
    <w:rsid w:val="0055332C"/>
    <w:rsid w:val="005536CF"/>
    <w:rsid w:val="0055394B"/>
    <w:rsid w:val="00553C93"/>
    <w:rsid w:val="00553FA6"/>
    <w:rsid w:val="0055409C"/>
    <w:rsid w:val="00554124"/>
    <w:rsid w:val="0055413D"/>
    <w:rsid w:val="005544B3"/>
    <w:rsid w:val="00554E40"/>
    <w:rsid w:val="00554F97"/>
    <w:rsid w:val="00554FAB"/>
    <w:rsid w:val="005554C2"/>
    <w:rsid w:val="00555ED2"/>
    <w:rsid w:val="00556C0A"/>
    <w:rsid w:val="00557071"/>
    <w:rsid w:val="00557150"/>
    <w:rsid w:val="0055775F"/>
    <w:rsid w:val="00557E0E"/>
    <w:rsid w:val="00557E48"/>
    <w:rsid w:val="00560BE0"/>
    <w:rsid w:val="00561891"/>
    <w:rsid w:val="00562A60"/>
    <w:rsid w:val="00562AE4"/>
    <w:rsid w:val="00564889"/>
    <w:rsid w:val="00564B27"/>
    <w:rsid w:val="00564C9B"/>
    <w:rsid w:val="00564DE4"/>
    <w:rsid w:val="00564FA7"/>
    <w:rsid w:val="00565386"/>
    <w:rsid w:val="00565A20"/>
    <w:rsid w:val="005661AF"/>
    <w:rsid w:val="0056691D"/>
    <w:rsid w:val="00567355"/>
    <w:rsid w:val="005679D6"/>
    <w:rsid w:val="00567D22"/>
    <w:rsid w:val="00567F9E"/>
    <w:rsid w:val="00567FC1"/>
    <w:rsid w:val="0057038E"/>
    <w:rsid w:val="00570A13"/>
    <w:rsid w:val="00570B11"/>
    <w:rsid w:val="005710C0"/>
    <w:rsid w:val="005718EC"/>
    <w:rsid w:val="00572252"/>
    <w:rsid w:val="00572297"/>
    <w:rsid w:val="00572482"/>
    <w:rsid w:val="005728D8"/>
    <w:rsid w:val="00572B3B"/>
    <w:rsid w:val="00572C96"/>
    <w:rsid w:val="00572D93"/>
    <w:rsid w:val="005730AB"/>
    <w:rsid w:val="005730C8"/>
    <w:rsid w:val="00573521"/>
    <w:rsid w:val="00573774"/>
    <w:rsid w:val="00573EAB"/>
    <w:rsid w:val="005748E5"/>
    <w:rsid w:val="005750C2"/>
    <w:rsid w:val="0057515A"/>
    <w:rsid w:val="00575BC1"/>
    <w:rsid w:val="00576B32"/>
    <w:rsid w:val="00576DE4"/>
    <w:rsid w:val="00577129"/>
    <w:rsid w:val="005777C5"/>
    <w:rsid w:val="0058007A"/>
    <w:rsid w:val="00580CD8"/>
    <w:rsid w:val="00580F93"/>
    <w:rsid w:val="00581C1E"/>
    <w:rsid w:val="005827BE"/>
    <w:rsid w:val="005828F1"/>
    <w:rsid w:val="00582E34"/>
    <w:rsid w:val="005830F2"/>
    <w:rsid w:val="00583C3B"/>
    <w:rsid w:val="005843CD"/>
    <w:rsid w:val="00585A77"/>
    <w:rsid w:val="00585ABE"/>
    <w:rsid w:val="00585DEE"/>
    <w:rsid w:val="00585E2D"/>
    <w:rsid w:val="00585F7D"/>
    <w:rsid w:val="00585FAF"/>
    <w:rsid w:val="00586239"/>
    <w:rsid w:val="0058649D"/>
    <w:rsid w:val="005868D0"/>
    <w:rsid w:val="005875DB"/>
    <w:rsid w:val="00587993"/>
    <w:rsid w:val="00587B01"/>
    <w:rsid w:val="0059095A"/>
    <w:rsid w:val="00590BA5"/>
    <w:rsid w:val="00590F0B"/>
    <w:rsid w:val="005910F6"/>
    <w:rsid w:val="005914A0"/>
    <w:rsid w:val="00591C47"/>
    <w:rsid w:val="005923EC"/>
    <w:rsid w:val="005928C5"/>
    <w:rsid w:val="00593297"/>
    <w:rsid w:val="005932E4"/>
    <w:rsid w:val="005935DA"/>
    <w:rsid w:val="0059381A"/>
    <w:rsid w:val="00593C34"/>
    <w:rsid w:val="00594879"/>
    <w:rsid w:val="00594B76"/>
    <w:rsid w:val="00594D36"/>
    <w:rsid w:val="00594D76"/>
    <w:rsid w:val="00594E6B"/>
    <w:rsid w:val="00595AB2"/>
    <w:rsid w:val="00596854"/>
    <w:rsid w:val="00597193"/>
    <w:rsid w:val="005978A0"/>
    <w:rsid w:val="00597A30"/>
    <w:rsid w:val="00597A74"/>
    <w:rsid w:val="00597E5D"/>
    <w:rsid w:val="00597FA3"/>
    <w:rsid w:val="005A0129"/>
    <w:rsid w:val="005A0EFB"/>
    <w:rsid w:val="005A1885"/>
    <w:rsid w:val="005A21BC"/>
    <w:rsid w:val="005A2571"/>
    <w:rsid w:val="005A2DF1"/>
    <w:rsid w:val="005A3963"/>
    <w:rsid w:val="005A3CA5"/>
    <w:rsid w:val="005A4CCA"/>
    <w:rsid w:val="005A585E"/>
    <w:rsid w:val="005A5A32"/>
    <w:rsid w:val="005A5C2A"/>
    <w:rsid w:val="005A5C9B"/>
    <w:rsid w:val="005A6AE8"/>
    <w:rsid w:val="005A6EBD"/>
    <w:rsid w:val="005A7007"/>
    <w:rsid w:val="005A72D7"/>
    <w:rsid w:val="005A73B5"/>
    <w:rsid w:val="005A7911"/>
    <w:rsid w:val="005A7BE4"/>
    <w:rsid w:val="005B035A"/>
    <w:rsid w:val="005B0468"/>
    <w:rsid w:val="005B0BCF"/>
    <w:rsid w:val="005B10D9"/>
    <w:rsid w:val="005B1589"/>
    <w:rsid w:val="005B197F"/>
    <w:rsid w:val="005B1C5D"/>
    <w:rsid w:val="005B2434"/>
    <w:rsid w:val="005B270B"/>
    <w:rsid w:val="005B2B3E"/>
    <w:rsid w:val="005B2C29"/>
    <w:rsid w:val="005B31AD"/>
    <w:rsid w:val="005B32E1"/>
    <w:rsid w:val="005B3401"/>
    <w:rsid w:val="005B3653"/>
    <w:rsid w:val="005B3700"/>
    <w:rsid w:val="005B372F"/>
    <w:rsid w:val="005B3AF5"/>
    <w:rsid w:val="005B4024"/>
    <w:rsid w:val="005B4291"/>
    <w:rsid w:val="005B4374"/>
    <w:rsid w:val="005B4559"/>
    <w:rsid w:val="005B4689"/>
    <w:rsid w:val="005B46EE"/>
    <w:rsid w:val="005B5237"/>
    <w:rsid w:val="005B54E9"/>
    <w:rsid w:val="005B5773"/>
    <w:rsid w:val="005B5D34"/>
    <w:rsid w:val="005B6604"/>
    <w:rsid w:val="005B6C1F"/>
    <w:rsid w:val="005B7212"/>
    <w:rsid w:val="005B77C7"/>
    <w:rsid w:val="005B79D1"/>
    <w:rsid w:val="005B7B29"/>
    <w:rsid w:val="005B7BF4"/>
    <w:rsid w:val="005C0F0A"/>
    <w:rsid w:val="005C109C"/>
    <w:rsid w:val="005C1D39"/>
    <w:rsid w:val="005C1D42"/>
    <w:rsid w:val="005C2439"/>
    <w:rsid w:val="005C2746"/>
    <w:rsid w:val="005C2B9F"/>
    <w:rsid w:val="005C2F7B"/>
    <w:rsid w:val="005C3FEE"/>
    <w:rsid w:val="005C45AA"/>
    <w:rsid w:val="005C4796"/>
    <w:rsid w:val="005C4E3B"/>
    <w:rsid w:val="005C5AE4"/>
    <w:rsid w:val="005C5C59"/>
    <w:rsid w:val="005C5D22"/>
    <w:rsid w:val="005C5F0E"/>
    <w:rsid w:val="005C60CB"/>
    <w:rsid w:val="005C71AA"/>
    <w:rsid w:val="005C73FB"/>
    <w:rsid w:val="005C7C55"/>
    <w:rsid w:val="005C7FB2"/>
    <w:rsid w:val="005D051A"/>
    <w:rsid w:val="005D0A1C"/>
    <w:rsid w:val="005D114B"/>
    <w:rsid w:val="005D2250"/>
    <w:rsid w:val="005D25CB"/>
    <w:rsid w:val="005D30DB"/>
    <w:rsid w:val="005D3640"/>
    <w:rsid w:val="005D3712"/>
    <w:rsid w:val="005D3747"/>
    <w:rsid w:val="005D4088"/>
    <w:rsid w:val="005D43CB"/>
    <w:rsid w:val="005D4951"/>
    <w:rsid w:val="005D60E3"/>
    <w:rsid w:val="005D6209"/>
    <w:rsid w:val="005D6312"/>
    <w:rsid w:val="005D707E"/>
    <w:rsid w:val="005D7574"/>
    <w:rsid w:val="005D7867"/>
    <w:rsid w:val="005D7EEA"/>
    <w:rsid w:val="005D7F1C"/>
    <w:rsid w:val="005E0989"/>
    <w:rsid w:val="005E0A3F"/>
    <w:rsid w:val="005E0F68"/>
    <w:rsid w:val="005E0FB0"/>
    <w:rsid w:val="005E12E0"/>
    <w:rsid w:val="005E1717"/>
    <w:rsid w:val="005E1A9F"/>
    <w:rsid w:val="005E1E33"/>
    <w:rsid w:val="005E2907"/>
    <w:rsid w:val="005E3057"/>
    <w:rsid w:val="005E3375"/>
    <w:rsid w:val="005E3957"/>
    <w:rsid w:val="005E3EA2"/>
    <w:rsid w:val="005E42E3"/>
    <w:rsid w:val="005E50DF"/>
    <w:rsid w:val="005E53B2"/>
    <w:rsid w:val="005E59EE"/>
    <w:rsid w:val="005E5D7B"/>
    <w:rsid w:val="005E6143"/>
    <w:rsid w:val="005E618A"/>
    <w:rsid w:val="005E6419"/>
    <w:rsid w:val="005E6475"/>
    <w:rsid w:val="005E670D"/>
    <w:rsid w:val="005E6B8D"/>
    <w:rsid w:val="005E6F26"/>
    <w:rsid w:val="005E7BE5"/>
    <w:rsid w:val="005E7E1E"/>
    <w:rsid w:val="005F0B8E"/>
    <w:rsid w:val="005F0E48"/>
    <w:rsid w:val="005F120A"/>
    <w:rsid w:val="005F1247"/>
    <w:rsid w:val="005F12B4"/>
    <w:rsid w:val="005F162B"/>
    <w:rsid w:val="005F32FC"/>
    <w:rsid w:val="005F33C2"/>
    <w:rsid w:val="005F374A"/>
    <w:rsid w:val="005F3781"/>
    <w:rsid w:val="005F3C83"/>
    <w:rsid w:val="005F4066"/>
    <w:rsid w:val="005F4571"/>
    <w:rsid w:val="005F4EE3"/>
    <w:rsid w:val="005F5068"/>
    <w:rsid w:val="005F585D"/>
    <w:rsid w:val="005F5978"/>
    <w:rsid w:val="005F5AD1"/>
    <w:rsid w:val="005F5DC2"/>
    <w:rsid w:val="005F5F63"/>
    <w:rsid w:val="005F6133"/>
    <w:rsid w:val="005F65F9"/>
    <w:rsid w:val="005F661F"/>
    <w:rsid w:val="005F6D10"/>
    <w:rsid w:val="005F6E29"/>
    <w:rsid w:val="005F7245"/>
    <w:rsid w:val="005F76BD"/>
    <w:rsid w:val="005F770F"/>
    <w:rsid w:val="006004E2"/>
    <w:rsid w:val="006006E5"/>
    <w:rsid w:val="00600C91"/>
    <w:rsid w:val="00601B4A"/>
    <w:rsid w:val="00601C10"/>
    <w:rsid w:val="00601C6D"/>
    <w:rsid w:val="00601D77"/>
    <w:rsid w:val="00601E0C"/>
    <w:rsid w:val="00601E59"/>
    <w:rsid w:val="00601F31"/>
    <w:rsid w:val="006029EF"/>
    <w:rsid w:val="006031AD"/>
    <w:rsid w:val="00603524"/>
    <w:rsid w:val="00603C32"/>
    <w:rsid w:val="00603E50"/>
    <w:rsid w:val="006040AB"/>
    <w:rsid w:val="006043AE"/>
    <w:rsid w:val="00604699"/>
    <w:rsid w:val="006046D4"/>
    <w:rsid w:val="0060482E"/>
    <w:rsid w:val="00604A2A"/>
    <w:rsid w:val="00605D5C"/>
    <w:rsid w:val="00606840"/>
    <w:rsid w:val="006073CE"/>
    <w:rsid w:val="0060764B"/>
    <w:rsid w:val="00607658"/>
    <w:rsid w:val="00607B0C"/>
    <w:rsid w:val="00610BF6"/>
    <w:rsid w:val="00610E61"/>
    <w:rsid w:val="00611140"/>
    <w:rsid w:val="006114AE"/>
    <w:rsid w:val="006124DD"/>
    <w:rsid w:val="006127AB"/>
    <w:rsid w:val="0061290D"/>
    <w:rsid w:val="00612DE7"/>
    <w:rsid w:val="006130EE"/>
    <w:rsid w:val="006131CE"/>
    <w:rsid w:val="006138C0"/>
    <w:rsid w:val="00613A29"/>
    <w:rsid w:val="00613EF5"/>
    <w:rsid w:val="0061441E"/>
    <w:rsid w:val="006147E5"/>
    <w:rsid w:val="006149DB"/>
    <w:rsid w:val="00615836"/>
    <w:rsid w:val="00615D2C"/>
    <w:rsid w:val="00615DFD"/>
    <w:rsid w:val="00615F1F"/>
    <w:rsid w:val="00616104"/>
    <w:rsid w:val="00616AAF"/>
    <w:rsid w:val="006173C1"/>
    <w:rsid w:val="00617584"/>
    <w:rsid w:val="006176D9"/>
    <w:rsid w:val="00617B03"/>
    <w:rsid w:val="00617E61"/>
    <w:rsid w:val="0062059F"/>
    <w:rsid w:val="00620605"/>
    <w:rsid w:val="006211CD"/>
    <w:rsid w:val="00621247"/>
    <w:rsid w:val="006226A2"/>
    <w:rsid w:val="00622E44"/>
    <w:rsid w:val="00623453"/>
    <w:rsid w:val="00623C52"/>
    <w:rsid w:val="00624692"/>
    <w:rsid w:val="00624A65"/>
    <w:rsid w:val="00625445"/>
    <w:rsid w:val="0062612B"/>
    <w:rsid w:val="006267F7"/>
    <w:rsid w:val="0062731C"/>
    <w:rsid w:val="006309E0"/>
    <w:rsid w:val="00630AEA"/>
    <w:rsid w:val="006311F1"/>
    <w:rsid w:val="006314C2"/>
    <w:rsid w:val="00631843"/>
    <w:rsid w:val="00631C37"/>
    <w:rsid w:val="0063209E"/>
    <w:rsid w:val="006320EC"/>
    <w:rsid w:val="0063233E"/>
    <w:rsid w:val="0063260C"/>
    <w:rsid w:val="006326C5"/>
    <w:rsid w:val="00632A6F"/>
    <w:rsid w:val="00632AF3"/>
    <w:rsid w:val="00633754"/>
    <w:rsid w:val="006337E6"/>
    <w:rsid w:val="0063405A"/>
    <w:rsid w:val="00635AD4"/>
    <w:rsid w:val="00636B48"/>
    <w:rsid w:val="00636CD7"/>
    <w:rsid w:val="00636CE4"/>
    <w:rsid w:val="0063794E"/>
    <w:rsid w:val="00637AF9"/>
    <w:rsid w:val="00640454"/>
    <w:rsid w:val="00641023"/>
    <w:rsid w:val="006412EB"/>
    <w:rsid w:val="00641482"/>
    <w:rsid w:val="00641A26"/>
    <w:rsid w:val="0064274E"/>
    <w:rsid w:val="00642AF6"/>
    <w:rsid w:val="00642E5B"/>
    <w:rsid w:val="00642EEF"/>
    <w:rsid w:val="0064302D"/>
    <w:rsid w:val="00643420"/>
    <w:rsid w:val="006438FE"/>
    <w:rsid w:val="00644D2E"/>
    <w:rsid w:val="006459AD"/>
    <w:rsid w:val="006464AC"/>
    <w:rsid w:val="006469C2"/>
    <w:rsid w:val="00646A3A"/>
    <w:rsid w:val="00646F69"/>
    <w:rsid w:val="00647013"/>
    <w:rsid w:val="00647C7E"/>
    <w:rsid w:val="00650178"/>
    <w:rsid w:val="006502ED"/>
    <w:rsid w:val="00650C67"/>
    <w:rsid w:val="006512F0"/>
    <w:rsid w:val="00651354"/>
    <w:rsid w:val="0065135E"/>
    <w:rsid w:val="006517D3"/>
    <w:rsid w:val="00651ADF"/>
    <w:rsid w:val="00651FFE"/>
    <w:rsid w:val="006525FA"/>
    <w:rsid w:val="00652861"/>
    <w:rsid w:val="00652911"/>
    <w:rsid w:val="00652B05"/>
    <w:rsid w:val="00652BF0"/>
    <w:rsid w:val="00652F60"/>
    <w:rsid w:val="00652FB4"/>
    <w:rsid w:val="00653B3C"/>
    <w:rsid w:val="00653F1C"/>
    <w:rsid w:val="0065423E"/>
    <w:rsid w:val="00654637"/>
    <w:rsid w:val="0065486D"/>
    <w:rsid w:val="00654A03"/>
    <w:rsid w:val="00654CF7"/>
    <w:rsid w:val="00654D82"/>
    <w:rsid w:val="0065544D"/>
    <w:rsid w:val="006554E5"/>
    <w:rsid w:val="00656380"/>
    <w:rsid w:val="00656AE0"/>
    <w:rsid w:val="00656BDE"/>
    <w:rsid w:val="00656DBF"/>
    <w:rsid w:val="00657160"/>
    <w:rsid w:val="006573F5"/>
    <w:rsid w:val="006577FA"/>
    <w:rsid w:val="006600B7"/>
    <w:rsid w:val="00660629"/>
    <w:rsid w:val="006608F8"/>
    <w:rsid w:val="00660C93"/>
    <w:rsid w:val="006612B2"/>
    <w:rsid w:val="00661B4C"/>
    <w:rsid w:val="00661BE3"/>
    <w:rsid w:val="00662282"/>
    <w:rsid w:val="006629AB"/>
    <w:rsid w:val="0066339D"/>
    <w:rsid w:val="006637F7"/>
    <w:rsid w:val="00663ECC"/>
    <w:rsid w:val="00664431"/>
    <w:rsid w:val="00664474"/>
    <w:rsid w:val="0066448E"/>
    <w:rsid w:val="00664D95"/>
    <w:rsid w:val="00664FC5"/>
    <w:rsid w:val="0066539E"/>
    <w:rsid w:val="00665539"/>
    <w:rsid w:val="00665594"/>
    <w:rsid w:val="006656A2"/>
    <w:rsid w:val="006658F0"/>
    <w:rsid w:val="00665F0E"/>
    <w:rsid w:val="006662BA"/>
    <w:rsid w:val="00666332"/>
    <w:rsid w:val="0066642F"/>
    <w:rsid w:val="006666FD"/>
    <w:rsid w:val="00666DDF"/>
    <w:rsid w:val="006673D9"/>
    <w:rsid w:val="006678C9"/>
    <w:rsid w:val="00667D51"/>
    <w:rsid w:val="00667DB3"/>
    <w:rsid w:val="00670491"/>
    <w:rsid w:val="00670F01"/>
    <w:rsid w:val="00670F08"/>
    <w:rsid w:val="00671112"/>
    <w:rsid w:val="006711CD"/>
    <w:rsid w:val="00671274"/>
    <w:rsid w:val="006714CE"/>
    <w:rsid w:val="00671BB2"/>
    <w:rsid w:val="00672021"/>
    <w:rsid w:val="006720C8"/>
    <w:rsid w:val="006724B7"/>
    <w:rsid w:val="00672626"/>
    <w:rsid w:val="00672876"/>
    <w:rsid w:val="00672DD5"/>
    <w:rsid w:val="00672F78"/>
    <w:rsid w:val="0067339C"/>
    <w:rsid w:val="006734BE"/>
    <w:rsid w:val="006735F3"/>
    <w:rsid w:val="00673D32"/>
    <w:rsid w:val="00674859"/>
    <w:rsid w:val="00675366"/>
    <w:rsid w:val="006759CB"/>
    <w:rsid w:val="00675D32"/>
    <w:rsid w:val="00675E99"/>
    <w:rsid w:val="006760DF"/>
    <w:rsid w:val="0067611A"/>
    <w:rsid w:val="0067642C"/>
    <w:rsid w:val="00676A74"/>
    <w:rsid w:val="00676B58"/>
    <w:rsid w:val="00676D5D"/>
    <w:rsid w:val="00680148"/>
    <w:rsid w:val="00680F5B"/>
    <w:rsid w:val="006815AE"/>
    <w:rsid w:val="00682164"/>
    <w:rsid w:val="006821A3"/>
    <w:rsid w:val="0068230C"/>
    <w:rsid w:val="00682BA5"/>
    <w:rsid w:val="00682FA5"/>
    <w:rsid w:val="00683054"/>
    <w:rsid w:val="0068316A"/>
    <w:rsid w:val="006834D8"/>
    <w:rsid w:val="006835B1"/>
    <w:rsid w:val="00683AC0"/>
    <w:rsid w:val="00683CCE"/>
    <w:rsid w:val="00683DEA"/>
    <w:rsid w:val="00683F05"/>
    <w:rsid w:val="006843EE"/>
    <w:rsid w:val="00684B43"/>
    <w:rsid w:val="00684D70"/>
    <w:rsid w:val="006858F0"/>
    <w:rsid w:val="00685937"/>
    <w:rsid w:val="00685DBD"/>
    <w:rsid w:val="0068612F"/>
    <w:rsid w:val="00686EF0"/>
    <w:rsid w:val="00687B93"/>
    <w:rsid w:val="00687E4C"/>
    <w:rsid w:val="00687F21"/>
    <w:rsid w:val="00690A36"/>
    <w:rsid w:val="00690B2B"/>
    <w:rsid w:val="00690C85"/>
    <w:rsid w:val="0069106C"/>
    <w:rsid w:val="00691433"/>
    <w:rsid w:val="006914E7"/>
    <w:rsid w:val="006916AA"/>
    <w:rsid w:val="00691D6E"/>
    <w:rsid w:val="00692436"/>
    <w:rsid w:val="00692D16"/>
    <w:rsid w:val="00692FF7"/>
    <w:rsid w:val="006930BD"/>
    <w:rsid w:val="0069324C"/>
    <w:rsid w:val="00694761"/>
    <w:rsid w:val="00694840"/>
    <w:rsid w:val="0069509B"/>
    <w:rsid w:val="006951E2"/>
    <w:rsid w:val="00695882"/>
    <w:rsid w:val="006960FC"/>
    <w:rsid w:val="006964C6"/>
    <w:rsid w:val="00696852"/>
    <w:rsid w:val="00697379"/>
    <w:rsid w:val="006976BB"/>
    <w:rsid w:val="006978ED"/>
    <w:rsid w:val="00697AF3"/>
    <w:rsid w:val="006A015F"/>
    <w:rsid w:val="006A114F"/>
    <w:rsid w:val="006A184C"/>
    <w:rsid w:val="006A2C78"/>
    <w:rsid w:val="006A3481"/>
    <w:rsid w:val="006A361D"/>
    <w:rsid w:val="006A3870"/>
    <w:rsid w:val="006A3AF9"/>
    <w:rsid w:val="006A433E"/>
    <w:rsid w:val="006A454B"/>
    <w:rsid w:val="006A46C0"/>
    <w:rsid w:val="006A4D83"/>
    <w:rsid w:val="006A4E72"/>
    <w:rsid w:val="006A4F97"/>
    <w:rsid w:val="006A52EE"/>
    <w:rsid w:val="006A6E5D"/>
    <w:rsid w:val="006A7E3F"/>
    <w:rsid w:val="006B1105"/>
    <w:rsid w:val="006B1158"/>
    <w:rsid w:val="006B15AD"/>
    <w:rsid w:val="006B3446"/>
    <w:rsid w:val="006B360D"/>
    <w:rsid w:val="006B38BE"/>
    <w:rsid w:val="006B3921"/>
    <w:rsid w:val="006B3D8C"/>
    <w:rsid w:val="006B4618"/>
    <w:rsid w:val="006B4795"/>
    <w:rsid w:val="006B4AFB"/>
    <w:rsid w:val="006B4F01"/>
    <w:rsid w:val="006B58A1"/>
    <w:rsid w:val="006B6F7C"/>
    <w:rsid w:val="006B70F4"/>
    <w:rsid w:val="006B7470"/>
    <w:rsid w:val="006B74D3"/>
    <w:rsid w:val="006B7656"/>
    <w:rsid w:val="006B7810"/>
    <w:rsid w:val="006B7845"/>
    <w:rsid w:val="006B7867"/>
    <w:rsid w:val="006C00BB"/>
    <w:rsid w:val="006C0638"/>
    <w:rsid w:val="006C09E4"/>
    <w:rsid w:val="006C0ED8"/>
    <w:rsid w:val="006C102B"/>
    <w:rsid w:val="006C1144"/>
    <w:rsid w:val="006C1185"/>
    <w:rsid w:val="006C16F4"/>
    <w:rsid w:val="006C1B63"/>
    <w:rsid w:val="006C1F97"/>
    <w:rsid w:val="006C2872"/>
    <w:rsid w:val="006C2881"/>
    <w:rsid w:val="006C3181"/>
    <w:rsid w:val="006C3DDE"/>
    <w:rsid w:val="006C4C5E"/>
    <w:rsid w:val="006C57B2"/>
    <w:rsid w:val="006C5C2A"/>
    <w:rsid w:val="006C6B6F"/>
    <w:rsid w:val="006C7528"/>
    <w:rsid w:val="006C77ED"/>
    <w:rsid w:val="006C783F"/>
    <w:rsid w:val="006C798A"/>
    <w:rsid w:val="006C7A48"/>
    <w:rsid w:val="006C7E40"/>
    <w:rsid w:val="006D05DB"/>
    <w:rsid w:val="006D0894"/>
    <w:rsid w:val="006D179A"/>
    <w:rsid w:val="006D21E9"/>
    <w:rsid w:val="006D22F6"/>
    <w:rsid w:val="006D257F"/>
    <w:rsid w:val="006D311A"/>
    <w:rsid w:val="006D341F"/>
    <w:rsid w:val="006D37AF"/>
    <w:rsid w:val="006D3A1F"/>
    <w:rsid w:val="006D3A52"/>
    <w:rsid w:val="006D4403"/>
    <w:rsid w:val="006D4720"/>
    <w:rsid w:val="006D4DF2"/>
    <w:rsid w:val="006D4FA9"/>
    <w:rsid w:val="006D5019"/>
    <w:rsid w:val="006D501E"/>
    <w:rsid w:val="006D50CD"/>
    <w:rsid w:val="006D5274"/>
    <w:rsid w:val="006D5A63"/>
    <w:rsid w:val="006D5B26"/>
    <w:rsid w:val="006D5D56"/>
    <w:rsid w:val="006D6D49"/>
    <w:rsid w:val="006D6DB7"/>
    <w:rsid w:val="006D70E0"/>
    <w:rsid w:val="006D7856"/>
    <w:rsid w:val="006D7BE5"/>
    <w:rsid w:val="006E0181"/>
    <w:rsid w:val="006E0F71"/>
    <w:rsid w:val="006E126A"/>
    <w:rsid w:val="006E13AE"/>
    <w:rsid w:val="006E16AA"/>
    <w:rsid w:val="006E2732"/>
    <w:rsid w:val="006E3498"/>
    <w:rsid w:val="006E3D8A"/>
    <w:rsid w:val="006E4199"/>
    <w:rsid w:val="006E42DE"/>
    <w:rsid w:val="006E43F6"/>
    <w:rsid w:val="006E450A"/>
    <w:rsid w:val="006E46D5"/>
    <w:rsid w:val="006E4CA2"/>
    <w:rsid w:val="006E4D80"/>
    <w:rsid w:val="006E4E3E"/>
    <w:rsid w:val="006E532B"/>
    <w:rsid w:val="006E5464"/>
    <w:rsid w:val="006E5EE8"/>
    <w:rsid w:val="006E6D3C"/>
    <w:rsid w:val="006E7108"/>
    <w:rsid w:val="006E718A"/>
    <w:rsid w:val="006E71F1"/>
    <w:rsid w:val="006E78A2"/>
    <w:rsid w:val="006E7D1E"/>
    <w:rsid w:val="006F0766"/>
    <w:rsid w:val="006F0B1D"/>
    <w:rsid w:val="006F0DA4"/>
    <w:rsid w:val="006F0F53"/>
    <w:rsid w:val="006F195F"/>
    <w:rsid w:val="006F1CEE"/>
    <w:rsid w:val="006F1F96"/>
    <w:rsid w:val="006F21DA"/>
    <w:rsid w:val="006F2870"/>
    <w:rsid w:val="006F28CA"/>
    <w:rsid w:val="006F2D05"/>
    <w:rsid w:val="006F2DD0"/>
    <w:rsid w:val="006F2FE6"/>
    <w:rsid w:val="006F3AED"/>
    <w:rsid w:val="006F429D"/>
    <w:rsid w:val="006F5A43"/>
    <w:rsid w:val="006F618D"/>
    <w:rsid w:val="006F61DF"/>
    <w:rsid w:val="006F650B"/>
    <w:rsid w:val="006F67AF"/>
    <w:rsid w:val="006F69CF"/>
    <w:rsid w:val="006F70EF"/>
    <w:rsid w:val="007014EC"/>
    <w:rsid w:val="007018F0"/>
    <w:rsid w:val="007019F6"/>
    <w:rsid w:val="00701F04"/>
    <w:rsid w:val="0070267F"/>
    <w:rsid w:val="00702733"/>
    <w:rsid w:val="00702CAB"/>
    <w:rsid w:val="00703521"/>
    <w:rsid w:val="0070383F"/>
    <w:rsid w:val="00703DA0"/>
    <w:rsid w:val="0070438D"/>
    <w:rsid w:val="00704407"/>
    <w:rsid w:val="00704FF7"/>
    <w:rsid w:val="007052B0"/>
    <w:rsid w:val="00705558"/>
    <w:rsid w:val="00705B86"/>
    <w:rsid w:val="00705E27"/>
    <w:rsid w:val="00705F5D"/>
    <w:rsid w:val="007061E9"/>
    <w:rsid w:val="007064D2"/>
    <w:rsid w:val="00706583"/>
    <w:rsid w:val="00707AA3"/>
    <w:rsid w:val="007103DD"/>
    <w:rsid w:val="007107DF"/>
    <w:rsid w:val="007108F1"/>
    <w:rsid w:val="00710FA6"/>
    <w:rsid w:val="00710FBC"/>
    <w:rsid w:val="007110D8"/>
    <w:rsid w:val="00711275"/>
    <w:rsid w:val="0071251B"/>
    <w:rsid w:val="007125DE"/>
    <w:rsid w:val="00712750"/>
    <w:rsid w:val="00712967"/>
    <w:rsid w:val="0071312F"/>
    <w:rsid w:val="0071384D"/>
    <w:rsid w:val="00713A49"/>
    <w:rsid w:val="00713A52"/>
    <w:rsid w:val="00713B49"/>
    <w:rsid w:val="00713BAD"/>
    <w:rsid w:val="00713CCA"/>
    <w:rsid w:val="00713ED4"/>
    <w:rsid w:val="00713EF8"/>
    <w:rsid w:val="00713FC8"/>
    <w:rsid w:val="00714427"/>
    <w:rsid w:val="00714741"/>
    <w:rsid w:val="00714C37"/>
    <w:rsid w:val="00714C8E"/>
    <w:rsid w:val="007156A6"/>
    <w:rsid w:val="0071574D"/>
    <w:rsid w:val="00715DF7"/>
    <w:rsid w:val="00716567"/>
    <w:rsid w:val="00716847"/>
    <w:rsid w:val="00716F33"/>
    <w:rsid w:val="0071747F"/>
    <w:rsid w:val="00717754"/>
    <w:rsid w:val="00717B7A"/>
    <w:rsid w:val="00720BDD"/>
    <w:rsid w:val="0072101F"/>
    <w:rsid w:val="007212CB"/>
    <w:rsid w:val="0072166A"/>
    <w:rsid w:val="00721EE9"/>
    <w:rsid w:val="00722732"/>
    <w:rsid w:val="0072369E"/>
    <w:rsid w:val="007238A9"/>
    <w:rsid w:val="00723B94"/>
    <w:rsid w:val="00723E43"/>
    <w:rsid w:val="00723E55"/>
    <w:rsid w:val="007240EE"/>
    <w:rsid w:val="007243FC"/>
    <w:rsid w:val="00724512"/>
    <w:rsid w:val="00724D36"/>
    <w:rsid w:val="00724E80"/>
    <w:rsid w:val="00724F48"/>
    <w:rsid w:val="00724FD0"/>
    <w:rsid w:val="00725400"/>
    <w:rsid w:val="0072604F"/>
    <w:rsid w:val="00726BFF"/>
    <w:rsid w:val="0072742F"/>
    <w:rsid w:val="0073154D"/>
    <w:rsid w:val="0073162B"/>
    <w:rsid w:val="00731881"/>
    <w:rsid w:val="00731913"/>
    <w:rsid w:val="00731DB2"/>
    <w:rsid w:val="007321D1"/>
    <w:rsid w:val="0073226A"/>
    <w:rsid w:val="007326BB"/>
    <w:rsid w:val="00732B3D"/>
    <w:rsid w:val="00733045"/>
    <w:rsid w:val="0073326B"/>
    <w:rsid w:val="007337E1"/>
    <w:rsid w:val="00733F24"/>
    <w:rsid w:val="00733FA3"/>
    <w:rsid w:val="007342AC"/>
    <w:rsid w:val="00734713"/>
    <w:rsid w:val="00734F0F"/>
    <w:rsid w:val="0073510D"/>
    <w:rsid w:val="007356A4"/>
    <w:rsid w:val="00735BBB"/>
    <w:rsid w:val="00735C53"/>
    <w:rsid w:val="007365FF"/>
    <w:rsid w:val="00736743"/>
    <w:rsid w:val="007367C0"/>
    <w:rsid w:val="00736E50"/>
    <w:rsid w:val="007373FD"/>
    <w:rsid w:val="00737A7A"/>
    <w:rsid w:val="00737FE5"/>
    <w:rsid w:val="007401D9"/>
    <w:rsid w:val="00740460"/>
    <w:rsid w:val="0074051D"/>
    <w:rsid w:val="00740E2D"/>
    <w:rsid w:val="00740F24"/>
    <w:rsid w:val="00741B45"/>
    <w:rsid w:val="00741E2F"/>
    <w:rsid w:val="00741EC9"/>
    <w:rsid w:val="0074246F"/>
    <w:rsid w:val="007429ED"/>
    <w:rsid w:val="00742A67"/>
    <w:rsid w:val="007430CA"/>
    <w:rsid w:val="007436A4"/>
    <w:rsid w:val="00743DC3"/>
    <w:rsid w:val="00743F94"/>
    <w:rsid w:val="00744E39"/>
    <w:rsid w:val="007450A7"/>
    <w:rsid w:val="00745692"/>
    <w:rsid w:val="007464FB"/>
    <w:rsid w:val="00747741"/>
    <w:rsid w:val="00747D86"/>
    <w:rsid w:val="007501D2"/>
    <w:rsid w:val="0075064B"/>
    <w:rsid w:val="00750C6B"/>
    <w:rsid w:val="00750DF9"/>
    <w:rsid w:val="00750EB3"/>
    <w:rsid w:val="0075198E"/>
    <w:rsid w:val="00752066"/>
    <w:rsid w:val="007529C8"/>
    <w:rsid w:val="00753B48"/>
    <w:rsid w:val="00753EB2"/>
    <w:rsid w:val="0075428E"/>
    <w:rsid w:val="007542B0"/>
    <w:rsid w:val="00754320"/>
    <w:rsid w:val="00754429"/>
    <w:rsid w:val="00754696"/>
    <w:rsid w:val="00754B16"/>
    <w:rsid w:val="00754D0A"/>
    <w:rsid w:val="007553B1"/>
    <w:rsid w:val="0075719C"/>
    <w:rsid w:val="007577CE"/>
    <w:rsid w:val="007579E1"/>
    <w:rsid w:val="00757B91"/>
    <w:rsid w:val="007607CE"/>
    <w:rsid w:val="00760AD3"/>
    <w:rsid w:val="00760DF0"/>
    <w:rsid w:val="00760F06"/>
    <w:rsid w:val="007615E4"/>
    <w:rsid w:val="0076186B"/>
    <w:rsid w:val="00761E0D"/>
    <w:rsid w:val="00762133"/>
    <w:rsid w:val="0076230C"/>
    <w:rsid w:val="00762DD6"/>
    <w:rsid w:val="00762FDB"/>
    <w:rsid w:val="00763152"/>
    <w:rsid w:val="00763648"/>
    <w:rsid w:val="00763A62"/>
    <w:rsid w:val="007640A5"/>
    <w:rsid w:val="0076489E"/>
    <w:rsid w:val="007648D9"/>
    <w:rsid w:val="007648E6"/>
    <w:rsid w:val="00765327"/>
    <w:rsid w:val="00765995"/>
    <w:rsid w:val="00765E01"/>
    <w:rsid w:val="00765E98"/>
    <w:rsid w:val="00766416"/>
    <w:rsid w:val="00766422"/>
    <w:rsid w:val="00766B23"/>
    <w:rsid w:val="00766B5F"/>
    <w:rsid w:val="00766CA5"/>
    <w:rsid w:val="00767D7B"/>
    <w:rsid w:val="00767F3E"/>
    <w:rsid w:val="00770427"/>
    <w:rsid w:val="0077045B"/>
    <w:rsid w:val="00770887"/>
    <w:rsid w:val="007708DC"/>
    <w:rsid w:val="007727F1"/>
    <w:rsid w:val="00772CAA"/>
    <w:rsid w:val="00772D55"/>
    <w:rsid w:val="007730CC"/>
    <w:rsid w:val="00773772"/>
    <w:rsid w:val="00774716"/>
    <w:rsid w:val="0077484D"/>
    <w:rsid w:val="00774DE7"/>
    <w:rsid w:val="007752F8"/>
    <w:rsid w:val="007759E0"/>
    <w:rsid w:val="00775AF6"/>
    <w:rsid w:val="00776409"/>
    <w:rsid w:val="007766A4"/>
    <w:rsid w:val="00776784"/>
    <w:rsid w:val="007767C5"/>
    <w:rsid w:val="00776B05"/>
    <w:rsid w:val="007770A7"/>
    <w:rsid w:val="0077785A"/>
    <w:rsid w:val="00777E17"/>
    <w:rsid w:val="00780319"/>
    <w:rsid w:val="007803D0"/>
    <w:rsid w:val="00780ABC"/>
    <w:rsid w:val="00780EBC"/>
    <w:rsid w:val="0078138E"/>
    <w:rsid w:val="007815EB"/>
    <w:rsid w:val="00781659"/>
    <w:rsid w:val="0078251F"/>
    <w:rsid w:val="00783029"/>
    <w:rsid w:val="007830F5"/>
    <w:rsid w:val="007832BD"/>
    <w:rsid w:val="0078359E"/>
    <w:rsid w:val="007837AB"/>
    <w:rsid w:val="007841D6"/>
    <w:rsid w:val="00784A2F"/>
    <w:rsid w:val="00784D35"/>
    <w:rsid w:val="00784E3D"/>
    <w:rsid w:val="007850B5"/>
    <w:rsid w:val="00786515"/>
    <w:rsid w:val="007866E5"/>
    <w:rsid w:val="00786C75"/>
    <w:rsid w:val="00787276"/>
    <w:rsid w:val="0078727E"/>
    <w:rsid w:val="00790251"/>
    <w:rsid w:val="00790C39"/>
    <w:rsid w:val="0079130C"/>
    <w:rsid w:val="007919BA"/>
    <w:rsid w:val="00792348"/>
    <w:rsid w:val="00792BF4"/>
    <w:rsid w:val="00792F8D"/>
    <w:rsid w:val="00793281"/>
    <w:rsid w:val="007950CE"/>
    <w:rsid w:val="007957B6"/>
    <w:rsid w:val="007961AA"/>
    <w:rsid w:val="0079645D"/>
    <w:rsid w:val="00796BDD"/>
    <w:rsid w:val="00796C8D"/>
    <w:rsid w:val="00797250"/>
    <w:rsid w:val="007977B0"/>
    <w:rsid w:val="00797848"/>
    <w:rsid w:val="00797A1F"/>
    <w:rsid w:val="007A0DF3"/>
    <w:rsid w:val="007A10A3"/>
    <w:rsid w:val="007A126F"/>
    <w:rsid w:val="007A12F9"/>
    <w:rsid w:val="007A1642"/>
    <w:rsid w:val="007A2648"/>
    <w:rsid w:val="007A2B3E"/>
    <w:rsid w:val="007A3260"/>
    <w:rsid w:val="007A3376"/>
    <w:rsid w:val="007A34B2"/>
    <w:rsid w:val="007A4208"/>
    <w:rsid w:val="007A445E"/>
    <w:rsid w:val="007A4877"/>
    <w:rsid w:val="007A4EC2"/>
    <w:rsid w:val="007A50B2"/>
    <w:rsid w:val="007A62E3"/>
    <w:rsid w:val="007A6B37"/>
    <w:rsid w:val="007A7191"/>
    <w:rsid w:val="007A7205"/>
    <w:rsid w:val="007A7314"/>
    <w:rsid w:val="007A78EA"/>
    <w:rsid w:val="007B008F"/>
    <w:rsid w:val="007B04F5"/>
    <w:rsid w:val="007B110E"/>
    <w:rsid w:val="007B3315"/>
    <w:rsid w:val="007B3369"/>
    <w:rsid w:val="007B3549"/>
    <w:rsid w:val="007B3621"/>
    <w:rsid w:val="007B442C"/>
    <w:rsid w:val="007B4A82"/>
    <w:rsid w:val="007B523F"/>
    <w:rsid w:val="007B52A7"/>
    <w:rsid w:val="007B6007"/>
    <w:rsid w:val="007B626B"/>
    <w:rsid w:val="007B64AA"/>
    <w:rsid w:val="007B7198"/>
    <w:rsid w:val="007B7302"/>
    <w:rsid w:val="007B7451"/>
    <w:rsid w:val="007B7497"/>
    <w:rsid w:val="007B7D81"/>
    <w:rsid w:val="007B7F69"/>
    <w:rsid w:val="007C1025"/>
    <w:rsid w:val="007C1321"/>
    <w:rsid w:val="007C1790"/>
    <w:rsid w:val="007C18CB"/>
    <w:rsid w:val="007C1FFB"/>
    <w:rsid w:val="007C2392"/>
    <w:rsid w:val="007C24EE"/>
    <w:rsid w:val="007C2A25"/>
    <w:rsid w:val="007C3B8A"/>
    <w:rsid w:val="007C4568"/>
    <w:rsid w:val="007C4657"/>
    <w:rsid w:val="007C5910"/>
    <w:rsid w:val="007C5951"/>
    <w:rsid w:val="007C59F7"/>
    <w:rsid w:val="007C6C83"/>
    <w:rsid w:val="007C6DCF"/>
    <w:rsid w:val="007C6E65"/>
    <w:rsid w:val="007C7BB9"/>
    <w:rsid w:val="007C7C33"/>
    <w:rsid w:val="007C7F1F"/>
    <w:rsid w:val="007D0044"/>
    <w:rsid w:val="007D06F4"/>
    <w:rsid w:val="007D18FE"/>
    <w:rsid w:val="007D2455"/>
    <w:rsid w:val="007D2BFA"/>
    <w:rsid w:val="007D32B4"/>
    <w:rsid w:val="007D3AF7"/>
    <w:rsid w:val="007D434E"/>
    <w:rsid w:val="007D4BA8"/>
    <w:rsid w:val="007D4C28"/>
    <w:rsid w:val="007D4DEE"/>
    <w:rsid w:val="007D569F"/>
    <w:rsid w:val="007D59BC"/>
    <w:rsid w:val="007D5B05"/>
    <w:rsid w:val="007D653F"/>
    <w:rsid w:val="007D6A9A"/>
    <w:rsid w:val="007D6F9A"/>
    <w:rsid w:val="007D716C"/>
    <w:rsid w:val="007D79D5"/>
    <w:rsid w:val="007E00E9"/>
    <w:rsid w:val="007E04BF"/>
    <w:rsid w:val="007E0DBB"/>
    <w:rsid w:val="007E0F97"/>
    <w:rsid w:val="007E100E"/>
    <w:rsid w:val="007E127A"/>
    <w:rsid w:val="007E1753"/>
    <w:rsid w:val="007E1904"/>
    <w:rsid w:val="007E1D1E"/>
    <w:rsid w:val="007E1DD6"/>
    <w:rsid w:val="007E1F9F"/>
    <w:rsid w:val="007E2108"/>
    <w:rsid w:val="007E22C2"/>
    <w:rsid w:val="007E28C4"/>
    <w:rsid w:val="007E2B0A"/>
    <w:rsid w:val="007E2F61"/>
    <w:rsid w:val="007E301B"/>
    <w:rsid w:val="007E323F"/>
    <w:rsid w:val="007E35E4"/>
    <w:rsid w:val="007E376B"/>
    <w:rsid w:val="007E3A9E"/>
    <w:rsid w:val="007E3CAF"/>
    <w:rsid w:val="007E3CBB"/>
    <w:rsid w:val="007E413C"/>
    <w:rsid w:val="007E41FB"/>
    <w:rsid w:val="007E4B68"/>
    <w:rsid w:val="007E4CC0"/>
    <w:rsid w:val="007E4DD3"/>
    <w:rsid w:val="007E59CA"/>
    <w:rsid w:val="007E66D8"/>
    <w:rsid w:val="007E75C0"/>
    <w:rsid w:val="007E786E"/>
    <w:rsid w:val="007F052C"/>
    <w:rsid w:val="007F07F3"/>
    <w:rsid w:val="007F1203"/>
    <w:rsid w:val="007F1230"/>
    <w:rsid w:val="007F178D"/>
    <w:rsid w:val="007F1A1F"/>
    <w:rsid w:val="007F1D41"/>
    <w:rsid w:val="007F1F03"/>
    <w:rsid w:val="007F2625"/>
    <w:rsid w:val="007F2F76"/>
    <w:rsid w:val="007F35DF"/>
    <w:rsid w:val="007F3E5C"/>
    <w:rsid w:val="007F406A"/>
    <w:rsid w:val="007F45BC"/>
    <w:rsid w:val="007F5114"/>
    <w:rsid w:val="007F54B2"/>
    <w:rsid w:val="007F54DE"/>
    <w:rsid w:val="007F59DB"/>
    <w:rsid w:val="007F65F9"/>
    <w:rsid w:val="007F65FF"/>
    <w:rsid w:val="007F68B7"/>
    <w:rsid w:val="007F6C61"/>
    <w:rsid w:val="007F78D5"/>
    <w:rsid w:val="007F7902"/>
    <w:rsid w:val="0080016B"/>
    <w:rsid w:val="00801265"/>
    <w:rsid w:val="00801843"/>
    <w:rsid w:val="00801A73"/>
    <w:rsid w:val="008024AE"/>
    <w:rsid w:val="00802E04"/>
    <w:rsid w:val="0080396D"/>
    <w:rsid w:val="00803CEE"/>
    <w:rsid w:val="00803F6D"/>
    <w:rsid w:val="00803F9C"/>
    <w:rsid w:val="00804350"/>
    <w:rsid w:val="0080444A"/>
    <w:rsid w:val="00805103"/>
    <w:rsid w:val="00805E97"/>
    <w:rsid w:val="00805FD3"/>
    <w:rsid w:val="00806131"/>
    <w:rsid w:val="008069A6"/>
    <w:rsid w:val="00806CC1"/>
    <w:rsid w:val="00807560"/>
    <w:rsid w:val="00810546"/>
    <w:rsid w:val="00810653"/>
    <w:rsid w:val="00810935"/>
    <w:rsid w:val="00810D7B"/>
    <w:rsid w:val="00810DC0"/>
    <w:rsid w:val="00810E3C"/>
    <w:rsid w:val="00811441"/>
    <w:rsid w:val="00812597"/>
    <w:rsid w:val="00812786"/>
    <w:rsid w:val="008128C4"/>
    <w:rsid w:val="00813038"/>
    <w:rsid w:val="008138E4"/>
    <w:rsid w:val="00813BBB"/>
    <w:rsid w:val="00815198"/>
    <w:rsid w:val="00815CEC"/>
    <w:rsid w:val="008168A5"/>
    <w:rsid w:val="00816D7C"/>
    <w:rsid w:val="00817036"/>
    <w:rsid w:val="008170E9"/>
    <w:rsid w:val="00817C76"/>
    <w:rsid w:val="0082004A"/>
    <w:rsid w:val="008202BA"/>
    <w:rsid w:val="008202F3"/>
    <w:rsid w:val="0082037E"/>
    <w:rsid w:val="0082079C"/>
    <w:rsid w:val="00820875"/>
    <w:rsid w:val="00820962"/>
    <w:rsid w:val="00820BE6"/>
    <w:rsid w:val="008210D3"/>
    <w:rsid w:val="008213AF"/>
    <w:rsid w:val="00821444"/>
    <w:rsid w:val="008215B9"/>
    <w:rsid w:val="008216BC"/>
    <w:rsid w:val="00821747"/>
    <w:rsid w:val="00821B89"/>
    <w:rsid w:val="0082235A"/>
    <w:rsid w:val="00822B95"/>
    <w:rsid w:val="00822EDB"/>
    <w:rsid w:val="008234DD"/>
    <w:rsid w:val="00823976"/>
    <w:rsid w:val="00823C82"/>
    <w:rsid w:val="00823E43"/>
    <w:rsid w:val="00823F07"/>
    <w:rsid w:val="00823F0E"/>
    <w:rsid w:val="008241D8"/>
    <w:rsid w:val="008242AC"/>
    <w:rsid w:val="00824426"/>
    <w:rsid w:val="0082454A"/>
    <w:rsid w:val="0082661D"/>
    <w:rsid w:val="00830151"/>
    <w:rsid w:val="0083023D"/>
    <w:rsid w:val="00830423"/>
    <w:rsid w:val="008306CF"/>
    <w:rsid w:val="0083082F"/>
    <w:rsid w:val="00830D15"/>
    <w:rsid w:val="00831424"/>
    <w:rsid w:val="008314D1"/>
    <w:rsid w:val="0083168F"/>
    <w:rsid w:val="00831EED"/>
    <w:rsid w:val="00832056"/>
    <w:rsid w:val="008326E7"/>
    <w:rsid w:val="008328E3"/>
    <w:rsid w:val="00834161"/>
    <w:rsid w:val="00834BCD"/>
    <w:rsid w:val="00834FB3"/>
    <w:rsid w:val="00835288"/>
    <w:rsid w:val="008354B6"/>
    <w:rsid w:val="00835CC8"/>
    <w:rsid w:val="00835DBD"/>
    <w:rsid w:val="0083601A"/>
    <w:rsid w:val="00836054"/>
    <w:rsid w:val="008360FD"/>
    <w:rsid w:val="00836272"/>
    <w:rsid w:val="00836D0F"/>
    <w:rsid w:val="008374FC"/>
    <w:rsid w:val="00837BEB"/>
    <w:rsid w:val="00840198"/>
    <w:rsid w:val="00840441"/>
    <w:rsid w:val="008405E0"/>
    <w:rsid w:val="00840BC5"/>
    <w:rsid w:val="00840C3C"/>
    <w:rsid w:val="00840F7F"/>
    <w:rsid w:val="00841150"/>
    <w:rsid w:val="0084199D"/>
    <w:rsid w:val="00841D85"/>
    <w:rsid w:val="008423D4"/>
    <w:rsid w:val="00842771"/>
    <w:rsid w:val="00842B7D"/>
    <w:rsid w:val="00842ECE"/>
    <w:rsid w:val="00843297"/>
    <w:rsid w:val="00843836"/>
    <w:rsid w:val="00843CBA"/>
    <w:rsid w:val="00843EAC"/>
    <w:rsid w:val="008442D2"/>
    <w:rsid w:val="00844697"/>
    <w:rsid w:val="00844985"/>
    <w:rsid w:val="00844A9F"/>
    <w:rsid w:val="00844E9A"/>
    <w:rsid w:val="00845606"/>
    <w:rsid w:val="0084568A"/>
    <w:rsid w:val="00845BDB"/>
    <w:rsid w:val="008461C8"/>
    <w:rsid w:val="008469B1"/>
    <w:rsid w:val="00846A1C"/>
    <w:rsid w:val="00846F2F"/>
    <w:rsid w:val="00847E54"/>
    <w:rsid w:val="00850A7B"/>
    <w:rsid w:val="00850B58"/>
    <w:rsid w:val="00850E23"/>
    <w:rsid w:val="00850FB1"/>
    <w:rsid w:val="008515B3"/>
    <w:rsid w:val="008519BC"/>
    <w:rsid w:val="00851BF8"/>
    <w:rsid w:val="00852345"/>
    <w:rsid w:val="00852638"/>
    <w:rsid w:val="00852D5C"/>
    <w:rsid w:val="00852F05"/>
    <w:rsid w:val="00853090"/>
    <w:rsid w:val="008532F1"/>
    <w:rsid w:val="00853329"/>
    <w:rsid w:val="00853509"/>
    <w:rsid w:val="00853AF2"/>
    <w:rsid w:val="00853B02"/>
    <w:rsid w:val="0085437C"/>
    <w:rsid w:val="00854CCB"/>
    <w:rsid w:val="0085580B"/>
    <w:rsid w:val="00855C1C"/>
    <w:rsid w:val="00856043"/>
    <w:rsid w:val="008562F6"/>
    <w:rsid w:val="00856595"/>
    <w:rsid w:val="00856D8A"/>
    <w:rsid w:val="00856FC6"/>
    <w:rsid w:val="0085756E"/>
    <w:rsid w:val="008575D8"/>
    <w:rsid w:val="00860156"/>
    <w:rsid w:val="00860F01"/>
    <w:rsid w:val="00860F36"/>
    <w:rsid w:val="008612A8"/>
    <w:rsid w:val="008625C0"/>
    <w:rsid w:val="00862B00"/>
    <w:rsid w:val="00862B26"/>
    <w:rsid w:val="00863FA2"/>
    <w:rsid w:val="00864133"/>
    <w:rsid w:val="00864BAC"/>
    <w:rsid w:val="00865223"/>
    <w:rsid w:val="00865250"/>
    <w:rsid w:val="00865264"/>
    <w:rsid w:val="0086592B"/>
    <w:rsid w:val="00866142"/>
    <w:rsid w:val="00866972"/>
    <w:rsid w:val="00867198"/>
    <w:rsid w:val="0086751D"/>
    <w:rsid w:val="00867903"/>
    <w:rsid w:val="00867EE1"/>
    <w:rsid w:val="00870084"/>
    <w:rsid w:val="00870638"/>
    <w:rsid w:val="00870888"/>
    <w:rsid w:val="00870FA2"/>
    <w:rsid w:val="00871528"/>
    <w:rsid w:val="008715A1"/>
    <w:rsid w:val="0087193A"/>
    <w:rsid w:val="00871B9F"/>
    <w:rsid w:val="00871CA8"/>
    <w:rsid w:val="008722DD"/>
    <w:rsid w:val="00872B75"/>
    <w:rsid w:val="00872D49"/>
    <w:rsid w:val="00872EC3"/>
    <w:rsid w:val="008734C1"/>
    <w:rsid w:val="00874500"/>
    <w:rsid w:val="0087488B"/>
    <w:rsid w:val="00874A2B"/>
    <w:rsid w:val="00874B1E"/>
    <w:rsid w:val="00874BAA"/>
    <w:rsid w:val="00875CB8"/>
    <w:rsid w:val="00876987"/>
    <w:rsid w:val="008777AC"/>
    <w:rsid w:val="00877A4E"/>
    <w:rsid w:val="00880721"/>
    <w:rsid w:val="00880CE6"/>
    <w:rsid w:val="008811AC"/>
    <w:rsid w:val="00881978"/>
    <w:rsid w:val="00881DA0"/>
    <w:rsid w:val="008828B3"/>
    <w:rsid w:val="00882DCD"/>
    <w:rsid w:val="00883399"/>
    <w:rsid w:val="0088368D"/>
    <w:rsid w:val="00883A3D"/>
    <w:rsid w:val="00883A43"/>
    <w:rsid w:val="00884394"/>
    <w:rsid w:val="0088475C"/>
    <w:rsid w:val="00884DE1"/>
    <w:rsid w:val="00885C38"/>
    <w:rsid w:val="00886D08"/>
    <w:rsid w:val="00887157"/>
    <w:rsid w:val="00887FDF"/>
    <w:rsid w:val="00891B29"/>
    <w:rsid w:val="0089296D"/>
    <w:rsid w:val="008930F0"/>
    <w:rsid w:val="00893D2C"/>
    <w:rsid w:val="00893F6D"/>
    <w:rsid w:val="008947AD"/>
    <w:rsid w:val="00895A1E"/>
    <w:rsid w:val="00895BF3"/>
    <w:rsid w:val="008967D5"/>
    <w:rsid w:val="00896D37"/>
    <w:rsid w:val="00897432"/>
    <w:rsid w:val="00897E53"/>
    <w:rsid w:val="008A0A31"/>
    <w:rsid w:val="008A0DA6"/>
    <w:rsid w:val="008A1600"/>
    <w:rsid w:val="008A1EBC"/>
    <w:rsid w:val="008A1FA2"/>
    <w:rsid w:val="008A2E6F"/>
    <w:rsid w:val="008A3859"/>
    <w:rsid w:val="008A40CE"/>
    <w:rsid w:val="008A443A"/>
    <w:rsid w:val="008A4C9D"/>
    <w:rsid w:val="008A4FD2"/>
    <w:rsid w:val="008A50AB"/>
    <w:rsid w:val="008A5701"/>
    <w:rsid w:val="008A5DC0"/>
    <w:rsid w:val="008A5DFE"/>
    <w:rsid w:val="008A680B"/>
    <w:rsid w:val="008A68CE"/>
    <w:rsid w:val="008A6B4E"/>
    <w:rsid w:val="008A7090"/>
    <w:rsid w:val="008A7B64"/>
    <w:rsid w:val="008B0629"/>
    <w:rsid w:val="008B07BC"/>
    <w:rsid w:val="008B1242"/>
    <w:rsid w:val="008B165E"/>
    <w:rsid w:val="008B19FD"/>
    <w:rsid w:val="008B2105"/>
    <w:rsid w:val="008B21AD"/>
    <w:rsid w:val="008B2795"/>
    <w:rsid w:val="008B27A9"/>
    <w:rsid w:val="008B2B3C"/>
    <w:rsid w:val="008B327D"/>
    <w:rsid w:val="008B3C26"/>
    <w:rsid w:val="008B4705"/>
    <w:rsid w:val="008B4957"/>
    <w:rsid w:val="008B5D4B"/>
    <w:rsid w:val="008B70EF"/>
    <w:rsid w:val="008B7125"/>
    <w:rsid w:val="008C01D1"/>
    <w:rsid w:val="008C022C"/>
    <w:rsid w:val="008C0A2D"/>
    <w:rsid w:val="008C0F0C"/>
    <w:rsid w:val="008C1D6A"/>
    <w:rsid w:val="008C298A"/>
    <w:rsid w:val="008C30EB"/>
    <w:rsid w:val="008C326F"/>
    <w:rsid w:val="008C34B2"/>
    <w:rsid w:val="008C3788"/>
    <w:rsid w:val="008C3848"/>
    <w:rsid w:val="008C3C39"/>
    <w:rsid w:val="008C48B0"/>
    <w:rsid w:val="008C50E6"/>
    <w:rsid w:val="008C541E"/>
    <w:rsid w:val="008C57A8"/>
    <w:rsid w:val="008C5C2B"/>
    <w:rsid w:val="008C635B"/>
    <w:rsid w:val="008C64D8"/>
    <w:rsid w:val="008C6976"/>
    <w:rsid w:val="008C6B7D"/>
    <w:rsid w:val="008C7074"/>
    <w:rsid w:val="008C73F7"/>
    <w:rsid w:val="008C750D"/>
    <w:rsid w:val="008C7604"/>
    <w:rsid w:val="008C7859"/>
    <w:rsid w:val="008D006B"/>
    <w:rsid w:val="008D0DFE"/>
    <w:rsid w:val="008D1038"/>
    <w:rsid w:val="008D1112"/>
    <w:rsid w:val="008D14BB"/>
    <w:rsid w:val="008D176B"/>
    <w:rsid w:val="008D196A"/>
    <w:rsid w:val="008D1A01"/>
    <w:rsid w:val="008D1F29"/>
    <w:rsid w:val="008D2835"/>
    <w:rsid w:val="008D3DDA"/>
    <w:rsid w:val="008D3FF4"/>
    <w:rsid w:val="008D4678"/>
    <w:rsid w:val="008D4831"/>
    <w:rsid w:val="008D48C6"/>
    <w:rsid w:val="008D53C2"/>
    <w:rsid w:val="008D53D8"/>
    <w:rsid w:val="008D5C9C"/>
    <w:rsid w:val="008D60BA"/>
    <w:rsid w:val="008D653F"/>
    <w:rsid w:val="008D67E9"/>
    <w:rsid w:val="008D73C3"/>
    <w:rsid w:val="008D73D2"/>
    <w:rsid w:val="008D78AA"/>
    <w:rsid w:val="008E09C3"/>
    <w:rsid w:val="008E0ACA"/>
    <w:rsid w:val="008E1192"/>
    <w:rsid w:val="008E13BD"/>
    <w:rsid w:val="008E182C"/>
    <w:rsid w:val="008E20FF"/>
    <w:rsid w:val="008E272A"/>
    <w:rsid w:val="008E3521"/>
    <w:rsid w:val="008E3A2F"/>
    <w:rsid w:val="008E3AED"/>
    <w:rsid w:val="008E3C48"/>
    <w:rsid w:val="008E3DEE"/>
    <w:rsid w:val="008E4C75"/>
    <w:rsid w:val="008E513C"/>
    <w:rsid w:val="008E56F4"/>
    <w:rsid w:val="008E7038"/>
    <w:rsid w:val="008E72DC"/>
    <w:rsid w:val="008E75BF"/>
    <w:rsid w:val="008F0837"/>
    <w:rsid w:val="008F0C3C"/>
    <w:rsid w:val="008F0D04"/>
    <w:rsid w:val="008F0DD5"/>
    <w:rsid w:val="008F1113"/>
    <w:rsid w:val="008F1134"/>
    <w:rsid w:val="008F1581"/>
    <w:rsid w:val="008F15D8"/>
    <w:rsid w:val="008F1B20"/>
    <w:rsid w:val="008F1D9B"/>
    <w:rsid w:val="008F1EA8"/>
    <w:rsid w:val="008F1EB5"/>
    <w:rsid w:val="008F209F"/>
    <w:rsid w:val="008F21BA"/>
    <w:rsid w:val="008F2B13"/>
    <w:rsid w:val="008F2C55"/>
    <w:rsid w:val="008F3684"/>
    <w:rsid w:val="008F4D07"/>
    <w:rsid w:val="008F4F70"/>
    <w:rsid w:val="008F57F6"/>
    <w:rsid w:val="008F5D76"/>
    <w:rsid w:val="008F5E15"/>
    <w:rsid w:val="008F62EF"/>
    <w:rsid w:val="008F6AA6"/>
    <w:rsid w:val="008F6D8B"/>
    <w:rsid w:val="008F6F6F"/>
    <w:rsid w:val="008F7938"/>
    <w:rsid w:val="008F7B9C"/>
    <w:rsid w:val="009006AA"/>
    <w:rsid w:val="00900A1C"/>
    <w:rsid w:val="00901184"/>
    <w:rsid w:val="009012FB"/>
    <w:rsid w:val="009020AD"/>
    <w:rsid w:val="009020C8"/>
    <w:rsid w:val="0090215C"/>
    <w:rsid w:val="00903093"/>
    <w:rsid w:val="0090310A"/>
    <w:rsid w:val="009039C4"/>
    <w:rsid w:val="00903E34"/>
    <w:rsid w:val="0090512C"/>
    <w:rsid w:val="009051FB"/>
    <w:rsid w:val="0090557C"/>
    <w:rsid w:val="0090562D"/>
    <w:rsid w:val="00905E17"/>
    <w:rsid w:val="0090633F"/>
    <w:rsid w:val="0090641A"/>
    <w:rsid w:val="0090737E"/>
    <w:rsid w:val="00907E49"/>
    <w:rsid w:val="009108E1"/>
    <w:rsid w:val="00910E84"/>
    <w:rsid w:val="00911411"/>
    <w:rsid w:val="00911B8C"/>
    <w:rsid w:val="00911DA0"/>
    <w:rsid w:val="0091226D"/>
    <w:rsid w:val="00913197"/>
    <w:rsid w:val="0091353B"/>
    <w:rsid w:val="0091366D"/>
    <w:rsid w:val="00913C26"/>
    <w:rsid w:val="00914399"/>
    <w:rsid w:val="009144A5"/>
    <w:rsid w:val="009145A3"/>
    <w:rsid w:val="00914E08"/>
    <w:rsid w:val="0091562C"/>
    <w:rsid w:val="00915C6E"/>
    <w:rsid w:val="009160C9"/>
    <w:rsid w:val="0091667E"/>
    <w:rsid w:val="009167E2"/>
    <w:rsid w:val="0091680A"/>
    <w:rsid w:val="00916F6B"/>
    <w:rsid w:val="00917990"/>
    <w:rsid w:val="00917A63"/>
    <w:rsid w:val="00917BC5"/>
    <w:rsid w:val="00921262"/>
    <w:rsid w:val="00921588"/>
    <w:rsid w:val="009223FB"/>
    <w:rsid w:val="00922BE3"/>
    <w:rsid w:val="00922FE6"/>
    <w:rsid w:val="009231A5"/>
    <w:rsid w:val="00923559"/>
    <w:rsid w:val="009236A4"/>
    <w:rsid w:val="009240F6"/>
    <w:rsid w:val="0092429A"/>
    <w:rsid w:val="00924745"/>
    <w:rsid w:val="00924790"/>
    <w:rsid w:val="00924C97"/>
    <w:rsid w:val="00925C80"/>
    <w:rsid w:val="00925E60"/>
    <w:rsid w:val="00926944"/>
    <w:rsid w:val="009269F4"/>
    <w:rsid w:val="00926DBF"/>
    <w:rsid w:val="00927292"/>
    <w:rsid w:val="009272C0"/>
    <w:rsid w:val="009275A5"/>
    <w:rsid w:val="00927717"/>
    <w:rsid w:val="00927E90"/>
    <w:rsid w:val="00927EF1"/>
    <w:rsid w:val="0093004F"/>
    <w:rsid w:val="0093040B"/>
    <w:rsid w:val="00930DB4"/>
    <w:rsid w:val="00930E6C"/>
    <w:rsid w:val="0093211F"/>
    <w:rsid w:val="00932186"/>
    <w:rsid w:val="00932464"/>
    <w:rsid w:val="009325A8"/>
    <w:rsid w:val="0093296D"/>
    <w:rsid w:val="0093375A"/>
    <w:rsid w:val="00933BBE"/>
    <w:rsid w:val="00934030"/>
    <w:rsid w:val="009343A4"/>
    <w:rsid w:val="009344DC"/>
    <w:rsid w:val="00934F91"/>
    <w:rsid w:val="00935767"/>
    <w:rsid w:val="00935852"/>
    <w:rsid w:val="0093657A"/>
    <w:rsid w:val="009366D4"/>
    <w:rsid w:val="009367C4"/>
    <w:rsid w:val="00937178"/>
    <w:rsid w:val="00937331"/>
    <w:rsid w:val="00937702"/>
    <w:rsid w:val="00937A89"/>
    <w:rsid w:val="00937E06"/>
    <w:rsid w:val="00937F0C"/>
    <w:rsid w:val="00940328"/>
    <w:rsid w:val="009403AD"/>
    <w:rsid w:val="00940EA8"/>
    <w:rsid w:val="00940FE5"/>
    <w:rsid w:val="00941DFF"/>
    <w:rsid w:val="00941E99"/>
    <w:rsid w:val="009420B2"/>
    <w:rsid w:val="009426F7"/>
    <w:rsid w:val="009427EB"/>
    <w:rsid w:val="00942C9B"/>
    <w:rsid w:val="0094308D"/>
    <w:rsid w:val="00943C3A"/>
    <w:rsid w:val="009440AF"/>
    <w:rsid w:val="00944627"/>
    <w:rsid w:val="00944890"/>
    <w:rsid w:val="009448F8"/>
    <w:rsid w:val="00944B8F"/>
    <w:rsid w:val="0094633A"/>
    <w:rsid w:val="009463C3"/>
    <w:rsid w:val="00946883"/>
    <w:rsid w:val="00947D06"/>
    <w:rsid w:val="009501B4"/>
    <w:rsid w:val="009507B3"/>
    <w:rsid w:val="0095090A"/>
    <w:rsid w:val="00950CAC"/>
    <w:rsid w:val="00951176"/>
    <w:rsid w:val="00951C14"/>
    <w:rsid w:val="00951D98"/>
    <w:rsid w:val="00951E83"/>
    <w:rsid w:val="0095270C"/>
    <w:rsid w:val="00952D62"/>
    <w:rsid w:val="00953AB5"/>
    <w:rsid w:val="00953E5F"/>
    <w:rsid w:val="009544DF"/>
    <w:rsid w:val="00954BBF"/>
    <w:rsid w:val="00954CE2"/>
    <w:rsid w:val="009556AA"/>
    <w:rsid w:val="009557EA"/>
    <w:rsid w:val="00955A05"/>
    <w:rsid w:val="00955DC8"/>
    <w:rsid w:val="00955F7B"/>
    <w:rsid w:val="009567AC"/>
    <w:rsid w:val="00956CC1"/>
    <w:rsid w:val="00956E59"/>
    <w:rsid w:val="0096006A"/>
    <w:rsid w:val="009606FD"/>
    <w:rsid w:val="00960E05"/>
    <w:rsid w:val="00961073"/>
    <w:rsid w:val="009619E6"/>
    <w:rsid w:val="00961D25"/>
    <w:rsid w:val="00962004"/>
    <w:rsid w:val="00962749"/>
    <w:rsid w:val="00962D3D"/>
    <w:rsid w:val="00962F63"/>
    <w:rsid w:val="00962FD6"/>
    <w:rsid w:val="009635FF"/>
    <w:rsid w:val="00963799"/>
    <w:rsid w:val="00963E5A"/>
    <w:rsid w:val="009645CF"/>
    <w:rsid w:val="00965B1E"/>
    <w:rsid w:val="0096612D"/>
    <w:rsid w:val="009661FC"/>
    <w:rsid w:val="0096631B"/>
    <w:rsid w:val="00966682"/>
    <w:rsid w:val="00966977"/>
    <w:rsid w:val="00966A3F"/>
    <w:rsid w:val="009672EC"/>
    <w:rsid w:val="00967BB9"/>
    <w:rsid w:val="00967E84"/>
    <w:rsid w:val="00970EB8"/>
    <w:rsid w:val="00970FB3"/>
    <w:rsid w:val="00970FFA"/>
    <w:rsid w:val="00971228"/>
    <w:rsid w:val="00971857"/>
    <w:rsid w:val="00971C40"/>
    <w:rsid w:val="0097264F"/>
    <w:rsid w:val="009727C2"/>
    <w:rsid w:val="00973445"/>
    <w:rsid w:val="00973733"/>
    <w:rsid w:val="0097384D"/>
    <w:rsid w:val="009749AD"/>
    <w:rsid w:val="009750CE"/>
    <w:rsid w:val="00975816"/>
    <w:rsid w:val="00975E09"/>
    <w:rsid w:val="00976910"/>
    <w:rsid w:val="00976DCD"/>
    <w:rsid w:val="009772CA"/>
    <w:rsid w:val="009772D1"/>
    <w:rsid w:val="009810FB"/>
    <w:rsid w:val="0098243B"/>
    <w:rsid w:val="00982E94"/>
    <w:rsid w:val="0098306A"/>
    <w:rsid w:val="00983265"/>
    <w:rsid w:val="00983505"/>
    <w:rsid w:val="00983CC4"/>
    <w:rsid w:val="0098490F"/>
    <w:rsid w:val="0098552E"/>
    <w:rsid w:val="00985622"/>
    <w:rsid w:val="00986786"/>
    <w:rsid w:val="00986D0F"/>
    <w:rsid w:val="00986FE2"/>
    <w:rsid w:val="009875A2"/>
    <w:rsid w:val="00987A25"/>
    <w:rsid w:val="00987A4B"/>
    <w:rsid w:val="00987AE4"/>
    <w:rsid w:val="00987CE4"/>
    <w:rsid w:val="00987D06"/>
    <w:rsid w:val="00987D98"/>
    <w:rsid w:val="00987ED4"/>
    <w:rsid w:val="00987F6E"/>
    <w:rsid w:val="00990212"/>
    <w:rsid w:val="00990A2E"/>
    <w:rsid w:val="00990D38"/>
    <w:rsid w:val="00991234"/>
    <w:rsid w:val="00991AB2"/>
    <w:rsid w:val="0099209A"/>
    <w:rsid w:val="009926DE"/>
    <w:rsid w:val="0099311B"/>
    <w:rsid w:val="009931B5"/>
    <w:rsid w:val="0099382C"/>
    <w:rsid w:val="00994293"/>
    <w:rsid w:val="009947C7"/>
    <w:rsid w:val="00994F58"/>
    <w:rsid w:val="009955F2"/>
    <w:rsid w:val="00995EA7"/>
    <w:rsid w:val="00996230"/>
    <w:rsid w:val="00996BA8"/>
    <w:rsid w:val="00996FC9"/>
    <w:rsid w:val="00997295"/>
    <w:rsid w:val="009973BB"/>
    <w:rsid w:val="009975EC"/>
    <w:rsid w:val="00997A43"/>
    <w:rsid w:val="00997C45"/>
    <w:rsid w:val="009A03A7"/>
    <w:rsid w:val="009A044E"/>
    <w:rsid w:val="009A067C"/>
    <w:rsid w:val="009A1227"/>
    <w:rsid w:val="009A1307"/>
    <w:rsid w:val="009A158A"/>
    <w:rsid w:val="009A2AD3"/>
    <w:rsid w:val="009A2D3C"/>
    <w:rsid w:val="009A38EA"/>
    <w:rsid w:val="009A3E8B"/>
    <w:rsid w:val="009A3FA1"/>
    <w:rsid w:val="009A4373"/>
    <w:rsid w:val="009A4971"/>
    <w:rsid w:val="009A4AC9"/>
    <w:rsid w:val="009A50B6"/>
    <w:rsid w:val="009A52F8"/>
    <w:rsid w:val="009A5BBF"/>
    <w:rsid w:val="009A5BCC"/>
    <w:rsid w:val="009A5E4F"/>
    <w:rsid w:val="009A6453"/>
    <w:rsid w:val="009A7350"/>
    <w:rsid w:val="009A76FE"/>
    <w:rsid w:val="009A7BBC"/>
    <w:rsid w:val="009B0036"/>
    <w:rsid w:val="009B051D"/>
    <w:rsid w:val="009B0738"/>
    <w:rsid w:val="009B08E4"/>
    <w:rsid w:val="009B0977"/>
    <w:rsid w:val="009B09EA"/>
    <w:rsid w:val="009B15F6"/>
    <w:rsid w:val="009B1713"/>
    <w:rsid w:val="009B1721"/>
    <w:rsid w:val="009B1E96"/>
    <w:rsid w:val="009B23DC"/>
    <w:rsid w:val="009B27F7"/>
    <w:rsid w:val="009B2E77"/>
    <w:rsid w:val="009B30A4"/>
    <w:rsid w:val="009B3383"/>
    <w:rsid w:val="009B3F96"/>
    <w:rsid w:val="009B45A3"/>
    <w:rsid w:val="009B46C0"/>
    <w:rsid w:val="009B479F"/>
    <w:rsid w:val="009B4DFD"/>
    <w:rsid w:val="009B50FB"/>
    <w:rsid w:val="009B536C"/>
    <w:rsid w:val="009B62F2"/>
    <w:rsid w:val="009B6D9A"/>
    <w:rsid w:val="009B753E"/>
    <w:rsid w:val="009B78BC"/>
    <w:rsid w:val="009C0765"/>
    <w:rsid w:val="009C0F63"/>
    <w:rsid w:val="009C114E"/>
    <w:rsid w:val="009C13B4"/>
    <w:rsid w:val="009C2054"/>
    <w:rsid w:val="009C24EB"/>
    <w:rsid w:val="009C2594"/>
    <w:rsid w:val="009C2A6B"/>
    <w:rsid w:val="009C2C3F"/>
    <w:rsid w:val="009C2DE0"/>
    <w:rsid w:val="009C2E5A"/>
    <w:rsid w:val="009C30A3"/>
    <w:rsid w:val="009C318D"/>
    <w:rsid w:val="009C341D"/>
    <w:rsid w:val="009C3B6A"/>
    <w:rsid w:val="009C3FD0"/>
    <w:rsid w:val="009C547C"/>
    <w:rsid w:val="009C5806"/>
    <w:rsid w:val="009C5F2F"/>
    <w:rsid w:val="009C6341"/>
    <w:rsid w:val="009C653D"/>
    <w:rsid w:val="009C68D1"/>
    <w:rsid w:val="009C6A9E"/>
    <w:rsid w:val="009C6C06"/>
    <w:rsid w:val="009C721E"/>
    <w:rsid w:val="009C7B7E"/>
    <w:rsid w:val="009C7E43"/>
    <w:rsid w:val="009D06E2"/>
    <w:rsid w:val="009D0ADA"/>
    <w:rsid w:val="009D0CF2"/>
    <w:rsid w:val="009D1F8D"/>
    <w:rsid w:val="009D1FAB"/>
    <w:rsid w:val="009D273D"/>
    <w:rsid w:val="009D2787"/>
    <w:rsid w:val="009D2C24"/>
    <w:rsid w:val="009D2EED"/>
    <w:rsid w:val="009D3E39"/>
    <w:rsid w:val="009D3EBF"/>
    <w:rsid w:val="009D4399"/>
    <w:rsid w:val="009D464E"/>
    <w:rsid w:val="009D4E74"/>
    <w:rsid w:val="009D4F20"/>
    <w:rsid w:val="009D4F9E"/>
    <w:rsid w:val="009D56E3"/>
    <w:rsid w:val="009D5B81"/>
    <w:rsid w:val="009D62F2"/>
    <w:rsid w:val="009D7B2B"/>
    <w:rsid w:val="009E0201"/>
    <w:rsid w:val="009E05D6"/>
    <w:rsid w:val="009E0DD4"/>
    <w:rsid w:val="009E13D7"/>
    <w:rsid w:val="009E1E3D"/>
    <w:rsid w:val="009E202C"/>
    <w:rsid w:val="009E28B9"/>
    <w:rsid w:val="009E2955"/>
    <w:rsid w:val="009E2BC1"/>
    <w:rsid w:val="009E2BD9"/>
    <w:rsid w:val="009E2C57"/>
    <w:rsid w:val="009E2E3B"/>
    <w:rsid w:val="009E3980"/>
    <w:rsid w:val="009E3B55"/>
    <w:rsid w:val="009E43F8"/>
    <w:rsid w:val="009E4599"/>
    <w:rsid w:val="009E469A"/>
    <w:rsid w:val="009E5682"/>
    <w:rsid w:val="009E5806"/>
    <w:rsid w:val="009E6012"/>
    <w:rsid w:val="009E6B24"/>
    <w:rsid w:val="009E7C7C"/>
    <w:rsid w:val="009E7EDD"/>
    <w:rsid w:val="009F0907"/>
    <w:rsid w:val="009F0AA2"/>
    <w:rsid w:val="009F0E57"/>
    <w:rsid w:val="009F1097"/>
    <w:rsid w:val="009F1983"/>
    <w:rsid w:val="009F23BD"/>
    <w:rsid w:val="009F24FC"/>
    <w:rsid w:val="009F28DA"/>
    <w:rsid w:val="009F2913"/>
    <w:rsid w:val="009F38CE"/>
    <w:rsid w:val="009F3C50"/>
    <w:rsid w:val="009F3FDB"/>
    <w:rsid w:val="009F425D"/>
    <w:rsid w:val="009F42B3"/>
    <w:rsid w:val="009F48AA"/>
    <w:rsid w:val="009F4E34"/>
    <w:rsid w:val="009F532D"/>
    <w:rsid w:val="009F583B"/>
    <w:rsid w:val="009F5ABB"/>
    <w:rsid w:val="009F6253"/>
    <w:rsid w:val="009F657A"/>
    <w:rsid w:val="009F6ACC"/>
    <w:rsid w:val="009F6B67"/>
    <w:rsid w:val="009F7087"/>
    <w:rsid w:val="009F7DA5"/>
    <w:rsid w:val="009F7F00"/>
    <w:rsid w:val="00A00672"/>
    <w:rsid w:val="00A00F9E"/>
    <w:rsid w:val="00A012DB"/>
    <w:rsid w:val="00A01594"/>
    <w:rsid w:val="00A01A2C"/>
    <w:rsid w:val="00A01B11"/>
    <w:rsid w:val="00A0283A"/>
    <w:rsid w:val="00A02887"/>
    <w:rsid w:val="00A02FCC"/>
    <w:rsid w:val="00A03F4D"/>
    <w:rsid w:val="00A04318"/>
    <w:rsid w:val="00A0457F"/>
    <w:rsid w:val="00A04927"/>
    <w:rsid w:val="00A0497C"/>
    <w:rsid w:val="00A04BBC"/>
    <w:rsid w:val="00A04BE9"/>
    <w:rsid w:val="00A04F4B"/>
    <w:rsid w:val="00A04FFB"/>
    <w:rsid w:val="00A0585A"/>
    <w:rsid w:val="00A0695D"/>
    <w:rsid w:val="00A06E12"/>
    <w:rsid w:val="00A10795"/>
    <w:rsid w:val="00A10AC7"/>
    <w:rsid w:val="00A10DA5"/>
    <w:rsid w:val="00A11319"/>
    <w:rsid w:val="00A11A60"/>
    <w:rsid w:val="00A12A2D"/>
    <w:rsid w:val="00A1312F"/>
    <w:rsid w:val="00A13915"/>
    <w:rsid w:val="00A13C4E"/>
    <w:rsid w:val="00A13F87"/>
    <w:rsid w:val="00A14560"/>
    <w:rsid w:val="00A14628"/>
    <w:rsid w:val="00A14D7C"/>
    <w:rsid w:val="00A14E53"/>
    <w:rsid w:val="00A15418"/>
    <w:rsid w:val="00A16B7B"/>
    <w:rsid w:val="00A174CA"/>
    <w:rsid w:val="00A178E7"/>
    <w:rsid w:val="00A178FD"/>
    <w:rsid w:val="00A17F7B"/>
    <w:rsid w:val="00A20195"/>
    <w:rsid w:val="00A2025F"/>
    <w:rsid w:val="00A20303"/>
    <w:rsid w:val="00A2032E"/>
    <w:rsid w:val="00A20829"/>
    <w:rsid w:val="00A20F4A"/>
    <w:rsid w:val="00A225C6"/>
    <w:rsid w:val="00A234DD"/>
    <w:rsid w:val="00A23F13"/>
    <w:rsid w:val="00A240BF"/>
    <w:rsid w:val="00A242E1"/>
    <w:rsid w:val="00A24569"/>
    <w:rsid w:val="00A24643"/>
    <w:rsid w:val="00A249A0"/>
    <w:rsid w:val="00A249F7"/>
    <w:rsid w:val="00A24B24"/>
    <w:rsid w:val="00A24B51"/>
    <w:rsid w:val="00A24C80"/>
    <w:rsid w:val="00A24E4F"/>
    <w:rsid w:val="00A252C3"/>
    <w:rsid w:val="00A25A63"/>
    <w:rsid w:val="00A26FE8"/>
    <w:rsid w:val="00A2728D"/>
    <w:rsid w:val="00A3027C"/>
    <w:rsid w:val="00A30A76"/>
    <w:rsid w:val="00A30E02"/>
    <w:rsid w:val="00A30EB9"/>
    <w:rsid w:val="00A31367"/>
    <w:rsid w:val="00A32CAE"/>
    <w:rsid w:val="00A3371D"/>
    <w:rsid w:val="00A33C2B"/>
    <w:rsid w:val="00A341C0"/>
    <w:rsid w:val="00A348D3"/>
    <w:rsid w:val="00A3523E"/>
    <w:rsid w:val="00A352BC"/>
    <w:rsid w:val="00A3673A"/>
    <w:rsid w:val="00A3707D"/>
    <w:rsid w:val="00A37822"/>
    <w:rsid w:val="00A37C8C"/>
    <w:rsid w:val="00A37DB5"/>
    <w:rsid w:val="00A37E59"/>
    <w:rsid w:val="00A40757"/>
    <w:rsid w:val="00A4079A"/>
    <w:rsid w:val="00A40A62"/>
    <w:rsid w:val="00A40BF6"/>
    <w:rsid w:val="00A40C5B"/>
    <w:rsid w:val="00A40D9E"/>
    <w:rsid w:val="00A40E17"/>
    <w:rsid w:val="00A412B4"/>
    <w:rsid w:val="00A415A9"/>
    <w:rsid w:val="00A41767"/>
    <w:rsid w:val="00A42538"/>
    <w:rsid w:val="00A42AAE"/>
    <w:rsid w:val="00A43680"/>
    <w:rsid w:val="00A43CB2"/>
    <w:rsid w:val="00A44286"/>
    <w:rsid w:val="00A4460E"/>
    <w:rsid w:val="00A446ED"/>
    <w:rsid w:val="00A44794"/>
    <w:rsid w:val="00A44E0A"/>
    <w:rsid w:val="00A44F16"/>
    <w:rsid w:val="00A4514A"/>
    <w:rsid w:val="00A4544B"/>
    <w:rsid w:val="00A45793"/>
    <w:rsid w:val="00A4612A"/>
    <w:rsid w:val="00A461A9"/>
    <w:rsid w:val="00A463B8"/>
    <w:rsid w:val="00A46541"/>
    <w:rsid w:val="00A473A0"/>
    <w:rsid w:val="00A47613"/>
    <w:rsid w:val="00A50017"/>
    <w:rsid w:val="00A5097F"/>
    <w:rsid w:val="00A50A2F"/>
    <w:rsid w:val="00A510B9"/>
    <w:rsid w:val="00A5121B"/>
    <w:rsid w:val="00A517D9"/>
    <w:rsid w:val="00A51A64"/>
    <w:rsid w:val="00A51A85"/>
    <w:rsid w:val="00A53E27"/>
    <w:rsid w:val="00A54707"/>
    <w:rsid w:val="00A54F26"/>
    <w:rsid w:val="00A550A8"/>
    <w:rsid w:val="00A55543"/>
    <w:rsid w:val="00A555A6"/>
    <w:rsid w:val="00A555DC"/>
    <w:rsid w:val="00A556DE"/>
    <w:rsid w:val="00A55B03"/>
    <w:rsid w:val="00A55DC7"/>
    <w:rsid w:val="00A56DCA"/>
    <w:rsid w:val="00A57514"/>
    <w:rsid w:val="00A57824"/>
    <w:rsid w:val="00A606AE"/>
    <w:rsid w:val="00A608D2"/>
    <w:rsid w:val="00A60A7C"/>
    <w:rsid w:val="00A60AD2"/>
    <w:rsid w:val="00A60DB5"/>
    <w:rsid w:val="00A62F1B"/>
    <w:rsid w:val="00A63118"/>
    <w:rsid w:val="00A63947"/>
    <w:rsid w:val="00A63F11"/>
    <w:rsid w:val="00A64063"/>
    <w:rsid w:val="00A64B40"/>
    <w:rsid w:val="00A64DD4"/>
    <w:rsid w:val="00A6526E"/>
    <w:rsid w:val="00A6574A"/>
    <w:rsid w:val="00A66962"/>
    <w:rsid w:val="00A66988"/>
    <w:rsid w:val="00A66F0B"/>
    <w:rsid w:val="00A67BA0"/>
    <w:rsid w:val="00A70049"/>
    <w:rsid w:val="00A700D2"/>
    <w:rsid w:val="00A71831"/>
    <w:rsid w:val="00A72295"/>
    <w:rsid w:val="00A72310"/>
    <w:rsid w:val="00A72611"/>
    <w:rsid w:val="00A72FE5"/>
    <w:rsid w:val="00A73091"/>
    <w:rsid w:val="00A7328B"/>
    <w:rsid w:val="00A73DA1"/>
    <w:rsid w:val="00A73DA5"/>
    <w:rsid w:val="00A73EF0"/>
    <w:rsid w:val="00A74112"/>
    <w:rsid w:val="00A74B3D"/>
    <w:rsid w:val="00A7504B"/>
    <w:rsid w:val="00A75A7C"/>
    <w:rsid w:val="00A76160"/>
    <w:rsid w:val="00A76521"/>
    <w:rsid w:val="00A77154"/>
    <w:rsid w:val="00A77462"/>
    <w:rsid w:val="00A775F1"/>
    <w:rsid w:val="00A7792B"/>
    <w:rsid w:val="00A8034E"/>
    <w:rsid w:val="00A80774"/>
    <w:rsid w:val="00A80BD2"/>
    <w:rsid w:val="00A81005"/>
    <w:rsid w:val="00A81543"/>
    <w:rsid w:val="00A81A39"/>
    <w:rsid w:val="00A825FF"/>
    <w:rsid w:val="00A8294F"/>
    <w:rsid w:val="00A8297B"/>
    <w:rsid w:val="00A8413F"/>
    <w:rsid w:val="00A841C9"/>
    <w:rsid w:val="00A84575"/>
    <w:rsid w:val="00A84E08"/>
    <w:rsid w:val="00A84E5C"/>
    <w:rsid w:val="00A851FA"/>
    <w:rsid w:val="00A85602"/>
    <w:rsid w:val="00A85A19"/>
    <w:rsid w:val="00A8631F"/>
    <w:rsid w:val="00A87D49"/>
    <w:rsid w:val="00A90046"/>
    <w:rsid w:val="00A90542"/>
    <w:rsid w:val="00A90A3E"/>
    <w:rsid w:val="00A9101B"/>
    <w:rsid w:val="00A91662"/>
    <w:rsid w:val="00A91A56"/>
    <w:rsid w:val="00A91A5F"/>
    <w:rsid w:val="00A91FD2"/>
    <w:rsid w:val="00A93845"/>
    <w:rsid w:val="00A93DD6"/>
    <w:rsid w:val="00A93E60"/>
    <w:rsid w:val="00A94AD1"/>
    <w:rsid w:val="00A94ED5"/>
    <w:rsid w:val="00A953AC"/>
    <w:rsid w:val="00A95437"/>
    <w:rsid w:val="00A95523"/>
    <w:rsid w:val="00A96705"/>
    <w:rsid w:val="00A968C9"/>
    <w:rsid w:val="00A9691C"/>
    <w:rsid w:val="00A9696C"/>
    <w:rsid w:val="00A977AE"/>
    <w:rsid w:val="00A977B0"/>
    <w:rsid w:val="00AA05B8"/>
    <w:rsid w:val="00AA07C3"/>
    <w:rsid w:val="00AA0987"/>
    <w:rsid w:val="00AA1E72"/>
    <w:rsid w:val="00AA274A"/>
    <w:rsid w:val="00AA3595"/>
    <w:rsid w:val="00AA3759"/>
    <w:rsid w:val="00AA3F6D"/>
    <w:rsid w:val="00AA3FD0"/>
    <w:rsid w:val="00AA4582"/>
    <w:rsid w:val="00AA5177"/>
    <w:rsid w:val="00AA54D3"/>
    <w:rsid w:val="00AA55C7"/>
    <w:rsid w:val="00AA5D97"/>
    <w:rsid w:val="00AA6367"/>
    <w:rsid w:val="00AA67FF"/>
    <w:rsid w:val="00AA6F87"/>
    <w:rsid w:val="00AA7215"/>
    <w:rsid w:val="00AA7CAF"/>
    <w:rsid w:val="00AB0046"/>
    <w:rsid w:val="00AB08CE"/>
    <w:rsid w:val="00AB0C38"/>
    <w:rsid w:val="00AB1725"/>
    <w:rsid w:val="00AB1750"/>
    <w:rsid w:val="00AB17CE"/>
    <w:rsid w:val="00AB1878"/>
    <w:rsid w:val="00AB1C75"/>
    <w:rsid w:val="00AB1E7B"/>
    <w:rsid w:val="00AB24F1"/>
    <w:rsid w:val="00AB365E"/>
    <w:rsid w:val="00AB443B"/>
    <w:rsid w:val="00AB44CD"/>
    <w:rsid w:val="00AB4667"/>
    <w:rsid w:val="00AB46C3"/>
    <w:rsid w:val="00AB4E1B"/>
    <w:rsid w:val="00AB4E7E"/>
    <w:rsid w:val="00AB4EA7"/>
    <w:rsid w:val="00AB57F6"/>
    <w:rsid w:val="00AB5AF3"/>
    <w:rsid w:val="00AB5DEE"/>
    <w:rsid w:val="00AB5E4E"/>
    <w:rsid w:val="00AB638D"/>
    <w:rsid w:val="00AB6B43"/>
    <w:rsid w:val="00AB6E51"/>
    <w:rsid w:val="00AB76E0"/>
    <w:rsid w:val="00AB7A71"/>
    <w:rsid w:val="00AB7C65"/>
    <w:rsid w:val="00AC0076"/>
    <w:rsid w:val="00AC0A98"/>
    <w:rsid w:val="00AC1729"/>
    <w:rsid w:val="00AC2954"/>
    <w:rsid w:val="00AC2E5B"/>
    <w:rsid w:val="00AC3200"/>
    <w:rsid w:val="00AC3300"/>
    <w:rsid w:val="00AC414B"/>
    <w:rsid w:val="00AC41AA"/>
    <w:rsid w:val="00AC420C"/>
    <w:rsid w:val="00AC50F2"/>
    <w:rsid w:val="00AC539F"/>
    <w:rsid w:val="00AC559C"/>
    <w:rsid w:val="00AC563F"/>
    <w:rsid w:val="00AC6147"/>
    <w:rsid w:val="00AC6261"/>
    <w:rsid w:val="00AC63A4"/>
    <w:rsid w:val="00AC645F"/>
    <w:rsid w:val="00AC6DDB"/>
    <w:rsid w:val="00AC779C"/>
    <w:rsid w:val="00AD06C1"/>
    <w:rsid w:val="00AD0B87"/>
    <w:rsid w:val="00AD119D"/>
    <w:rsid w:val="00AD12AC"/>
    <w:rsid w:val="00AD1536"/>
    <w:rsid w:val="00AD1C9E"/>
    <w:rsid w:val="00AD27B4"/>
    <w:rsid w:val="00AD32F7"/>
    <w:rsid w:val="00AD3A95"/>
    <w:rsid w:val="00AD3DB0"/>
    <w:rsid w:val="00AD44E5"/>
    <w:rsid w:val="00AD4519"/>
    <w:rsid w:val="00AD481E"/>
    <w:rsid w:val="00AD584B"/>
    <w:rsid w:val="00AD5DC0"/>
    <w:rsid w:val="00AD5ED6"/>
    <w:rsid w:val="00AD5FD7"/>
    <w:rsid w:val="00AD6061"/>
    <w:rsid w:val="00AD63D3"/>
    <w:rsid w:val="00AD65BA"/>
    <w:rsid w:val="00AD6851"/>
    <w:rsid w:val="00AD6B5D"/>
    <w:rsid w:val="00AD7027"/>
    <w:rsid w:val="00AE120E"/>
    <w:rsid w:val="00AE17A1"/>
    <w:rsid w:val="00AE22BE"/>
    <w:rsid w:val="00AE244F"/>
    <w:rsid w:val="00AE5544"/>
    <w:rsid w:val="00AE6D16"/>
    <w:rsid w:val="00AE6E66"/>
    <w:rsid w:val="00AE70AA"/>
    <w:rsid w:val="00AE73F3"/>
    <w:rsid w:val="00AF0271"/>
    <w:rsid w:val="00AF099F"/>
    <w:rsid w:val="00AF0DEC"/>
    <w:rsid w:val="00AF1218"/>
    <w:rsid w:val="00AF12CD"/>
    <w:rsid w:val="00AF190A"/>
    <w:rsid w:val="00AF1BD5"/>
    <w:rsid w:val="00AF1CA0"/>
    <w:rsid w:val="00AF1E89"/>
    <w:rsid w:val="00AF1FFD"/>
    <w:rsid w:val="00AF205D"/>
    <w:rsid w:val="00AF242C"/>
    <w:rsid w:val="00AF26D1"/>
    <w:rsid w:val="00AF3022"/>
    <w:rsid w:val="00AF312A"/>
    <w:rsid w:val="00AF3241"/>
    <w:rsid w:val="00AF3A3C"/>
    <w:rsid w:val="00AF4109"/>
    <w:rsid w:val="00AF4235"/>
    <w:rsid w:val="00AF489E"/>
    <w:rsid w:val="00AF5E98"/>
    <w:rsid w:val="00AF5ED0"/>
    <w:rsid w:val="00AF68D2"/>
    <w:rsid w:val="00AF732C"/>
    <w:rsid w:val="00AF74C8"/>
    <w:rsid w:val="00AF7B4A"/>
    <w:rsid w:val="00AF7DE7"/>
    <w:rsid w:val="00B00085"/>
    <w:rsid w:val="00B0094F"/>
    <w:rsid w:val="00B00966"/>
    <w:rsid w:val="00B00DE8"/>
    <w:rsid w:val="00B011F2"/>
    <w:rsid w:val="00B01EA9"/>
    <w:rsid w:val="00B0214A"/>
    <w:rsid w:val="00B0247F"/>
    <w:rsid w:val="00B02A41"/>
    <w:rsid w:val="00B02B0D"/>
    <w:rsid w:val="00B0343C"/>
    <w:rsid w:val="00B036E0"/>
    <w:rsid w:val="00B03AF2"/>
    <w:rsid w:val="00B03C0C"/>
    <w:rsid w:val="00B03D11"/>
    <w:rsid w:val="00B04268"/>
    <w:rsid w:val="00B049D7"/>
    <w:rsid w:val="00B04A6B"/>
    <w:rsid w:val="00B04F49"/>
    <w:rsid w:val="00B05191"/>
    <w:rsid w:val="00B0527D"/>
    <w:rsid w:val="00B0532B"/>
    <w:rsid w:val="00B05EF9"/>
    <w:rsid w:val="00B067C3"/>
    <w:rsid w:val="00B06952"/>
    <w:rsid w:val="00B06E02"/>
    <w:rsid w:val="00B07348"/>
    <w:rsid w:val="00B0772A"/>
    <w:rsid w:val="00B07CFD"/>
    <w:rsid w:val="00B100AC"/>
    <w:rsid w:val="00B1036B"/>
    <w:rsid w:val="00B103A6"/>
    <w:rsid w:val="00B1053E"/>
    <w:rsid w:val="00B10A61"/>
    <w:rsid w:val="00B110AB"/>
    <w:rsid w:val="00B110C1"/>
    <w:rsid w:val="00B12935"/>
    <w:rsid w:val="00B129B7"/>
    <w:rsid w:val="00B12B2D"/>
    <w:rsid w:val="00B12C3B"/>
    <w:rsid w:val="00B13128"/>
    <w:rsid w:val="00B13721"/>
    <w:rsid w:val="00B13C4B"/>
    <w:rsid w:val="00B140BF"/>
    <w:rsid w:val="00B15760"/>
    <w:rsid w:val="00B16262"/>
    <w:rsid w:val="00B16A1D"/>
    <w:rsid w:val="00B16BE0"/>
    <w:rsid w:val="00B16C80"/>
    <w:rsid w:val="00B170A3"/>
    <w:rsid w:val="00B1783A"/>
    <w:rsid w:val="00B17ADD"/>
    <w:rsid w:val="00B17B02"/>
    <w:rsid w:val="00B20173"/>
    <w:rsid w:val="00B201FA"/>
    <w:rsid w:val="00B20366"/>
    <w:rsid w:val="00B209F4"/>
    <w:rsid w:val="00B20BB9"/>
    <w:rsid w:val="00B20F01"/>
    <w:rsid w:val="00B2122C"/>
    <w:rsid w:val="00B21242"/>
    <w:rsid w:val="00B21F4D"/>
    <w:rsid w:val="00B2229F"/>
    <w:rsid w:val="00B223D6"/>
    <w:rsid w:val="00B22D04"/>
    <w:rsid w:val="00B23068"/>
    <w:rsid w:val="00B237FA"/>
    <w:rsid w:val="00B2387C"/>
    <w:rsid w:val="00B23E91"/>
    <w:rsid w:val="00B23FEF"/>
    <w:rsid w:val="00B24250"/>
    <w:rsid w:val="00B2429A"/>
    <w:rsid w:val="00B24950"/>
    <w:rsid w:val="00B24D9B"/>
    <w:rsid w:val="00B24E45"/>
    <w:rsid w:val="00B24EA2"/>
    <w:rsid w:val="00B25277"/>
    <w:rsid w:val="00B2623A"/>
    <w:rsid w:val="00B26519"/>
    <w:rsid w:val="00B26E23"/>
    <w:rsid w:val="00B27987"/>
    <w:rsid w:val="00B27B66"/>
    <w:rsid w:val="00B3002A"/>
    <w:rsid w:val="00B30909"/>
    <w:rsid w:val="00B30A94"/>
    <w:rsid w:val="00B30B56"/>
    <w:rsid w:val="00B30CDD"/>
    <w:rsid w:val="00B30D6F"/>
    <w:rsid w:val="00B31061"/>
    <w:rsid w:val="00B31322"/>
    <w:rsid w:val="00B31606"/>
    <w:rsid w:val="00B31D49"/>
    <w:rsid w:val="00B32126"/>
    <w:rsid w:val="00B329C7"/>
    <w:rsid w:val="00B33729"/>
    <w:rsid w:val="00B33DC4"/>
    <w:rsid w:val="00B34193"/>
    <w:rsid w:val="00B34CB2"/>
    <w:rsid w:val="00B34F16"/>
    <w:rsid w:val="00B35DC3"/>
    <w:rsid w:val="00B3677B"/>
    <w:rsid w:val="00B369D3"/>
    <w:rsid w:val="00B36A14"/>
    <w:rsid w:val="00B3738D"/>
    <w:rsid w:val="00B378BA"/>
    <w:rsid w:val="00B37E05"/>
    <w:rsid w:val="00B37E10"/>
    <w:rsid w:val="00B37F65"/>
    <w:rsid w:val="00B37F8A"/>
    <w:rsid w:val="00B40C9B"/>
    <w:rsid w:val="00B40E83"/>
    <w:rsid w:val="00B414B6"/>
    <w:rsid w:val="00B4152F"/>
    <w:rsid w:val="00B417F7"/>
    <w:rsid w:val="00B418FB"/>
    <w:rsid w:val="00B41A74"/>
    <w:rsid w:val="00B41DDD"/>
    <w:rsid w:val="00B41FED"/>
    <w:rsid w:val="00B421CC"/>
    <w:rsid w:val="00B42914"/>
    <w:rsid w:val="00B42F86"/>
    <w:rsid w:val="00B432B9"/>
    <w:rsid w:val="00B4333D"/>
    <w:rsid w:val="00B43A5C"/>
    <w:rsid w:val="00B43E7F"/>
    <w:rsid w:val="00B44C1C"/>
    <w:rsid w:val="00B45BCB"/>
    <w:rsid w:val="00B45C7E"/>
    <w:rsid w:val="00B45D1C"/>
    <w:rsid w:val="00B460A5"/>
    <w:rsid w:val="00B46240"/>
    <w:rsid w:val="00B4647C"/>
    <w:rsid w:val="00B466BC"/>
    <w:rsid w:val="00B47730"/>
    <w:rsid w:val="00B50E5D"/>
    <w:rsid w:val="00B51846"/>
    <w:rsid w:val="00B5196B"/>
    <w:rsid w:val="00B5197A"/>
    <w:rsid w:val="00B51D5C"/>
    <w:rsid w:val="00B52123"/>
    <w:rsid w:val="00B52192"/>
    <w:rsid w:val="00B529DF"/>
    <w:rsid w:val="00B529E2"/>
    <w:rsid w:val="00B52E1C"/>
    <w:rsid w:val="00B53232"/>
    <w:rsid w:val="00B534FA"/>
    <w:rsid w:val="00B538A7"/>
    <w:rsid w:val="00B53EDF"/>
    <w:rsid w:val="00B542CF"/>
    <w:rsid w:val="00B5493B"/>
    <w:rsid w:val="00B5559A"/>
    <w:rsid w:val="00B5581C"/>
    <w:rsid w:val="00B55E9E"/>
    <w:rsid w:val="00B565F1"/>
    <w:rsid w:val="00B566E2"/>
    <w:rsid w:val="00B56E2A"/>
    <w:rsid w:val="00B5703E"/>
    <w:rsid w:val="00B573FE"/>
    <w:rsid w:val="00B57DC1"/>
    <w:rsid w:val="00B602EC"/>
    <w:rsid w:val="00B6079A"/>
    <w:rsid w:val="00B608A3"/>
    <w:rsid w:val="00B60FE8"/>
    <w:rsid w:val="00B6108F"/>
    <w:rsid w:val="00B6120B"/>
    <w:rsid w:val="00B61317"/>
    <w:rsid w:val="00B61869"/>
    <w:rsid w:val="00B61B0C"/>
    <w:rsid w:val="00B61C85"/>
    <w:rsid w:val="00B625C3"/>
    <w:rsid w:val="00B62756"/>
    <w:rsid w:val="00B63FEA"/>
    <w:rsid w:val="00B64205"/>
    <w:rsid w:val="00B6423F"/>
    <w:rsid w:val="00B64340"/>
    <w:rsid w:val="00B64364"/>
    <w:rsid w:val="00B646BF"/>
    <w:rsid w:val="00B64941"/>
    <w:rsid w:val="00B654DB"/>
    <w:rsid w:val="00B657E8"/>
    <w:rsid w:val="00B65833"/>
    <w:rsid w:val="00B6586A"/>
    <w:rsid w:val="00B65A2D"/>
    <w:rsid w:val="00B65BBE"/>
    <w:rsid w:val="00B66261"/>
    <w:rsid w:val="00B66672"/>
    <w:rsid w:val="00B669A6"/>
    <w:rsid w:val="00B67B77"/>
    <w:rsid w:val="00B703AF"/>
    <w:rsid w:val="00B708FB"/>
    <w:rsid w:val="00B709FA"/>
    <w:rsid w:val="00B70BA5"/>
    <w:rsid w:val="00B711C3"/>
    <w:rsid w:val="00B716C8"/>
    <w:rsid w:val="00B721C7"/>
    <w:rsid w:val="00B72BCF"/>
    <w:rsid w:val="00B72E9D"/>
    <w:rsid w:val="00B73395"/>
    <w:rsid w:val="00B7353A"/>
    <w:rsid w:val="00B738DC"/>
    <w:rsid w:val="00B7424D"/>
    <w:rsid w:val="00B74475"/>
    <w:rsid w:val="00B74858"/>
    <w:rsid w:val="00B74A09"/>
    <w:rsid w:val="00B74A3A"/>
    <w:rsid w:val="00B74D9E"/>
    <w:rsid w:val="00B75DEF"/>
    <w:rsid w:val="00B76064"/>
    <w:rsid w:val="00B76D84"/>
    <w:rsid w:val="00B77876"/>
    <w:rsid w:val="00B80307"/>
    <w:rsid w:val="00B809F2"/>
    <w:rsid w:val="00B80E88"/>
    <w:rsid w:val="00B81142"/>
    <w:rsid w:val="00B816B8"/>
    <w:rsid w:val="00B82272"/>
    <w:rsid w:val="00B82360"/>
    <w:rsid w:val="00B82B78"/>
    <w:rsid w:val="00B832B4"/>
    <w:rsid w:val="00B834AF"/>
    <w:rsid w:val="00B836FA"/>
    <w:rsid w:val="00B83D67"/>
    <w:rsid w:val="00B83E74"/>
    <w:rsid w:val="00B843FE"/>
    <w:rsid w:val="00B84D8D"/>
    <w:rsid w:val="00B84E02"/>
    <w:rsid w:val="00B84F79"/>
    <w:rsid w:val="00B85F9A"/>
    <w:rsid w:val="00B8608B"/>
    <w:rsid w:val="00B86279"/>
    <w:rsid w:val="00B86568"/>
    <w:rsid w:val="00B86928"/>
    <w:rsid w:val="00B86B13"/>
    <w:rsid w:val="00B87435"/>
    <w:rsid w:val="00B87481"/>
    <w:rsid w:val="00B87995"/>
    <w:rsid w:val="00B87E06"/>
    <w:rsid w:val="00B90241"/>
    <w:rsid w:val="00B906CA"/>
    <w:rsid w:val="00B907BB"/>
    <w:rsid w:val="00B90A20"/>
    <w:rsid w:val="00B90D42"/>
    <w:rsid w:val="00B90E95"/>
    <w:rsid w:val="00B9144F"/>
    <w:rsid w:val="00B924EC"/>
    <w:rsid w:val="00B93219"/>
    <w:rsid w:val="00B93271"/>
    <w:rsid w:val="00B9341C"/>
    <w:rsid w:val="00B9351A"/>
    <w:rsid w:val="00B93839"/>
    <w:rsid w:val="00B93DED"/>
    <w:rsid w:val="00B93FD2"/>
    <w:rsid w:val="00B942AC"/>
    <w:rsid w:val="00B94CC0"/>
    <w:rsid w:val="00B95110"/>
    <w:rsid w:val="00B95876"/>
    <w:rsid w:val="00B96172"/>
    <w:rsid w:val="00B9621C"/>
    <w:rsid w:val="00B9632D"/>
    <w:rsid w:val="00B9667A"/>
    <w:rsid w:val="00B97227"/>
    <w:rsid w:val="00B976B5"/>
    <w:rsid w:val="00B979B5"/>
    <w:rsid w:val="00BA099B"/>
    <w:rsid w:val="00BA0C6C"/>
    <w:rsid w:val="00BA14F1"/>
    <w:rsid w:val="00BA1530"/>
    <w:rsid w:val="00BA1B27"/>
    <w:rsid w:val="00BA1BAB"/>
    <w:rsid w:val="00BA1E27"/>
    <w:rsid w:val="00BA2285"/>
    <w:rsid w:val="00BA288F"/>
    <w:rsid w:val="00BA28CC"/>
    <w:rsid w:val="00BA2B6D"/>
    <w:rsid w:val="00BA2FDE"/>
    <w:rsid w:val="00BA376D"/>
    <w:rsid w:val="00BA39C4"/>
    <w:rsid w:val="00BA5399"/>
    <w:rsid w:val="00BA5F4E"/>
    <w:rsid w:val="00BA5FDD"/>
    <w:rsid w:val="00BA6673"/>
    <w:rsid w:val="00BA6AD2"/>
    <w:rsid w:val="00BA6B11"/>
    <w:rsid w:val="00BA6D69"/>
    <w:rsid w:val="00BA6F24"/>
    <w:rsid w:val="00BA707E"/>
    <w:rsid w:val="00BA74D8"/>
    <w:rsid w:val="00BA7B75"/>
    <w:rsid w:val="00BA7B94"/>
    <w:rsid w:val="00BA7E6D"/>
    <w:rsid w:val="00BB059C"/>
    <w:rsid w:val="00BB0DAE"/>
    <w:rsid w:val="00BB0DBD"/>
    <w:rsid w:val="00BB0FA6"/>
    <w:rsid w:val="00BB1069"/>
    <w:rsid w:val="00BB106E"/>
    <w:rsid w:val="00BB11E9"/>
    <w:rsid w:val="00BB14D2"/>
    <w:rsid w:val="00BB1BC3"/>
    <w:rsid w:val="00BB27DB"/>
    <w:rsid w:val="00BB2AD2"/>
    <w:rsid w:val="00BB32B4"/>
    <w:rsid w:val="00BB3D38"/>
    <w:rsid w:val="00BB3D3C"/>
    <w:rsid w:val="00BB45A9"/>
    <w:rsid w:val="00BB4A49"/>
    <w:rsid w:val="00BB4F85"/>
    <w:rsid w:val="00BB5024"/>
    <w:rsid w:val="00BB55DF"/>
    <w:rsid w:val="00BB5FA3"/>
    <w:rsid w:val="00BB6DC9"/>
    <w:rsid w:val="00BB76BF"/>
    <w:rsid w:val="00BC02C9"/>
    <w:rsid w:val="00BC0416"/>
    <w:rsid w:val="00BC11F6"/>
    <w:rsid w:val="00BC1E67"/>
    <w:rsid w:val="00BC2554"/>
    <w:rsid w:val="00BC2583"/>
    <w:rsid w:val="00BC2620"/>
    <w:rsid w:val="00BC280E"/>
    <w:rsid w:val="00BC2D54"/>
    <w:rsid w:val="00BC3134"/>
    <w:rsid w:val="00BC376A"/>
    <w:rsid w:val="00BC392D"/>
    <w:rsid w:val="00BC3976"/>
    <w:rsid w:val="00BC4CB2"/>
    <w:rsid w:val="00BC546B"/>
    <w:rsid w:val="00BC6343"/>
    <w:rsid w:val="00BC6426"/>
    <w:rsid w:val="00BC6902"/>
    <w:rsid w:val="00BC6B51"/>
    <w:rsid w:val="00BC7265"/>
    <w:rsid w:val="00BC7C00"/>
    <w:rsid w:val="00BD01E6"/>
    <w:rsid w:val="00BD0223"/>
    <w:rsid w:val="00BD0265"/>
    <w:rsid w:val="00BD0457"/>
    <w:rsid w:val="00BD0C34"/>
    <w:rsid w:val="00BD0DFE"/>
    <w:rsid w:val="00BD174A"/>
    <w:rsid w:val="00BD1F2A"/>
    <w:rsid w:val="00BD209D"/>
    <w:rsid w:val="00BD25FB"/>
    <w:rsid w:val="00BD2711"/>
    <w:rsid w:val="00BD369D"/>
    <w:rsid w:val="00BD3834"/>
    <w:rsid w:val="00BD3B54"/>
    <w:rsid w:val="00BD3B97"/>
    <w:rsid w:val="00BD3E27"/>
    <w:rsid w:val="00BD462D"/>
    <w:rsid w:val="00BD4784"/>
    <w:rsid w:val="00BD4A93"/>
    <w:rsid w:val="00BD4A9D"/>
    <w:rsid w:val="00BD4E44"/>
    <w:rsid w:val="00BD6A65"/>
    <w:rsid w:val="00BD6C15"/>
    <w:rsid w:val="00BD756E"/>
    <w:rsid w:val="00BD76D4"/>
    <w:rsid w:val="00BD775F"/>
    <w:rsid w:val="00BD7A60"/>
    <w:rsid w:val="00BD7C4E"/>
    <w:rsid w:val="00BE16B2"/>
    <w:rsid w:val="00BE1C49"/>
    <w:rsid w:val="00BE1D60"/>
    <w:rsid w:val="00BE1D66"/>
    <w:rsid w:val="00BE1F9B"/>
    <w:rsid w:val="00BE2100"/>
    <w:rsid w:val="00BE2540"/>
    <w:rsid w:val="00BE2721"/>
    <w:rsid w:val="00BE3398"/>
    <w:rsid w:val="00BE35AD"/>
    <w:rsid w:val="00BE3676"/>
    <w:rsid w:val="00BE4005"/>
    <w:rsid w:val="00BE44BE"/>
    <w:rsid w:val="00BE4E66"/>
    <w:rsid w:val="00BE52A7"/>
    <w:rsid w:val="00BE58FC"/>
    <w:rsid w:val="00BE5A27"/>
    <w:rsid w:val="00BE5C73"/>
    <w:rsid w:val="00BE61F3"/>
    <w:rsid w:val="00BE6677"/>
    <w:rsid w:val="00BE7049"/>
    <w:rsid w:val="00BE708F"/>
    <w:rsid w:val="00BE74A3"/>
    <w:rsid w:val="00BE7723"/>
    <w:rsid w:val="00BE7A79"/>
    <w:rsid w:val="00BF10F5"/>
    <w:rsid w:val="00BF1593"/>
    <w:rsid w:val="00BF196E"/>
    <w:rsid w:val="00BF3625"/>
    <w:rsid w:val="00BF3781"/>
    <w:rsid w:val="00BF3966"/>
    <w:rsid w:val="00BF3A53"/>
    <w:rsid w:val="00BF3B6B"/>
    <w:rsid w:val="00BF41E2"/>
    <w:rsid w:val="00BF466D"/>
    <w:rsid w:val="00BF5443"/>
    <w:rsid w:val="00BF5729"/>
    <w:rsid w:val="00BF5936"/>
    <w:rsid w:val="00BF62D3"/>
    <w:rsid w:val="00BF662F"/>
    <w:rsid w:val="00BF7316"/>
    <w:rsid w:val="00BF7DD9"/>
    <w:rsid w:val="00C0025C"/>
    <w:rsid w:val="00C0099A"/>
    <w:rsid w:val="00C00B59"/>
    <w:rsid w:val="00C00CBC"/>
    <w:rsid w:val="00C012E6"/>
    <w:rsid w:val="00C02276"/>
    <w:rsid w:val="00C024A9"/>
    <w:rsid w:val="00C02536"/>
    <w:rsid w:val="00C0277C"/>
    <w:rsid w:val="00C02C91"/>
    <w:rsid w:val="00C032BF"/>
    <w:rsid w:val="00C0398A"/>
    <w:rsid w:val="00C03A0A"/>
    <w:rsid w:val="00C03B14"/>
    <w:rsid w:val="00C04181"/>
    <w:rsid w:val="00C0419A"/>
    <w:rsid w:val="00C04331"/>
    <w:rsid w:val="00C04B0A"/>
    <w:rsid w:val="00C05184"/>
    <w:rsid w:val="00C06F91"/>
    <w:rsid w:val="00C07085"/>
    <w:rsid w:val="00C07293"/>
    <w:rsid w:val="00C07C2B"/>
    <w:rsid w:val="00C1022A"/>
    <w:rsid w:val="00C10F9E"/>
    <w:rsid w:val="00C126C5"/>
    <w:rsid w:val="00C12717"/>
    <w:rsid w:val="00C12A73"/>
    <w:rsid w:val="00C13515"/>
    <w:rsid w:val="00C137C8"/>
    <w:rsid w:val="00C13E1A"/>
    <w:rsid w:val="00C14078"/>
    <w:rsid w:val="00C14CAF"/>
    <w:rsid w:val="00C1518C"/>
    <w:rsid w:val="00C156DF"/>
    <w:rsid w:val="00C157CD"/>
    <w:rsid w:val="00C15AEF"/>
    <w:rsid w:val="00C16110"/>
    <w:rsid w:val="00C1636B"/>
    <w:rsid w:val="00C1715B"/>
    <w:rsid w:val="00C17244"/>
    <w:rsid w:val="00C173DC"/>
    <w:rsid w:val="00C17491"/>
    <w:rsid w:val="00C17775"/>
    <w:rsid w:val="00C20200"/>
    <w:rsid w:val="00C2042B"/>
    <w:rsid w:val="00C205BF"/>
    <w:rsid w:val="00C20631"/>
    <w:rsid w:val="00C20868"/>
    <w:rsid w:val="00C22592"/>
    <w:rsid w:val="00C2259C"/>
    <w:rsid w:val="00C22672"/>
    <w:rsid w:val="00C22C28"/>
    <w:rsid w:val="00C23B2D"/>
    <w:rsid w:val="00C2406A"/>
    <w:rsid w:val="00C2409D"/>
    <w:rsid w:val="00C248F3"/>
    <w:rsid w:val="00C24A17"/>
    <w:rsid w:val="00C24AE4"/>
    <w:rsid w:val="00C24DBE"/>
    <w:rsid w:val="00C25290"/>
    <w:rsid w:val="00C25683"/>
    <w:rsid w:val="00C25FA5"/>
    <w:rsid w:val="00C26351"/>
    <w:rsid w:val="00C26FED"/>
    <w:rsid w:val="00C27662"/>
    <w:rsid w:val="00C27DB0"/>
    <w:rsid w:val="00C27E86"/>
    <w:rsid w:val="00C304B9"/>
    <w:rsid w:val="00C30D70"/>
    <w:rsid w:val="00C30F29"/>
    <w:rsid w:val="00C3100A"/>
    <w:rsid w:val="00C311D2"/>
    <w:rsid w:val="00C3169F"/>
    <w:rsid w:val="00C31729"/>
    <w:rsid w:val="00C31A7B"/>
    <w:rsid w:val="00C31DA6"/>
    <w:rsid w:val="00C320D1"/>
    <w:rsid w:val="00C32154"/>
    <w:rsid w:val="00C331F6"/>
    <w:rsid w:val="00C3320C"/>
    <w:rsid w:val="00C33489"/>
    <w:rsid w:val="00C33A80"/>
    <w:rsid w:val="00C346C5"/>
    <w:rsid w:val="00C34BD6"/>
    <w:rsid w:val="00C34BF2"/>
    <w:rsid w:val="00C34E44"/>
    <w:rsid w:val="00C35849"/>
    <w:rsid w:val="00C35C17"/>
    <w:rsid w:val="00C36431"/>
    <w:rsid w:val="00C3669A"/>
    <w:rsid w:val="00C36700"/>
    <w:rsid w:val="00C36718"/>
    <w:rsid w:val="00C3675D"/>
    <w:rsid w:val="00C36DB2"/>
    <w:rsid w:val="00C370BE"/>
    <w:rsid w:val="00C370E6"/>
    <w:rsid w:val="00C3726E"/>
    <w:rsid w:val="00C373E3"/>
    <w:rsid w:val="00C3755D"/>
    <w:rsid w:val="00C37918"/>
    <w:rsid w:val="00C3796D"/>
    <w:rsid w:val="00C4018A"/>
    <w:rsid w:val="00C40557"/>
    <w:rsid w:val="00C41216"/>
    <w:rsid w:val="00C41F11"/>
    <w:rsid w:val="00C422BA"/>
    <w:rsid w:val="00C423D5"/>
    <w:rsid w:val="00C4277C"/>
    <w:rsid w:val="00C42834"/>
    <w:rsid w:val="00C42992"/>
    <w:rsid w:val="00C42B66"/>
    <w:rsid w:val="00C431F9"/>
    <w:rsid w:val="00C4338C"/>
    <w:rsid w:val="00C4395A"/>
    <w:rsid w:val="00C43C1A"/>
    <w:rsid w:val="00C43EE2"/>
    <w:rsid w:val="00C441F1"/>
    <w:rsid w:val="00C445D2"/>
    <w:rsid w:val="00C44EEA"/>
    <w:rsid w:val="00C454D3"/>
    <w:rsid w:val="00C45F7B"/>
    <w:rsid w:val="00C4733D"/>
    <w:rsid w:val="00C474EF"/>
    <w:rsid w:val="00C47586"/>
    <w:rsid w:val="00C47D8D"/>
    <w:rsid w:val="00C50227"/>
    <w:rsid w:val="00C50296"/>
    <w:rsid w:val="00C50631"/>
    <w:rsid w:val="00C5090E"/>
    <w:rsid w:val="00C50B51"/>
    <w:rsid w:val="00C50B99"/>
    <w:rsid w:val="00C514DD"/>
    <w:rsid w:val="00C51545"/>
    <w:rsid w:val="00C5196B"/>
    <w:rsid w:val="00C522AE"/>
    <w:rsid w:val="00C52625"/>
    <w:rsid w:val="00C52B8B"/>
    <w:rsid w:val="00C52C8E"/>
    <w:rsid w:val="00C536AD"/>
    <w:rsid w:val="00C53A72"/>
    <w:rsid w:val="00C53B42"/>
    <w:rsid w:val="00C53B7D"/>
    <w:rsid w:val="00C53FE2"/>
    <w:rsid w:val="00C54440"/>
    <w:rsid w:val="00C544EB"/>
    <w:rsid w:val="00C54510"/>
    <w:rsid w:val="00C54573"/>
    <w:rsid w:val="00C54A11"/>
    <w:rsid w:val="00C54BB2"/>
    <w:rsid w:val="00C54E57"/>
    <w:rsid w:val="00C54FCA"/>
    <w:rsid w:val="00C55A10"/>
    <w:rsid w:val="00C5641A"/>
    <w:rsid w:val="00C56F84"/>
    <w:rsid w:val="00C57040"/>
    <w:rsid w:val="00C5705A"/>
    <w:rsid w:val="00C570F8"/>
    <w:rsid w:val="00C571FE"/>
    <w:rsid w:val="00C5757B"/>
    <w:rsid w:val="00C60682"/>
    <w:rsid w:val="00C61620"/>
    <w:rsid w:val="00C6163A"/>
    <w:rsid w:val="00C61C61"/>
    <w:rsid w:val="00C61CDC"/>
    <w:rsid w:val="00C61D71"/>
    <w:rsid w:val="00C62849"/>
    <w:rsid w:val="00C62B54"/>
    <w:rsid w:val="00C63BFF"/>
    <w:rsid w:val="00C63E05"/>
    <w:rsid w:val="00C647A9"/>
    <w:rsid w:val="00C652D4"/>
    <w:rsid w:val="00C65416"/>
    <w:rsid w:val="00C65450"/>
    <w:rsid w:val="00C659A2"/>
    <w:rsid w:val="00C660F5"/>
    <w:rsid w:val="00C664A3"/>
    <w:rsid w:val="00C66B1D"/>
    <w:rsid w:val="00C66F48"/>
    <w:rsid w:val="00C66F7C"/>
    <w:rsid w:val="00C67336"/>
    <w:rsid w:val="00C67A33"/>
    <w:rsid w:val="00C67B69"/>
    <w:rsid w:val="00C67DE6"/>
    <w:rsid w:val="00C67EAF"/>
    <w:rsid w:val="00C70400"/>
    <w:rsid w:val="00C70992"/>
    <w:rsid w:val="00C70DD2"/>
    <w:rsid w:val="00C70E7B"/>
    <w:rsid w:val="00C70FB7"/>
    <w:rsid w:val="00C7158C"/>
    <w:rsid w:val="00C71A83"/>
    <w:rsid w:val="00C71C93"/>
    <w:rsid w:val="00C71E65"/>
    <w:rsid w:val="00C71ECC"/>
    <w:rsid w:val="00C7257C"/>
    <w:rsid w:val="00C72624"/>
    <w:rsid w:val="00C72B02"/>
    <w:rsid w:val="00C73541"/>
    <w:rsid w:val="00C73808"/>
    <w:rsid w:val="00C7384F"/>
    <w:rsid w:val="00C73984"/>
    <w:rsid w:val="00C747F6"/>
    <w:rsid w:val="00C74DAC"/>
    <w:rsid w:val="00C75F99"/>
    <w:rsid w:val="00C76712"/>
    <w:rsid w:val="00C76B82"/>
    <w:rsid w:val="00C76DEC"/>
    <w:rsid w:val="00C76F0B"/>
    <w:rsid w:val="00C77324"/>
    <w:rsid w:val="00C77A13"/>
    <w:rsid w:val="00C80BC1"/>
    <w:rsid w:val="00C80C93"/>
    <w:rsid w:val="00C80F1A"/>
    <w:rsid w:val="00C813BD"/>
    <w:rsid w:val="00C818E7"/>
    <w:rsid w:val="00C81F7E"/>
    <w:rsid w:val="00C823FA"/>
    <w:rsid w:val="00C828FC"/>
    <w:rsid w:val="00C82AD3"/>
    <w:rsid w:val="00C83494"/>
    <w:rsid w:val="00C83498"/>
    <w:rsid w:val="00C846DA"/>
    <w:rsid w:val="00C84919"/>
    <w:rsid w:val="00C853E8"/>
    <w:rsid w:val="00C85452"/>
    <w:rsid w:val="00C860D0"/>
    <w:rsid w:val="00C8701E"/>
    <w:rsid w:val="00C873BC"/>
    <w:rsid w:val="00C87725"/>
    <w:rsid w:val="00C87E68"/>
    <w:rsid w:val="00C87F8A"/>
    <w:rsid w:val="00C9046A"/>
    <w:rsid w:val="00C9048F"/>
    <w:rsid w:val="00C90F2E"/>
    <w:rsid w:val="00C910DB"/>
    <w:rsid w:val="00C91166"/>
    <w:rsid w:val="00C9192D"/>
    <w:rsid w:val="00C91A45"/>
    <w:rsid w:val="00C92174"/>
    <w:rsid w:val="00C93859"/>
    <w:rsid w:val="00C93B71"/>
    <w:rsid w:val="00C93DD6"/>
    <w:rsid w:val="00C942FA"/>
    <w:rsid w:val="00C94BBF"/>
    <w:rsid w:val="00C956DB"/>
    <w:rsid w:val="00C95C27"/>
    <w:rsid w:val="00C95DF8"/>
    <w:rsid w:val="00C95E32"/>
    <w:rsid w:val="00C9617A"/>
    <w:rsid w:val="00C96244"/>
    <w:rsid w:val="00C9678B"/>
    <w:rsid w:val="00C9680B"/>
    <w:rsid w:val="00C96FF7"/>
    <w:rsid w:val="00C977E8"/>
    <w:rsid w:val="00C97885"/>
    <w:rsid w:val="00CA0B2C"/>
    <w:rsid w:val="00CA0F20"/>
    <w:rsid w:val="00CA17BD"/>
    <w:rsid w:val="00CA1A2A"/>
    <w:rsid w:val="00CA1D02"/>
    <w:rsid w:val="00CA1DC5"/>
    <w:rsid w:val="00CA22C4"/>
    <w:rsid w:val="00CA2753"/>
    <w:rsid w:val="00CA2BE7"/>
    <w:rsid w:val="00CA2D3F"/>
    <w:rsid w:val="00CA2F18"/>
    <w:rsid w:val="00CA34ED"/>
    <w:rsid w:val="00CA3F79"/>
    <w:rsid w:val="00CA413E"/>
    <w:rsid w:val="00CA4187"/>
    <w:rsid w:val="00CA41AB"/>
    <w:rsid w:val="00CA45AD"/>
    <w:rsid w:val="00CA46B8"/>
    <w:rsid w:val="00CA4B97"/>
    <w:rsid w:val="00CA4D46"/>
    <w:rsid w:val="00CA5E8D"/>
    <w:rsid w:val="00CA68C9"/>
    <w:rsid w:val="00CA69AE"/>
    <w:rsid w:val="00CA78F9"/>
    <w:rsid w:val="00CA7C01"/>
    <w:rsid w:val="00CA7CA8"/>
    <w:rsid w:val="00CA7EB4"/>
    <w:rsid w:val="00CB019A"/>
    <w:rsid w:val="00CB0B68"/>
    <w:rsid w:val="00CB0ED7"/>
    <w:rsid w:val="00CB15CA"/>
    <w:rsid w:val="00CB19A5"/>
    <w:rsid w:val="00CB1C7E"/>
    <w:rsid w:val="00CB2E15"/>
    <w:rsid w:val="00CB2E79"/>
    <w:rsid w:val="00CB2FA2"/>
    <w:rsid w:val="00CB3013"/>
    <w:rsid w:val="00CB39AF"/>
    <w:rsid w:val="00CB3AA1"/>
    <w:rsid w:val="00CB3CB9"/>
    <w:rsid w:val="00CB49E4"/>
    <w:rsid w:val="00CB54D4"/>
    <w:rsid w:val="00CB57A1"/>
    <w:rsid w:val="00CB57D8"/>
    <w:rsid w:val="00CB59ED"/>
    <w:rsid w:val="00CB5A40"/>
    <w:rsid w:val="00CB5ABF"/>
    <w:rsid w:val="00CB5EAF"/>
    <w:rsid w:val="00CB5FC6"/>
    <w:rsid w:val="00CB6ED8"/>
    <w:rsid w:val="00CB7771"/>
    <w:rsid w:val="00CB7A7A"/>
    <w:rsid w:val="00CB7FEE"/>
    <w:rsid w:val="00CC0687"/>
    <w:rsid w:val="00CC0B06"/>
    <w:rsid w:val="00CC0BDA"/>
    <w:rsid w:val="00CC0DAD"/>
    <w:rsid w:val="00CC0E66"/>
    <w:rsid w:val="00CC1AAA"/>
    <w:rsid w:val="00CC1E51"/>
    <w:rsid w:val="00CC20C0"/>
    <w:rsid w:val="00CC2882"/>
    <w:rsid w:val="00CC3186"/>
    <w:rsid w:val="00CC4022"/>
    <w:rsid w:val="00CC404A"/>
    <w:rsid w:val="00CC4216"/>
    <w:rsid w:val="00CC449A"/>
    <w:rsid w:val="00CC4BE9"/>
    <w:rsid w:val="00CC4D42"/>
    <w:rsid w:val="00CC51BE"/>
    <w:rsid w:val="00CC52AC"/>
    <w:rsid w:val="00CC5B57"/>
    <w:rsid w:val="00CC5BFC"/>
    <w:rsid w:val="00CC5F6E"/>
    <w:rsid w:val="00CC75BE"/>
    <w:rsid w:val="00CC75D4"/>
    <w:rsid w:val="00CC79D5"/>
    <w:rsid w:val="00CC7D7B"/>
    <w:rsid w:val="00CC7D8F"/>
    <w:rsid w:val="00CD031C"/>
    <w:rsid w:val="00CD03D6"/>
    <w:rsid w:val="00CD070B"/>
    <w:rsid w:val="00CD1BF5"/>
    <w:rsid w:val="00CD2A1F"/>
    <w:rsid w:val="00CD2F95"/>
    <w:rsid w:val="00CD3064"/>
    <w:rsid w:val="00CD3441"/>
    <w:rsid w:val="00CD35CC"/>
    <w:rsid w:val="00CD36DA"/>
    <w:rsid w:val="00CD390B"/>
    <w:rsid w:val="00CD394B"/>
    <w:rsid w:val="00CD4152"/>
    <w:rsid w:val="00CD4483"/>
    <w:rsid w:val="00CD46ED"/>
    <w:rsid w:val="00CD477E"/>
    <w:rsid w:val="00CD4B7F"/>
    <w:rsid w:val="00CD4C41"/>
    <w:rsid w:val="00CD5CE1"/>
    <w:rsid w:val="00CD5D72"/>
    <w:rsid w:val="00CD5DE9"/>
    <w:rsid w:val="00CD61A5"/>
    <w:rsid w:val="00CD628F"/>
    <w:rsid w:val="00CD62FE"/>
    <w:rsid w:val="00CD6963"/>
    <w:rsid w:val="00CD7413"/>
    <w:rsid w:val="00CD766B"/>
    <w:rsid w:val="00CD7858"/>
    <w:rsid w:val="00CD7D58"/>
    <w:rsid w:val="00CD7EB6"/>
    <w:rsid w:val="00CD7FBB"/>
    <w:rsid w:val="00CE04DE"/>
    <w:rsid w:val="00CE0E84"/>
    <w:rsid w:val="00CE10B1"/>
    <w:rsid w:val="00CE14D6"/>
    <w:rsid w:val="00CE153D"/>
    <w:rsid w:val="00CE1D7B"/>
    <w:rsid w:val="00CE2118"/>
    <w:rsid w:val="00CE243F"/>
    <w:rsid w:val="00CE3175"/>
    <w:rsid w:val="00CE3293"/>
    <w:rsid w:val="00CE3C6D"/>
    <w:rsid w:val="00CE3C82"/>
    <w:rsid w:val="00CE43B1"/>
    <w:rsid w:val="00CE45DB"/>
    <w:rsid w:val="00CE537D"/>
    <w:rsid w:val="00CE5414"/>
    <w:rsid w:val="00CE55AA"/>
    <w:rsid w:val="00CE5E44"/>
    <w:rsid w:val="00CE6D9E"/>
    <w:rsid w:val="00CE6DB4"/>
    <w:rsid w:val="00CE794B"/>
    <w:rsid w:val="00CE7C39"/>
    <w:rsid w:val="00CF05EA"/>
    <w:rsid w:val="00CF0779"/>
    <w:rsid w:val="00CF088B"/>
    <w:rsid w:val="00CF0FB9"/>
    <w:rsid w:val="00CF248F"/>
    <w:rsid w:val="00CF2AB7"/>
    <w:rsid w:val="00CF3394"/>
    <w:rsid w:val="00CF3522"/>
    <w:rsid w:val="00CF3F37"/>
    <w:rsid w:val="00CF4A46"/>
    <w:rsid w:val="00CF4BA6"/>
    <w:rsid w:val="00CF4BD8"/>
    <w:rsid w:val="00CF581A"/>
    <w:rsid w:val="00CF6248"/>
    <w:rsid w:val="00CF63D1"/>
    <w:rsid w:val="00CF74C0"/>
    <w:rsid w:val="00CF7897"/>
    <w:rsid w:val="00CF7997"/>
    <w:rsid w:val="00D009E0"/>
    <w:rsid w:val="00D00DD6"/>
    <w:rsid w:val="00D013D9"/>
    <w:rsid w:val="00D017A2"/>
    <w:rsid w:val="00D017FE"/>
    <w:rsid w:val="00D019BF"/>
    <w:rsid w:val="00D01E38"/>
    <w:rsid w:val="00D022BA"/>
    <w:rsid w:val="00D026AB"/>
    <w:rsid w:val="00D0283B"/>
    <w:rsid w:val="00D02ABB"/>
    <w:rsid w:val="00D03A98"/>
    <w:rsid w:val="00D03BB9"/>
    <w:rsid w:val="00D03D4D"/>
    <w:rsid w:val="00D03E69"/>
    <w:rsid w:val="00D03F6C"/>
    <w:rsid w:val="00D0415C"/>
    <w:rsid w:val="00D04983"/>
    <w:rsid w:val="00D05778"/>
    <w:rsid w:val="00D05EA4"/>
    <w:rsid w:val="00D068A4"/>
    <w:rsid w:val="00D06937"/>
    <w:rsid w:val="00D070FF"/>
    <w:rsid w:val="00D075A4"/>
    <w:rsid w:val="00D07D94"/>
    <w:rsid w:val="00D07F9C"/>
    <w:rsid w:val="00D10407"/>
    <w:rsid w:val="00D1058E"/>
    <w:rsid w:val="00D10AE5"/>
    <w:rsid w:val="00D11433"/>
    <w:rsid w:val="00D12059"/>
    <w:rsid w:val="00D1239D"/>
    <w:rsid w:val="00D123D4"/>
    <w:rsid w:val="00D125DE"/>
    <w:rsid w:val="00D12DF5"/>
    <w:rsid w:val="00D13777"/>
    <w:rsid w:val="00D13BB6"/>
    <w:rsid w:val="00D13C2D"/>
    <w:rsid w:val="00D1459C"/>
    <w:rsid w:val="00D151F0"/>
    <w:rsid w:val="00D15F8E"/>
    <w:rsid w:val="00D1690E"/>
    <w:rsid w:val="00D172D8"/>
    <w:rsid w:val="00D173A5"/>
    <w:rsid w:val="00D178E9"/>
    <w:rsid w:val="00D17B3F"/>
    <w:rsid w:val="00D17F1D"/>
    <w:rsid w:val="00D211D5"/>
    <w:rsid w:val="00D219D5"/>
    <w:rsid w:val="00D2203E"/>
    <w:rsid w:val="00D220C0"/>
    <w:rsid w:val="00D2231C"/>
    <w:rsid w:val="00D2254A"/>
    <w:rsid w:val="00D22704"/>
    <w:rsid w:val="00D23513"/>
    <w:rsid w:val="00D237C9"/>
    <w:rsid w:val="00D23BBB"/>
    <w:rsid w:val="00D23C31"/>
    <w:rsid w:val="00D24573"/>
    <w:rsid w:val="00D245E2"/>
    <w:rsid w:val="00D24A53"/>
    <w:rsid w:val="00D24C69"/>
    <w:rsid w:val="00D251CF"/>
    <w:rsid w:val="00D252B8"/>
    <w:rsid w:val="00D26621"/>
    <w:rsid w:val="00D267D6"/>
    <w:rsid w:val="00D26BEC"/>
    <w:rsid w:val="00D2729A"/>
    <w:rsid w:val="00D27506"/>
    <w:rsid w:val="00D27E6C"/>
    <w:rsid w:val="00D302B1"/>
    <w:rsid w:val="00D30F5A"/>
    <w:rsid w:val="00D3198D"/>
    <w:rsid w:val="00D32EAB"/>
    <w:rsid w:val="00D3357B"/>
    <w:rsid w:val="00D34338"/>
    <w:rsid w:val="00D34688"/>
    <w:rsid w:val="00D35601"/>
    <w:rsid w:val="00D35F3B"/>
    <w:rsid w:val="00D36027"/>
    <w:rsid w:val="00D36337"/>
    <w:rsid w:val="00D363AA"/>
    <w:rsid w:val="00D36522"/>
    <w:rsid w:val="00D366B7"/>
    <w:rsid w:val="00D367F5"/>
    <w:rsid w:val="00D36C23"/>
    <w:rsid w:val="00D36FB2"/>
    <w:rsid w:val="00D375C7"/>
    <w:rsid w:val="00D3769E"/>
    <w:rsid w:val="00D40081"/>
    <w:rsid w:val="00D407D8"/>
    <w:rsid w:val="00D40EAF"/>
    <w:rsid w:val="00D41034"/>
    <w:rsid w:val="00D411A8"/>
    <w:rsid w:val="00D413DA"/>
    <w:rsid w:val="00D418A3"/>
    <w:rsid w:val="00D41B99"/>
    <w:rsid w:val="00D42249"/>
    <w:rsid w:val="00D4244A"/>
    <w:rsid w:val="00D42487"/>
    <w:rsid w:val="00D4341B"/>
    <w:rsid w:val="00D43539"/>
    <w:rsid w:val="00D44522"/>
    <w:rsid w:val="00D44CC7"/>
    <w:rsid w:val="00D45865"/>
    <w:rsid w:val="00D45867"/>
    <w:rsid w:val="00D4595F"/>
    <w:rsid w:val="00D45CE3"/>
    <w:rsid w:val="00D46157"/>
    <w:rsid w:val="00D4646A"/>
    <w:rsid w:val="00D466A8"/>
    <w:rsid w:val="00D46A18"/>
    <w:rsid w:val="00D46BEF"/>
    <w:rsid w:val="00D47187"/>
    <w:rsid w:val="00D4751A"/>
    <w:rsid w:val="00D477E0"/>
    <w:rsid w:val="00D50011"/>
    <w:rsid w:val="00D500F2"/>
    <w:rsid w:val="00D5017E"/>
    <w:rsid w:val="00D501F5"/>
    <w:rsid w:val="00D508E4"/>
    <w:rsid w:val="00D50B2C"/>
    <w:rsid w:val="00D50EB3"/>
    <w:rsid w:val="00D519D2"/>
    <w:rsid w:val="00D52284"/>
    <w:rsid w:val="00D5322C"/>
    <w:rsid w:val="00D533A1"/>
    <w:rsid w:val="00D533BF"/>
    <w:rsid w:val="00D53841"/>
    <w:rsid w:val="00D53C05"/>
    <w:rsid w:val="00D546B8"/>
    <w:rsid w:val="00D55294"/>
    <w:rsid w:val="00D56ACF"/>
    <w:rsid w:val="00D56BDE"/>
    <w:rsid w:val="00D57152"/>
    <w:rsid w:val="00D57692"/>
    <w:rsid w:val="00D576D7"/>
    <w:rsid w:val="00D57AF1"/>
    <w:rsid w:val="00D57CBB"/>
    <w:rsid w:val="00D60236"/>
    <w:rsid w:val="00D6063B"/>
    <w:rsid w:val="00D60877"/>
    <w:rsid w:val="00D60B43"/>
    <w:rsid w:val="00D60C45"/>
    <w:rsid w:val="00D614C7"/>
    <w:rsid w:val="00D61E9C"/>
    <w:rsid w:val="00D61F3D"/>
    <w:rsid w:val="00D61F93"/>
    <w:rsid w:val="00D623A8"/>
    <w:rsid w:val="00D62545"/>
    <w:rsid w:val="00D62EEF"/>
    <w:rsid w:val="00D6312F"/>
    <w:rsid w:val="00D633BB"/>
    <w:rsid w:val="00D63A3E"/>
    <w:rsid w:val="00D63D69"/>
    <w:rsid w:val="00D640F2"/>
    <w:rsid w:val="00D64236"/>
    <w:rsid w:val="00D642AD"/>
    <w:rsid w:val="00D64A40"/>
    <w:rsid w:val="00D64BD4"/>
    <w:rsid w:val="00D64E02"/>
    <w:rsid w:val="00D654E8"/>
    <w:rsid w:val="00D654FB"/>
    <w:rsid w:val="00D65619"/>
    <w:rsid w:val="00D66229"/>
    <w:rsid w:val="00D66C42"/>
    <w:rsid w:val="00D671FA"/>
    <w:rsid w:val="00D67216"/>
    <w:rsid w:val="00D67780"/>
    <w:rsid w:val="00D701C2"/>
    <w:rsid w:val="00D7055C"/>
    <w:rsid w:val="00D709B0"/>
    <w:rsid w:val="00D71468"/>
    <w:rsid w:val="00D7160C"/>
    <w:rsid w:val="00D71741"/>
    <w:rsid w:val="00D71A0A"/>
    <w:rsid w:val="00D71C1F"/>
    <w:rsid w:val="00D71CE6"/>
    <w:rsid w:val="00D72304"/>
    <w:rsid w:val="00D727B3"/>
    <w:rsid w:val="00D73210"/>
    <w:rsid w:val="00D73AD4"/>
    <w:rsid w:val="00D73C8C"/>
    <w:rsid w:val="00D744AF"/>
    <w:rsid w:val="00D74862"/>
    <w:rsid w:val="00D74C6F"/>
    <w:rsid w:val="00D756D2"/>
    <w:rsid w:val="00D75879"/>
    <w:rsid w:val="00D75908"/>
    <w:rsid w:val="00D75CD0"/>
    <w:rsid w:val="00D75ECA"/>
    <w:rsid w:val="00D764EB"/>
    <w:rsid w:val="00D766A9"/>
    <w:rsid w:val="00D7733A"/>
    <w:rsid w:val="00D775CD"/>
    <w:rsid w:val="00D778F2"/>
    <w:rsid w:val="00D8005C"/>
    <w:rsid w:val="00D8028A"/>
    <w:rsid w:val="00D808EE"/>
    <w:rsid w:val="00D80A72"/>
    <w:rsid w:val="00D81003"/>
    <w:rsid w:val="00D81129"/>
    <w:rsid w:val="00D818D0"/>
    <w:rsid w:val="00D81A7D"/>
    <w:rsid w:val="00D8202C"/>
    <w:rsid w:val="00D822E5"/>
    <w:rsid w:val="00D82B74"/>
    <w:rsid w:val="00D82F39"/>
    <w:rsid w:val="00D8378B"/>
    <w:rsid w:val="00D846D9"/>
    <w:rsid w:val="00D8480B"/>
    <w:rsid w:val="00D84B62"/>
    <w:rsid w:val="00D84CF1"/>
    <w:rsid w:val="00D84F1E"/>
    <w:rsid w:val="00D859E0"/>
    <w:rsid w:val="00D85CF7"/>
    <w:rsid w:val="00D863F7"/>
    <w:rsid w:val="00D87225"/>
    <w:rsid w:val="00D87307"/>
    <w:rsid w:val="00D87322"/>
    <w:rsid w:val="00D8792C"/>
    <w:rsid w:val="00D87974"/>
    <w:rsid w:val="00D87B4D"/>
    <w:rsid w:val="00D87C8F"/>
    <w:rsid w:val="00D87F7F"/>
    <w:rsid w:val="00D90662"/>
    <w:rsid w:val="00D9076C"/>
    <w:rsid w:val="00D90F3C"/>
    <w:rsid w:val="00D91686"/>
    <w:rsid w:val="00D9181C"/>
    <w:rsid w:val="00D91841"/>
    <w:rsid w:val="00D918BC"/>
    <w:rsid w:val="00D9191D"/>
    <w:rsid w:val="00D91D95"/>
    <w:rsid w:val="00D91E5A"/>
    <w:rsid w:val="00D92400"/>
    <w:rsid w:val="00D92454"/>
    <w:rsid w:val="00D9270B"/>
    <w:rsid w:val="00D927AB"/>
    <w:rsid w:val="00D93CB6"/>
    <w:rsid w:val="00D94506"/>
    <w:rsid w:val="00D947E8"/>
    <w:rsid w:val="00D94C19"/>
    <w:rsid w:val="00D94FA6"/>
    <w:rsid w:val="00D950AF"/>
    <w:rsid w:val="00D95DD1"/>
    <w:rsid w:val="00D96A20"/>
    <w:rsid w:val="00D97020"/>
    <w:rsid w:val="00D9744D"/>
    <w:rsid w:val="00DA123A"/>
    <w:rsid w:val="00DA2813"/>
    <w:rsid w:val="00DA2C32"/>
    <w:rsid w:val="00DA2DF2"/>
    <w:rsid w:val="00DA31ED"/>
    <w:rsid w:val="00DA36B3"/>
    <w:rsid w:val="00DA467B"/>
    <w:rsid w:val="00DA4DDB"/>
    <w:rsid w:val="00DA53B9"/>
    <w:rsid w:val="00DA64C9"/>
    <w:rsid w:val="00DA6B67"/>
    <w:rsid w:val="00DA7371"/>
    <w:rsid w:val="00DA74CE"/>
    <w:rsid w:val="00DA7705"/>
    <w:rsid w:val="00DA7878"/>
    <w:rsid w:val="00DA7D78"/>
    <w:rsid w:val="00DA7F35"/>
    <w:rsid w:val="00DB005E"/>
    <w:rsid w:val="00DB0592"/>
    <w:rsid w:val="00DB0B44"/>
    <w:rsid w:val="00DB12BD"/>
    <w:rsid w:val="00DB1FA4"/>
    <w:rsid w:val="00DB3023"/>
    <w:rsid w:val="00DB3562"/>
    <w:rsid w:val="00DB3613"/>
    <w:rsid w:val="00DB3DB1"/>
    <w:rsid w:val="00DB3E6A"/>
    <w:rsid w:val="00DB3FDB"/>
    <w:rsid w:val="00DB4274"/>
    <w:rsid w:val="00DB4D86"/>
    <w:rsid w:val="00DB514B"/>
    <w:rsid w:val="00DB5712"/>
    <w:rsid w:val="00DB5C0E"/>
    <w:rsid w:val="00DB5E0E"/>
    <w:rsid w:val="00DB6379"/>
    <w:rsid w:val="00DB64AA"/>
    <w:rsid w:val="00DB657F"/>
    <w:rsid w:val="00DB65C2"/>
    <w:rsid w:val="00DB6952"/>
    <w:rsid w:val="00DB70EE"/>
    <w:rsid w:val="00DB75A4"/>
    <w:rsid w:val="00DB7827"/>
    <w:rsid w:val="00DB7BF9"/>
    <w:rsid w:val="00DC00C7"/>
    <w:rsid w:val="00DC023B"/>
    <w:rsid w:val="00DC0554"/>
    <w:rsid w:val="00DC07F1"/>
    <w:rsid w:val="00DC128B"/>
    <w:rsid w:val="00DC1828"/>
    <w:rsid w:val="00DC1A6F"/>
    <w:rsid w:val="00DC217A"/>
    <w:rsid w:val="00DC2DC5"/>
    <w:rsid w:val="00DC30EA"/>
    <w:rsid w:val="00DC33EC"/>
    <w:rsid w:val="00DC3F9B"/>
    <w:rsid w:val="00DC4D22"/>
    <w:rsid w:val="00DC5B2D"/>
    <w:rsid w:val="00DC6491"/>
    <w:rsid w:val="00DC6E16"/>
    <w:rsid w:val="00DC70CD"/>
    <w:rsid w:val="00DC7601"/>
    <w:rsid w:val="00DC7E6F"/>
    <w:rsid w:val="00DD00EA"/>
    <w:rsid w:val="00DD1635"/>
    <w:rsid w:val="00DD1BD3"/>
    <w:rsid w:val="00DD1EFE"/>
    <w:rsid w:val="00DD20DE"/>
    <w:rsid w:val="00DD3B6A"/>
    <w:rsid w:val="00DD405B"/>
    <w:rsid w:val="00DD4974"/>
    <w:rsid w:val="00DD553E"/>
    <w:rsid w:val="00DD5A41"/>
    <w:rsid w:val="00DD638A"/>
    <w:rsid w:val="00DD64A2"/>
    <w:rsid w:val="00DD64CB"/>
    <w:rsid w:val="00DD6531"/>
    <w:rsid w:val="00DD671F"/>
    <w:rsid w:val="00DD6801"/>
    <w:rsid w:val="00DD6925"/>
    <w:rsid w:val="00DD6E0E"/>
    <w:rsid w:val="00DD6F13"/>
    <w:rsid w:val="00DD7BF9"/>
    <w:rsid w:val="00DD7C13"/>
    <w:rsid w:val="00DD7C7A"/>
    <w:rsid w:val="00DE01EA"/>
    <w:rsid w:val="00DE037E"/>
    <w:rsid w:val="00DE0759"/>
    <w:rsid w:val="00DE0DFB"/>
    <w:rsid w:val="00DE0F58"/>
    <w:rsid w:val="00DE1550"/>
    <w:rsid w:val="00DE176E"/>
    <w:rsid w:val="00DE1EC9"/>
    <w:rsid w:val="00DE23F2"/>
    <w:rsid w:val="00DE28B1"/>
    <w:rsid w:val="00DE38AA"/>
    <w:rsid w:val="00DE4CB8"/>
    <w:rsid w:val="00DE5A1E"/>
    <w:rsid w:val="00DE5EEE"/>
    <w:rsid w:val="00DE6721"/>
    <w:rsid w:val="00DE6912"/>
    <w:rsid w:val="00DE6F95"/>
    <w:rsid w:val="00DE7355"/>
    <w:rsid w:val="00DE77E7"/>
    <w:rsid w:val="00DE7E8B"/>
    <w:rsid w:val="00DF04A6"/>
    <w:rsid w:val="00DF0745"/>
    <w:rsid w:val="00DF0790"/>
    <w:rsid w:val="00DF15B6"/>
    <w:rsid w:val="00DF15EC"/>
    <w:rsid w:val="00DF1806"/>
    <w:rsid w:val="00DF1C2D"/>
    <w:rsid w:val="00DF1F17"/>
    <w:rsid w:val="00DF1F85"/>
    <w:rsid w:val="00DF20CE"/>
    <w:rsid w:val="00DF20EA"/>
    <w:rsid w:val="00DF2425"/>
    <w:rsid w:val="00DF2974"/>
    <w:rsid w:val="00DF297F"/>
    <w:rsid w:val="00DF3422"/>
    <w:rsid w:val="00DF3792"/>
    <w:rsid w:val="00DF3E3B"/>
    <w:rsid w:val="00DF3F70"/>
    <w:rsid w:val="00DF45FF"/>
    <w:rsid w:val="00DF4CEB"/>
    <w:rsid w:val="00DF60F0"/>
    <w:rsid w:val="00DF6FCE"/>
    <w:rsid w:val="00DF79A3"/>
    <w:rsid w:val="00DF7C8C"/>
    <w:rsid w:val="00DF7D85"/>
    <w:rsid w:val="00E00282"/>
    <w:rsid w:val="00E0043E"/>
    <w:rsid w:val="00E00A75"/>
    <w:rsid w:val="00E00C22"/>
    <w:rsid w:val="00E0156F"/>
    <w:rsid w:val="00E019C8"/>
    <w:rsid w:val="00E01C97"/>
    <w:rsid w:val="00E027C2"/>
    <w:rsid w:val="00E02F4E"/>
    <w:rsid w:val="00E045EF"/>
    <w:rsid w:val="00E04E2B"/>
    <w:rsid w:val="00E0514D"/>
    <w:rsid w:val="00E052C4"/>
    <w:rsid w:val="00E05CBA"/>
    <w:rsid w:val="00E06166"/>
    <w:rsid w:val="00E0621A"/>
    <w:rsid w:val="00E06561"/>
    <w:rsid w:val="00E06583"/>
    <w:rsid w:val="00E0766D"/>
    <w:rsid w:val="00E10090"/>
    <w:rsid w:val="00E102DD"/>
    <w:rsid w:val="00E10331"/>
    <w:rsid w:val="00E10935"/>
    <w:rsid w:val="00E10B43"/>
    <w:rsid w:val="00E10C1D"/>
    <w:rsid w:val="00E10D76"/>
    <w:rsid w:val="00E11A6C"/>
    <w:rsid w:val="00E11AE0"/>
    <w:rsid w:val="00E12585"/>
    <w:rsid w:val="00E126E5"/>
    <w:rsid w:val="00E1421F"/>
    <w:rsid w:val="00E1436D"/>
    <w:rsid w:val="00E14A2C"/>
    <w:rsid w:val="00E14C3C"/>
    <w:rsid w:val="00E15157"/>
    <w:rsid w:val="00E15680"/>
    <w:rsid w:val="00E15BCB"/>
    <w:rsid w:val="00E1644C"/>
    <w:rsid w:val="00E16730"/>
    <w:rsid w:val="00E16852"/>
    <w:rsid w:val="00E16DB7"/>
    <w:rsid w:val="00E177F1"/>
    <w:rsid w:val="00E17D33"/>
    <w:rsid w:val="00E203ED"/>
    <w:rsid w:val="00E20CD7"/>
    <w:rsid w:val="00E20D09"/>
    <w:rsid w:val="00E2106E"/>
    <w:rsid w:val="00E21495"/>
    <w:rsid w:val="00E21AD7"/>
    <w:rsid w:val="00E22D0F"/>
    <w:rsid w:val="00E23557"/>
    <w:rsid w:val="00E23DC4"/>
    <w:rsid w:val="00E23E7D"/>
    <w:rsid w:val="00E24B81"/>
    <w:rsid w:val="00E24C2A"/>
    <w:rsid w:val="00E24F41"/>
    <w:rsid w:val="00E251C3"/>
    <w:rsid w:val="00E252E5"/>
    <w:rsid w:val="00E25EB1"/>
    <w:rsid w:val="00E260B0"/>
    <w:rsid w:val="00E26382"/>
    <w:rsid w:val="00E264C0"/>
    <w:rsid w:val="00E264F9"/>
    <w:rsid w:val="00E267AA"/>
    <w:rsid w:val="00E26870"/>
    <w:rsid w:val="00E273E5"/>
    <w:rsid w:val="00E27FB8"/>
    <w:rsid w:val="00E30064"/>
    <w:rsid w:val="00E301E4"/>
    <w:rsid w:val="00E3078A"/>
    <w:rsid w:val="00E31099"/>
    <w:rsid w:val="00E319E0"/>
    <w:rsid w:val="00E32209"/>
    <w:rsid w:val="00E3275C"/>
    <w:rsid w:val="00E327B1"/>
    <w:rsid w:val="00E327B9"/>
    <w:rsid w:val="00E32A5E"/>
    <w:rsid w:val="00E32E66"/>
    <w:rsid w:val="00E331E4"/>
    <w:rsid w:val="00E3328F"/>
    <w:rsid w:val="00E34065"/>
    <w:rsid w:val="00E3413D"/>
    <w:rsid w:val="00E34633"/>
    <w:rsid w:val="00E3470A"/>
    <w:rsid w:val="00E34CED"/>
    <w:rsid w:val="00E35CBE"/>
    <w:rsid w:val="00E35DC5"/>
    <w:rsid w:val="00E36239"/>
    <w:rsid w:val="00E3646D"/>
    <w:rsid w:val="00E36C10"/>
    <w:rsid w:val="00E374E2"/>
    <w:rsid w:val="00E37695"/>
    <w:rsid w:val="00E37830"/>
    <w:rsid w:val="00E37E50"/>
    <w:rsid w:val="00E37F55"/>
    <w:rsid w:val="00E40453"/>
    <w:rsid w:val="00E4059C"/>
    <w:rsid w:val="00E405F0"/>
    <w:rsid w:val="00E40680"/>
    <w:rsid w:val="00E40C1A"/>
    <w:rsid w:val="00E41014"/>
    <w:rsid w:val="00E421F2"/>
    <w:rsid w:val="00E428CB"/>
    <w:rsid w:val="00E4423D"/>
    <w:rsid w:val="00E449C3"/>
    <w:rsid w:val="00E45020"/>
    <w:rsid w:val="00E450D8"/>
    <w:rsid w:val="00E4528A"/>
    <w:rsid w:val="00E45C08"/>
    <w:rsid w:val="00E464DF"/>
    <w:rsid w:val="00E46502"/>
    <w:rsid w:val="00E46D2C"/>
    <w:rsid w:val="00E46F6A"/>
    <w:rsid w:val="00E471E6"/>
    <w:rsid w:val="00E476E0"/>
    <w:rsid w:val="00E47DDE"/>
    <w:rsid w:val="00E50124"/>
    <w:rsid w:val="00E519D8"/>
    <w:rsid w:val="00E51DB5"/>
    <w:rsid w:val="00E51DD3"/>
    <w:rsid w:val="00E5209E"/>
    <w:rsid w:val="00E5241D"/>
    <w:rsid w:val="00E5271E"/>
    <w:rsid w:val="00E52BC4"/>
    <w:rsid w:val="00E52DFE"/>
    <w:rsid w:val="00E53315"/>
    <w:rsid w:val="00E5334A"/>
    <w:rsid w:val="00E536C6"/>
    <w:rsid w:val="00E53B8E"/>
    <w:rsid w:val="00E543EE"/>
    <w:rsid w:val="00E548D1"/>
    <w:rsid w:val="00E54D9C"/>
    <w:rsid w:val="00E54DFF"/>
    <w:rsid w:val="00E54E59"/>
    <w:rsid w:val="00E558A3"/>
    <w:rsid w:val="00E55B02"/>
    <w:rsid w:val="00E55EA3"/>
    <w:rsid w:val="00E55FAC"/>
    <w:rsid w:val="00E56130"/>
    <w:rsid w:val="00E56574"/>
    <w:rsid w:val="00E56D19"/>
    <w:rsid w:val="00E5737A"/>
    <w:rsid w:val="00E57704"/>
    <w:rsid w:val="00E5776E"/>
    <w:rsid w:val="00E57954"/>
    <w:rsid w:val="00E57AA2"/>
    <w:rsid w:val="00E57C07"/>
    <w:rsid w:val="00E57D82"/>
    <w:rsid w:val="00E57EE7"/>
    <w:rsid w:val="00E60D04"/>
    <w:rsid w:val="00E612CC"/>
    <w:rsid w:val="00E617FF"/>
    <w:rsid w:val="00E62268"/>
    <w:rsid w:val="00E6294C"/>
    <w:rsid w:val="00E62B0B"/>
    <w:rsid w:val="00E63504"/>
    <w:rsid w:val="00E635B9"/>
    <w:rsid w:val="00E638BA"/>
    <w:rsid w:val="00E6426E"/>
    <w:rsid w:val="00E64509"/>
    <w:rsid w:val="00E646E7"/>
    <w:rsid w:val="00E649FC"/>
    <w:rsid w:val="00E64AAF"/>
    <w:rsid w:val="00E65958"/>
    <w:rsid w:val="00E65DDD"/>
    <w:rsid w:val="00E65EFB"/>
    <w:rsid w:val="00E6668F"/>
    <w:rsid w:val="00E666DD"/>
    <w:rsid w:val="00E66853"/>
    <w:rsid w:val="00E66856"/>
    <w:rsid w:val="00E66B4A"/>
    <w:rsid w:val="00E671F0"/>
    <w:rsid w:val="00E70402"/>
    <w:rsid w:val="00E707EA"/>
    <w:rsid w:val="00E7123B"/>
    <w:rsid w:val="00E712EA"/>
    <w:rsid w:val="00E71380"/>
    <w:rsid w:val="00E71813"/>
    <w:rsid w:val="00E71EF0"/>
    <w:rsid w:val="00E722A5"/>
    <w:rsid w:val="00E7292C"/>
    <w:rsid w:val="00E73482"/>
    <w:rsid w:val="00E73537"/>
    <w:rsid w:val="00E740DA"/>
    <w:rsid w:val="00E7455D"/>
    <w:rsid w:val="00E747EA"/>
    <w:rsid w:val="00E747EE"/>
    <w:rsid w:val="00E74802"/>
    <w:rsid w:val="00E74B06"/>
    <w:rsid w:val="00E74D9F"/>
    <w:rsid w:val="00E75AAC"/>
    <w:rsid w:val="00E75D1F"/>
    <w:rsid w:val="00E76625"/>
    <w:rsid w:val="00E76C41"/>
    <w:rsid w:val="00E76F7A"/>
    <w:rsid w:val="00E775FB"/>
    <w:rsid w:val="00E77687"/>
    <w:rsid w:val="00E776F4"/>
    <w:rsid w:val="00E77DAA"/>
    <w:rsid w:val="00E80094"/>
    <w:rsid w:val="00E804A3"/>
    <w:rsid w:val="00E80681"/>
    <w:rsid w:val="00E8086C"/>
    <w:rsid w:val="00E80B98"/>
    <w:rsid w:val="00E813F4"/>
    <w:rsid w:val="00E819A8"/>
    <w:rsid w:val="00E81A7F"/>
    <w:rsid w:val="00E826D1"/>
    <w:rsid w:val="00E82815"/>
    <w:rsid w:val="00E828CB"/>
    <w:rsid w:val="00E833B1"/>
    <w:rsid w:val="00E83AFD"/>
    <w:rsid w:val="00E844C3"/>
    <w:rsid w:val="00E845F8"/>
    <w:rsid w:val="00E846DB"/>
    <w:rsid w:val="00E85157"/>
    <w:rsid w:val="00E858C7"/>
    <w:rsid w:val="00E863AA"/>
    <w:rsid w:val="00E86555"/>
    <w:rsid w:val="00E86608"/>
    <w:rsid w:val="00E8695C"/>
    <w:rsid w:val="00E86FEA"/>
    <w:rsid w:val="00E87559"/>
    <w:rsid w:val="00E87DDD"/>
    <w:rsid w:val="00E9006C"/>
    <w:rsid w:val="00E9023B"/>
    <w:rsid w:val="00E9047A"/>
    <w:rsid w:val="00E90609"/>
    <w:rsid w:val="00E90C89"/>
    <w:rsid w:val="00E913B3"/>
    <w:rsid w:val="00E918B7"/>
    <w:rsid w:val="00E92565"/>
    <w:rsid w:val="00E9260C"/>
    <w:rsid w:val="00E9266C"/>
    <w:rsid w:val="00E928F0"/>
    <w:rsid w:val="00E932D1"/>
    <w:rsid w:val="00E93C7E"/>
    <w:rsid w:val="00E93EB9"/>
    <w:rsid w:val="00E94113"/>
    <w:rsid w:val="00E94DAA"/>
    <w:rsid w:val="00E9526E"/>
    <w:rsid w:val="00E96468"/>
    <w:rsid w:val="00E96F68"/>
    <w:rsid w:val="00E970D7"/>
    <w:rsid w:val="00E972EE"/>
    <w:rsid w:val="00E978CC"/>
    <w:rsid w:val="00E97B84"/>
    <w:rsid w:val="00E97F38"/>
    <w:rsid w:val="00EA0289"/>
    <w:rsid w:val="00EA0A0D"/>
    <w:rsid w:val="00EA0FCE"/>
    <w:rsid w:val="00EA18A8"/>
    <w:rsid w:val="00EA1FE5"/>
    <w:rsid w:val="00EA208F"/>
    <w:rsid w:val="00EA2142"/>
    <w:rsid w:val="00EA2D29"/>
    <w:rsid w:val="00EA3749"/>
    <w:rsid w:val="00EA3CF5"/>
    <w:rsid w:val="00EA3D21"/>
    <w:rsid w:val="00EA4BB6"/>
    <w:rsid w:val="00EA568D"/>
    <w:rsid w:val="00EA569B"/>
    <w:rsid w:val="00EA59B0"/>
    <w:rsid w:val="00EA6094"/>
    <w:rsid w:val="00EA6224"/>
    <w:rsid w:val="00EA622B"/>
    <w:rsid w:val="00EA69A5"/>
    <w:rsid w:val="00EA6D93"/>
    <w:rsid w:val="00EA70F7"/>
    <w:rsid w:val="00EA7446"/>
    <w:rsid w:val="00EB004D"/>
    <w:rsid w:val="00EB0146"/>
    <w:rsid w:val="00EB02C1"/>
    <w:rsid w:val="00EB0322"/>
    <w:rsid w:val="00EB05F5"/>
    <w:rsid w:val="00EB0ACA"/>
    <w:rsid w:val="00EB126D"/>
    <w:rsid w:val="00EB153B"/>
    <w:rsid w:val="00EB159C"/>
    <w:rsid w:val="00EB1BE8"/>
    <w:rsid w:val="00EB2D5C"/>
    <w:rsid w:val="00EB3802"/>
    <w:rsid w:val="00EB3EAF"/>
    <w:rsid w:val="00EB46FA"/>
    <w:rsid w:val="00EB48F6"/>
    <w:rsid w:val="00EB4BEB"/>
    <w:rsid w:val="00EB4D75"/>
    <w:rsid w:val="00EB5287"/>
    <w:rsid w:val="00EB6405"/>
    <w:rsid w:val="00EB6587"/>
    <w:rsid w:val="00EB66AC"/>
    <w:rsid w:val="00EB69B4"/>
    <w:rsid w:val="00EB7059"/>
    <w:rsid w:val="00EB75D2"/>
    <w:rsid w:val="00EB7932"/>
    <w:rsid w:val="00EB7E38"/>
    <w:rsid w:val="00EC0214"/>
    <w:rsid w:val="00EC05BA"/>
    <w:rsid w:val="00EC178C"/>
    <w:rsid w:val="00EC17E3"/>
    <w:rsid w:val="00EC1A16"/>
    <w:rsid w:val="00EC1D75"/>
    <w:rsid w:val="00EC20DA"/>
    <w:rsid w:val="00EC2127"/>
    <w:rsid w:val="00EC238B"/>
    <w:rsid w:val="00EC3117"/>
    <w:rsid w:val="00EC3329"/>
    <w:rsid w:val="00EC3C44"/>
    <w:rsid w:val="00EC4189"/>
    <w:rsid w:val="00EC478C"/>
    <w:rsid w:val="00EC517B"/>
    <w:rsid w:val="00EC5B0D"/>
    <w:rsid w:val="00EC5BB4"/>
    <w:rsid w:val="00EC6364"/>
    <w:rsid w:val="00EC7114"/>
    <w:rsid w:val="00EC7D15"/>
    <w:rsid w:val="00EC7DAA"/>
    <w:rsid w:val="00EC7DB0"/>
    <w:rsid w:val="00EC7EDB"/>
    <w:rsid w:val="00ED024A"/>
    <w:rsid w:val="00ED12B0"/>
    <w:rsid w:val="00ED1F83"/>
    <w:rsid w:val="00ED213F"/>
    <w:rsid w:val="00ED2540"/>
    <w:rsid w:val="00ED2B9A"/>
    <w:rsid w:val="00ED2DB8"/>
    <w:rsid w:val="00ED3398"/>
    <w:rsid w:val="00ED379B"/>
    <w:rsid w:val="00ED4060"/>
    <w:rsid w:val="00ED45E3"/>
    <w:rsid w:val="00ED4783"/>
    <w:rsid w:val="00ED49B3"/>
    <w:rsid w:val="00ED51DE"/>
    <w:rsid w:val="00ED53CB"/>
    <w:rsid w:val="00ED54B4"/>
    <w:rsid w:val="00ED5993"/>
    <w:rsid w:val="00ED5A24"/>
    <w:rsid w:val="00ED6222"/>
    <w:rsid w:val="00ED66F9"/>
    <w:rsid w:val="00ED6D5F"/>
    <w:rsid w:val="00ED6F3C"/>
    <w:rsid w:val="00ED74B3"/>
    <w:rsid w:val="00ED74C3"/>
    <w:rsid w:val="00ED79B4"/>
    <w:rsid w:val="00ED7E44"/>
    <w:rsid w:val="00EE0456"/>
    <w:rsid w:val="00EE0A57"/>
    <w:rsid w:val="00EE0C9C"/>
    <w:rsid w:val="00EE1B4A"/>
    <w:rsid w:val="00EE1C17"/>
    <w:rsid w:val="00EE1D56"/>
    <w:rsid w:val="00EE235A"/>
    <w:rsid w:val="00EE294E"/>
    <w:rsid w:val="00EE35B8"/>
    <w:rsid w:val="00EE3EC0"/>
    <w:rsid w:val="00EE427C"/>
    <w:rsid w:val="00EE4392"/>
    <w:rsid w:val="00EE43C1"/>
    <w:rsid w:val="00EE4B3F"/>
    <w:rsid w:val="00EE4DCC"/>
    <w:rsid w:val="00EE5425"/>
    <w:rsid w:val="00EE5BB3"/>
    <w:rsid w:val="00EE715D"/>
    <w:rsid w:val="00EE7273"/>
    <w:rsid w:val="00EE74FC"/>
    <w:rsid w:val="00EE7916"/>
    <w:rsid w:val="00EE793A"/>
    <w:rsid w:val="00EE7A69"/>
    <w:rsid w:val="00EE7C99"/>
    <w:rsid w:val="00EF0A64"/>
    <w:rsid w:val="00EF132F"/>
    <w:rsid w:val="00EF1392"/>
    <w:rsid w:val="00EF18AD"/>
    <w:rsid w:val="00EF19D9"/>
    <w:rsid w:val="00EF2467"/>
    <w:rsid w:val="00EF4844"/>
    <w:rsid w:val="00EF4853"/>
    <w:rsid w:val="00EF4A5A"/>
    <w:rsid w:val="00EF4E5E"/>
    <w:rsid w:val="00EF5667"/>
    <w:rsid w:val="00EF5D5A"/>
    <w:rsid w:val="00EF5D5C"/>
    <w:rsid w:val="00EF6786"/>
    <w:rsid w:val="00EF6D04"/>
    <w:rsid w:val="00EF6D93"/>
    <w:rsid w:val="00EF6EEB"/>
    <w:rsid w:val="00EF760F"/>
    <w:rsid w:val="00EF7671"/>
    <w:rsid w:val="00EF77F0"/>
    <w:rsid w:val="00F00002"/>
    <w:rsid w:val="00F001EC"/>
    <w:rsid w:val="00F003C1"/>
    <w:rsid w:val="00F00918"/>
    <w:rsid w:val="00F009C1"/>
    <w:rsid w:val="00F00EA8"/>
    <w:rsid w:val="00F011DB"/>
    <w:rsid w:val="00F01A4D"/>
    <w:rsid w:val="00F01EB1"/>
    <w:rsid w:val="00F021AC"/>
    <w:rsid w:val="00F0223F"/>
    <w:rsid w:val="00F029BC"/>
    <w:rsid w:val="00F02BBD"/>
    <w:rsid w:val="00F02C66"/>
    <w:rsid w:val="00F0307D"/>
    <w:rsid w:val="00F031F5"/>
    <w:rsid w:val="00F036A3"/>
    <w:rsid w:val="00F0373C"/>
    <w:rsid w:val="00F03B42"/>
    <w:rsid w:val="00F04921"/>
    <w:rsid w:val="00F04BD8"/>
    <w:rsid w:val="00F05361"/>
    <w:rsid w:val="00F05D9F"/>
    <w:rsid w:val="00F0636F"/>
    <w:rsid w:val="00F06854"/>
    <w:rsid w:val="00F07604"/>
    <w:rsid w:val="00F07613"/>
    <w:rsid w:val="00F0767F"/>
    <w:rsid w:val="00F0785A"/>
    <w:rsid w:val="00F078EC"/>
    <w:rsid w:val="00F07B9B"/>
    <w:rsid w:val="00F07C18"/>
    <w:rsid w:val="00F10B54"/>
    <w:rsid w:val="00F11356"/>
    <w:rsid w:val="00F116D0"/>
    <w:rsid w:val="00F11778"/>
    <w:rsid w:val="00F121D1"/>
    <w:rsid w:val="00F12629"/>
    <w:rsid w:val="00F12B69"/>
    <w:rsid w:val="00F1308B"/>
    <w:rsid w:val="00F143DE"/>
    <w:rsid w:val="00F1440B"/>
    <w:rsid w:val="00F14777"/>
    <w:rsid w:val="00F147E6"/>
    <w:rsid w:val="00F14FD5"/>
    <w:rsid w:val="00F152D3"/>
    <w:rsid w:val="00F15E67"/>
    <w:rsid w:val="00F15EFD"/>
    <w:rsid w:val="00F15EFE"/>
    <w:rsid w:val="00F164DE"/>
    <w:rsid w:val="00F16634"/>
    <w:rsid w:val="00F1730F"/>
    <w:rsid w:val="00F178D2"/>
    <w:rsid w:val="00F17A79"/>
    <w:rsid w:val="00F17C66"/>
    <w:rsid w:val="00F202DD"/>
    <w:rsid w:val="00F209F8"/>
    <w:rsid w:val="00F20C34"/>
    <w:rsid w:val="00F2147E"/>
    <w:rsid w:val="00F21609"/>
    <w:rsid w:val="00F21A45"/>
    <w:rsid w:val="00F21B53"/>
    <w:rsid w:val="00F21EB0"/>
    <w:rsid w:val="00F2201B"/>
    <w:rsid w:val="00F22343"/>
    <w:rsid w:val="00F22404"/>
    <w:rsid w:val="00F226B6"/>
    <w:rsid w:val="00F22D6E"/>
    <w:rsid w:val="00F2337E"/>
    <w:rsid w:val="00F236D5"/>
    <w:rsid w:val="00F238EF"/>
    <w:rsid w:val="00F248C7"/>
    <w:rsid w:val="00F24B8E"/>
    <w:rsid w:val="00F24D6A"/>
    <w:rsid w:val="00F2574A"/>
    <w:rsid w:val="00F25763"/>
    <w:rsid w:val="00F2594A"/>
    <w:rsid w:val="00F25CA3"/>
    <w:rsid w:val="00F25F64"/>
    <w:rsid w:val="00F25FC7"/>
    <w:rsid w:val="00F2630A"/>
    <w:rsid w:val="00F263AD"/>
    <w:rsid w:val="00F264B8"/>
    <w:rsid w:val="00F26A5A"/>
    <w:rsid w:val="00F26D06"/>
    <w:rsid w:val="00F26D38"/>
    <w:rsid w:val="00F27F02"/>
    <w:rsid w:val="00F3040E"/>
    <w:rsid w:val="00F304A8"/>
    <w:rsid w:val="00F3077D"/>
    <w:rsid w:val="00F309CA"/>
    <w:rsid w:val="00F30B91"/>
    <w:rsid w:val="00F30F5D"/>
    <w:rsid w:val="00F31206"/>
    <w:rsid w:val="00F31532"/>
    <w:rsid w:val="00F3173A"/>
    <w:rsid w:val="00F31861"/>
    <w:rsid w:val="00F31FA8"/>
    <w:rsid w:val="00F32088"/>
    <w:rsid w:val="00F32913"/>
    <w:rsid w:val="00F32A66"/>
    <w:rsid w:val="00F33C19"/>
    <w:rsid w:val="00F34F66"/>
    <w:rsid w:val="00F350C6"/>
    <w:rsid w:val="00F3525E"/>
    <w:rsid w:val="00F366FB"/>
    <w:rsid w:val="00F36C9F"/>
    <w:rsid w:val="00F375F4"/>
    <w:rsid w:val="00F378A6"/>
    <w:rsid w:val="00F3796D"/>
    <w:rsid w:val="00F40202"/>
    <w:rsid w:val="00F40BE9"/>
    <w:rsid w:val="00F411C1"/>
    <w:rsid w:val="00F4123C"/>
    <w:rsid w:val="00F4131E"/>
    <w:rsid w:val="00F42164"/>
    <w:rsid w:val="00F42AC0"/>
    <w:rsid w:val="00F43DD0"/>
    <w:rsid w:val="00F44203"/>
    <w:rsid w:val="00F445FF"/>
    <w:rsid w:val="00F4463B"/>
    <w:rsid w:val="00F44AEF"/>
    <w:rsid w:val="00F451D4"/>
    <w:rsid w:val="00F4541A"/>
    <w:rsid w:val="00F45BD4"/>
    <w:rsid w:val="00F45EDF"/>
    <w:rsid w:val="00F46184"/>
    <w:rsid w:val="00F4625D"/>
    <w:rsid w:val="00F4638F"/>
    <w:rsid w:val="00F468E9"/>
    <w:rsid w:val="00F473D8"/>
    <w:rsid w:val="00F47643"/>
    <w:rsid w:val="00F47666"/>
    <w:rsid w:val="00F47788"/>
    <w:rsid w:val="00F47849"/>
    <w:rsid w:val="00F50BA3"/>
    <w:rsid w:val="00F51106"/>
    <w:rsid w:val="00F514E3"/>
    <w:rsid w:val="00F51A14"/>
    <w:rsid w:val="00F521AA"/>
    <w:rsid w:val="00F52501"/>
    <w:rsid w:val="00F52838"/>
    <w:rsid w:val="00F52EF1"/>
    <w:rsid w:val="00F531C9"/>
    <w:rsid w:val="00F53B78"/>
    <w:rsid w:val="00F54251"/>
    <w:rsid w:val="00F5455E"/>
    <w:rsid w:val="00F547A4"/>
    <w:rsid w:val="00F54897"/>
    <w:rsid w:val="00F54D38"/>
    <w:rsid w:val="00F55082"/>
    <w:rsid w:val="00F553BF"/>
    <w:rsid w:val="00F55E3B"/>
    <w:rsid w:val="00F55EAA"/>
    <w:rsid w:val="00F5629A"/>
    <w:rsid w:val="00F562A2"/>
    <w:rsid w:val="00F56A10"/>
    <w:rsid w:val="00F57054"/>
    <w:rsid w:val="00F571DB"/>
    <w:rsid w:val="00F572FE"/>
    <w:rsid w:val="00F5774F"/>
    <w:rsid w:val="00F579D5"/>
    <w:rsid w:val="00F57E50"/>
    <w:rsid w:val="00F57F20"/>
    <w:rsid w:val="00F60617"/>
    <w:rsid w:val="00F60639"/>
    <w:rsid w:val="00F608F3"/>
    <w:rsid w:val="00F60C47"/>
    <w:rsid w:val="00F60F0A"/>
    <w:rsid w:val="00F6140D"/>
    <w:rsid w:val="00F61C2B"/>
    <w:rsid w:val="00F62348"/>
    <w:rsid w:val="00F625E6"/>
    <w:rsid w:val="00F62660"/>
    <w:rsid w:val="00F6281D"/>
    <w:rsid w:val="00F62FEE"/>
    <w:rsid w:val="00F630ED"/>
    <w:rsid w:val="00F6367D"/>
    <w:rsid w:val="00F6436A"/>
    <w:rsid w:val="00F6480B"/>
    <w:rsid w:val="00F64A00"/>
    <w:rsid w:val="00F64B26"/>
    <w:rsid w:val="00F64BC9"/>
    <w:rsid w:val="00F651FB"/>
    <w:rsid w:val="00F655F5"/>
    <w:rsid w:val="00F65A67"/>
    <w:rsid w:val="00F66042"/>
    <w:rsid w:val="00F663E4"/>
    <w:rsid w:val="00F66822"/>
    <w:rsid w:val="00F66A6E"/>
    <w:rsid w:val="00F66D44"/>
    <w:rsid w:val="00F674DA"/>
    <w:rsid w:val="00F67D3F"/>
    <w:rsid w:val="00F700D8"/>
    <w:rsid w:val="00F708F1"/>
    <w:rsid w:val="00F70FDD"/>
    <w:rsid w:val="00F71320"/>
    <w:rsid w:val="00F715E5"/>
    <w:rsid w:val="00F722BE"/>
    <w:rsid w:val="00F72844"/>
    <w:rsid w:val="00F729DC"/>
    <w:rsid w:val="00F729F1"/>
    <w:rsid w:val="00F72B73"/>
    <w:rsid w:val="00F72CAA"/>
    <w:rsid w:val="00F73BCF"/>
    <w:rsid w:val="00F752A2"/>
    <w:rsid w:val="00F75776"/>
    <w:rsid w:val="00F75AC3"/>
    <w:rsid w:val="00F75ADB"/>
    <w:rsid w:val="00F75EF5"/>
    <w:rsid w:val="00F76363"/>
    <w:rsid w:val="00F7685D"/>
    <w:rsid w:val="00F76C6C"/>
    <w:rsid w:val="00F76D4A"/>
    <w:rsid w:val="00F77119"/>
    <w:rsid w:val="00F77E63"/>
    <w:rsid w:val="00F8037E"/>
    <w:rsid w:val="00F803B7"/>
    <w:rsid w:val="00F806C9"/>
    <w:rsid w:val="00F807F7"/>
    <w:rsid w:val="00F8099F"/>
    <w:rsid w:val="00F816F6"/>
    <w:rsid w:val="00F8324B"/>
    <w:rsid w:val="00F838A8"/>
    <w:rsid w:val="00F83A8A"/>
    <w:rsid w:val="00F84A5A"/>
    <w:rsid w:val="00F85A9D"/>
    <w:rsid w:val="00F85B83"/>
    <w:rsid w:val="00F860D8"/>
    <w:rsid w:val="00F86914"/>
    <w:rsid w:val="00F86B73"/>
    <w:rsid w:val="00F870BF"/>
    <w:rsid w:val="00F8754B"/>
    <w:rsid w:val="00F90377"/>
    <w:rsid w:val="00F90ADE"/>
    <w:rsid w:val="00F90B6B"/>
    <w:rsid w:val="00F9176D"/>
    <w:rsid w:val="00F91D3B"/>
    <w:rsid w:val="00F91D8E"/>
    <w:rsid w:val="00F91FB6"/>
    <w:rsid w:val="00F923B9"/>
    <w:rsid w:val="00F927E3"/>
    <w:rsid w:val="00F92F2C"/>
    <w:rsid w:val="00F934BB"/>
    <w:rsid w:val="00F939B6"/>
    <w:rsid w:val="00F93EC8"/>
    <w:rsid w:val="00F9440D"/>
    <w:rsid w:val="00F94A68"/>
    <w:rsid w:val="00F94BC8"/>
    <w:rsid w:val="00F9640C"/>
    <w:rsid w:val="00F97B70"/>
    <w:rsid w:val="00F97BCC"/>
    <w:rsid w:val="00FA057A"/>
    <w:rsid w:val="00FA0665"/>
    <w:rsid w:val="00FA189A"/>
    <w:rsid w:val="00FA1A50"/>
    <w:rsid w:val="00FA1D9A"/>
    <w:rsid w:val="00FA1F76"/>
    <w:rsid w:val="00FA26F8"/>
    <w:rsid w:val="00FA276F"/>
    <w:rsid w:val="00FA3509"/>
    <w:rsid w:val="00FA357D"/>
    <w:rsid w:val="00FA3AE6"/>
    <w:rsid w:val="00FA3E60"/>
    <w:rsid w:val="00FA3EC1"/>
    <w:rsid w:val="00FA40E6"/>
    <w:rsid w:val="00FA4628"/>
    <w:rsid w:val="00FA49E0"/>
    <w:rsid w:val="00FA5819"/>
    <w:rsid w:val="00FA5C9E"/>
    <w:rsid w:val="00FA5D5F"/>
    <w:rsid w:val="00FA6F3D"/>
    <w:rsid w:val="00FA77FB"/>
    <w:rsid w:val="00FA7D36"/>
    <w:rsid w:val="00FB016A"/>
    <w:rsid w:val="00FB055C"/>
    <w:rsid w:val="00FB0D77"/>
    <w:rsid w:val="00FB0D91"/>
    <w:rsid w:val="00FB0E86"/>
    <w:rsid w:val="00FB0F89"/>
    <w:rsid w:val="00FB172B"/>
    <w:rsid w:val="00FB274B"/>
    <w:rsid w:val="00FB39F2"/>
    <w:rsid w:val="00FB55E3"/>
    <w:rsid w:val="00FB5AFD"/>
    <w:rsid w:val="00FB5B5B"/>
    <w:rsid w:val="00FB5D5B"/>
    <w:rsid w:val="00FB6CE2"/>
    <w:rsid w:val="00FB77CF"/>
    <w:rsid w:val="00FB7A8F"/>
    <w:rsid w:val="00FC01EC"/>
    <w:rsid w:val="00FC051A"/>
    <w:rsid w:val="00FC0E47"/>
    <w:rsid w:val="00FC1402"/>
    <w:rsid w:val="00FC15F6"/>
    <w:rsid w:val="00FC194F"/>
    <w:rsid w:val="00FC1B18"/>
    <w:rsid w:val="00FC2295"/>
    <w:rsid w:val="00FC29D5"/>
    <w:rsid w:val="00FC2D06"/>
    <w:rsid w:val="00FC2DCC"/>
    <w:rsid w:val="00FC35FA"/>
    <w:rsid w:val="00FC370E"/>
    <w:rsid w:val="00FC3D4C"/>
    <w:rsid w:val="00FC40E0"/>
    <w:rsid w:val="00FC4846"/>
    <w:rsid w:val="00FC500C"/>
    <w:rsid w:val="00FC5486"/>
    <w:rsid w:val="00FC58D3"/>
    <w:rsid w:val="00FC6EC0"/>
    <w:rsid w:val="00FC7770"/>
    <w:rsid w:val="00FC7F65"/>
    <w:rsid w:val="00FD0D3F"/>
    <w:rsid w:val="00FD1298"/>
    <w:rsid w:val="00FD1CCA"/>
    <w:rsid w:val="00FD277B"/>
    <w:rsid w:val="00FD2CBA"/>
    <w:rsid w:val="00FD362E"/>
    <w:rsid w:val="00FD3816"/>
    <w:rsid w:val="00FD3AEE"/>
    <w:rsid w:val="00FD4281"/>
    <w:rsid w:val="00FD510F"/>
    <w:rsid w:val="00FD5DF2"/>
    <w:rsid w:val="00FD5E9E"/>
    <w:rsid w:val="00FD675A"/>
    <w:rsid w:val="00FD6EA3"/>
    <w:rsid w:val="00FD7514"/>
    <w:rsid w:val="00FD77A4"/>
    <w:rsid w:val="00FE0897"/>
    <w:rsid w:val="00FE0940"/>
    <w:rsid w:val="00FE0989"/>
    <w:rsid w:val="00FE0E36"/>
    <w:rsid w:val="00FE1A57"/>
    <w:rsid w:val="00FE28C4"/>
    <w:rsid w:val="00FE34DC"/>
    <w:rsid w:val="00FE354B"/>
    <w:rsid w:val="00FE37E9"/>
    <w:rsid w:val="00FE3D93"/>
    <w:rsid w:val="00FE44CB"/>
    <w:rsid w:val="00FE45BD"/>
    <w:rsid w:val="00FE4D06"/>
    <w:rsid w:val="00FE5780"/>
    <w:rsid w:val="00FE6632"/>
    <w:rsid w:val="00FE66ED"/>
    <w:rsid w:val="00FE6C64"/>
    <w:rsid w:val="00FE7248"/>
    <w:rsid w:val="00FE76FA"/>
    <w:rsid w:val="00FE77D3"/>
    <w:rsid w:val="00FF02F7"/>
    <w:rsid w:val="00FF0D5B"/>
    <w:rsid w:val="00FF1329"/>
    <w:rsid w:val="00FF1643"/>
    <w:rsid w:val="00FF1B15"/>
    <w:rsid w:val="00FF1CE1"/>
    <w:rsid w:val="00FF1E0B"/>
    <w:rsid w:val="00FF2021"/>
    <w:rsid w:val="00FF24A7"/>
    <w:rsid w:val="00FF2948"/>
    <w:rsid w:val="00FF2A25"/>
    <w:rsid w:val="00FF2F44"/>
    <w:rsid w:val="00FF352D"/>
    <w:rsid w:val="00FF360F"/>
    <w:rsid w:val="00FF3965"/>
    <w:rsid w:val="00FF396F"/>
    <w:rsid w:val="00FF3AA1"/>
    <w:rsid w:val="00FF4397"/>
    <w:rsid w:val="00FF463E"/>
    <w:rsid w:val="00FF4BAF"/>
    <w:rsid w:val="00FF4ED3"/>
    <w:rsid w:val="00FF537D"/>
    <w:rsid w:val="00FF64E9"/>
    <w:rsid w:val="00FF7965"/>
    <w:rsid w:val="00FF799E"/>
    <w:rsid w:val="00FF7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C21F08"/>
  <w15:docId w15:val="{5C38F308-BB05-4B04-8ECA-287828C89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E15"/>
    <w:rPr>
      <w:sz w:val="24"/>
      <w:szCs w:val="24"/>
      <w:lang w:val="bg-BG"/>
    </w:rPr>
  </w:style>
  <w:style w:type="paragraph" w:styleId="Heading1">
    <w:name w:val="heading 1"/>
    <w:basedOn w:val="Normal"/>
    <w:next w:val="Normal"/>
    <w:link w:val="Heading1Char"/>
    <w:qFormat/>
    <w:rsid w:val="00063E15"/>
    <w:pPr>
      <w:keepNext/>
      <w:jc w:val="center"/>
      <w:outlineLvl w:val="0"/>
    </w:pPr>
    <w:rPr>
      <w:b/>
      <w:bCs/>
      <w:sz w:val="28"/>
    </w:rPr>
  </w:style>
  <w:style w:type="paragraph" w:styleId="Heading2">
    <w:name w:val="heading 2"/>
    <w:basedOn w:val="Normal"/>
    <w:next w:val="Normal"/>
    <w:qFormat/>
    <w:rsid w:val="00C26FED"/>
    <w:pPr>
      <w:keepNext/>
      <w:spacing w:before="240" w:after="60"/>
      <w:outlineLvl w:val="1"/>
    </w:pPr>
    <w:rPr>
      <w:rFonts w:ascii="Arial" w:hAnsi="Arial" w:cs="Arial"/>
      <w:b/>
      <w:bCs/>
      <w:i/>
      <w:iCs/>
      <w:sz w:val="28"/>
      <w:szCs w:val="28"/>
    </w:rPr>
  </w:style>
  <w:style w:type="paragraph" w:styleId="Heading3">
    <w:name w:val="heading 3"/>
    <w:basedOn w:val="Normal"/>
    <w:next w:val="Normal"/>
    <w:uiPriority w:val="99"/>
    <w:qFormat/>
    <w:rsid w:val="0026239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63E15"/>
    <w:pPr>
      <w:jc w:val="center"/>
    </w:pPr>
    <w:rPr>
      <w:b/>
      <w:szCs w:val="20"/>
    </w:rPr>
  </w:style>
  <w:style w:type="paragraph" w:customStyle="1" w:styleId="ParagraphNumbering">
    <w:name w:val="Paragraph Numbering"/>
    <w:basedOn w:val="Normal"/>
    <w:rsid w:val="0028159B"/>
    <w:pPr>
      <w:numPr>
        <w:numId w:val="1"/>
      </w:numPr>
      <w:spacing w:after="240"/>
    </w:pPr>
    <w:rPr>
      <w:lang w:val="en-US"/>
    </w:rPr>
  </w:style>
  <w:style w:type="paragraph" w:styleId="FootnoteText">
    <w:name w:val="footnote text"/>
    <w:aliases w:val="Fußnotentext arial"/>
    <w:basedOn w:val="Normal"/>
    <w:link w:val="FootnoteTextChar"/>
    <w:semiHidden/>
    <w:rsid w:val="003459AC"/>
    <w:rPr>
      <w:sz w:val="20"/>
      <w:szCs w:val="20"/>
      <w:lang w:val="en-US"/>
    </w:rPr>
  </w:style>
  <w:style w:type="character" w:styleId="FootnoteReference">
    <w:name w:val="footnote reference"/>
    <w:aliases w:val="Footnote,Footnote symbol,SUPERS,BVI fnr,Footnote reference number,Times 10 Point,Exposant 3 Point,Ref,de nota al pie,note TESI,EN Footnote text,EN Footnote Reference,Footnote Reference Number,E FNZ,Appel note de bas de p,Nota,BVI fnr1"/>
    <w:rsid w:val="003459AC"/>
    <w:rPr>
      <w:vertAlign w:val="superscript"/>
    </w:rPr>
  </w:style>
  <w:style w:type="paragraph" w:styleId="BodyText">
    <w:name w:val="Body Text"/>
    <w:basedOn w:val="Normal"/>
    <w:link w:val="BodyTextChar"/>
    <w:rsid w:val="003459AC"/>
    <w:pPr>
      <w:jc w:val="both"/>
    </w:pPr>
  </w:style>
  <w:style w:type="paragraph" w:styleId="BodyTextIndent">
    <w:name w:val="Body Text Indent"/>
    <w:basedOn w:val="Normal"/>
    <w:link w:val="BodyTextIndentChar"/>
    <w:uiPriority w:val="99"/>
    <w:rsid w:val="003459AC"/>
    <w:pPr>
      <w:spacing w:after="120"/>
      <w:ind w:left="283"/>
    </w:pPr>
  </w:style>
  <w:style w:type="paragraph" w:styleId="BodyText2">
    <w:name w:val="Body Text 2"/>
    <w:basedOn w:val="Normal"/>
    <w:link w:val="BodyText2Char"/>
    <w:rsid w:val="003459AC"/>
    <w:pPr>
      <w:spacing w:after="120" w:line="480" w:lineRule="auto"/>
    </w:pPr>
  </w:style>
  <w:style w:type="paragraph" w:styleId="BlockText">
    <w:name w:val="Block Text"/>
    <w:basedOn w:val="Normal"/>
    <w:rsid w:val="003459AC"/>
    <w:pPr>
      <w:ind w:left="720" w:right="1106"/>
    </w:pPr>
    <w:rPr>
      <w:b/>
      <w:bCs/>
    </w:rPr>
  </w:style>
  <w:style w:type="table" w:styleId="TableGrid">
    <w:name w:val="Table Grid"/>
    <w:basedOn w:val="TableNormal"/>
    <w:rsid w:val="00345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Char,Header Char1 Char,Header Char Char Char,Header Char3 Char Char Char,Header Char1 Char Char Char Char1 Char,Header Char Char Char Char Char Char1 Char,Header Char2 Char1 Char Char Char"/>
    <w:basedOn w:val="Normal"/>
    <w:link w:val="HeaderChar1"/>
    <w:rsid w:val="001D40DA"/>
    <w:pPr>
      <w:tabs>
        <w:tab w:val="center" w:pos="4153"/>
        <w:tab w:val="right" w:pos="8306"/>
      </w:tabs>
    </w:pPr>
    <w:rPr>
      <w:lang w:eastAsia="bg-BG"/>
    </w:rPr>
  </w:style>
  <w:style w:type="paragraph" w:styleId="BodyText3">
    <w:name w:val="Body Text 3"/>
    <w:basedOn w:val="Normal"/>
    <w:rsid w:val="00262391"/>
    <w:pPr>
      <w:spacing w:after="120"/>
    </w:pPr>
    <w:rPr>
      <w:sz w:val="16"/>
      <w:szCs w:val="16"/>
    </w:rPr>
  </w:style>
  <w:style w:type="paragraph" w:styleId="Footer">
    <w:name w:val="footer"/>
    <w:basedOn w:val="Normal"/>
    <w:rsid w:val="00A74112"/>
    <w:pPr>
      <w:tabs>
        <w:tab w:val="center" w:pos="4536"/>
        <w:tab w:val="right" w:pos="9072"/>
      </w:tabs>
    </w:pPr>
  </w:style>
  <w:style w:type="character" w:styleId="PageNumber">
    <w:name w:val="page number"/>
    <w:basedOn w:val="DefaultParagraphFont"/>
    <w:rsid w:val="00A74112"/>
  </w:style>
  <w:style w:type="paragraph" w:customStyle="1" w:styleId="CharChar3CharChar">
    <w:name w:val="Char Char3 Char Char"/>
    <w:basedOn w:val="Normal"/>
    <w:semiHidden/>
    <w:rsid w:val="00EE4B3F"/>
    <w:pPr>
      <w:tabs>
        <w:tab w:val="left" w:pos="709"/>
      </w:tabs>
    </w:pPr>
    <w:rPr>
      <w:rFonts w:ascii="Futura Bk" w:hAnsi="Futura Bk"/>
      <w:lang w:val="pl-PL" w:eastAsia="pl-PL"/>
    </w:rPr>
  </w:style>
  <w:style w:type="paragraph" w:customStyle="1" w:styleId="CharCharCharChar">
    <w:name w:val="Char Char Char Char"/>
    <w:basedOn w:val="Normal"/>
    <w:rsid w:val="00A14560"/>
    <w:pPr>
      <w:spacing w:after="160" w:line="240" w:lineRule="exact"/>
    </w:pPr>
    <w:rPr>
      <w:rFonts w:ascii="Tahoma" w:hAnsi="Tahoma"/>
      <w:sz w:val="20"/>
      <w:szCs w:val="20"/>
      <w:lang w:val="en-US"/>
    </w:rPr>
  </w:style>
  <w:style w:type="paragraph" w:styleId="BodyTextIndent2">
    <w:name w:val="Body Text Indent 2"/>
    <w:basedOn w:val="Normal"/>
    <w:rsid w:val="00C32154"/>
    <w:pPr>
      <w:spacing w:after="120" w:line="480" w:lineRule="auto"/>
      <w:ind w:left="283"/>
    </w:pPr>
  </w:style>
  <w:style w:type="paragraph" w:styleId="BalloonText">
    <w:name w:val="Balloon Text"/>
    <w:basedOn w:val="Normal"/>
    <w:link w:val="BalloonTextChar"/>
    <w:semiHidden/>
    <w:rsid w:val="00144BF2"/>
    <w:rPr>
      <w:rFonts w:ascii="Tahoma" w:hAnsi="Tahoma" w:cs="Tahoma"/>
      <w:sz w:val="16"/>
      <w:szCs w:val="16"/>
    </w:rPr>
  </w:style>
  <w:style w:type="paragraph" w:styleId="EndnoteText">
    <w:name w:val="endnote text"/>
    <w:basedOn w:val="Normal"/>
    <w:semiHidden/>
    <w:rsid w:val="00F870BF"/>
    <w:rPr>
      <w:sz w:val="20"/>
      <w:szCs w:val="20"/>
    </w:rPr>
  </w:style>
  <w:style w:type="character" w:styleId="EndnoteReference">
    <w:name w:val="endnote reference"/>
    <w:semiHidden/>
    <w:rsid w:val="00F870BF"/>
    <w:rPr>
      <w:vertAlign w:val="superscript"/>
    </w:rPr>
  </w:style>
  <w:style w:type="character" w:styleId="CommentReference">
    <w:name w:val="annotation reference"/>
    <w:semiHidden/>
    <w:rsid w:val="00A252C3"/>
    <w:rPr>
      <w:sz w:val="16"/>
      <w:szCs w:val="16"/>
    </w:rPr>
  </w:style>
  <w:style w:type="paragraph" w:styleId="CommentText">
    <w:name w:val="annotation text"/>
    <w:basedOn w:val="Normal"/>
    <w:link w:val="CommentTextChar"/>
    <w:semiHidden/>
    <w:rsid w:val="00A252C3"/>
    <w:rPr>
      <w:sz w:val="20"/>
      <w:szCs w:val="20"/>
    </w:rPr>
  </w:style>
  <w:style w:type="character" w:customStyle="1" w:styleId="HeaderChar1">
    <w:name w:val="Header Char1"/>
    <w:aliases w:val="Header Char Char,Header Char1 Char Char,Header Char Char Char Char,Header Char3 Char Char Char Char,Header Char1 Char Char Char Char1 Char Char,Header Char Char Char Char Char Char1 Char Char,Header Char2 Char1 Char Char Char Char"/>
    <w:link w:val="Header"/>
    <w:rsid w:val="00166023"/>
    <w:rPr>
      <w:sz w:val="24"/>
      <w:szCs w:val="24"/>
      <w:lang w:val="bg-BG" w:eastAsia="bg-BG" w:bidi="ar-SA"/>
    </w:rPr>
  </w:style>
  <w:style w:type="paragraph" w:customStyle="1" w:styleId="Char1">
    <w:name w:val="Char1"/>
    <w:basedOn w:val="Normal"/>
    <w:semiHidden/>
    <w:rsid w:val="008138E4"/>
    <w:pPr>
      <w:tabs>
        <w:tab w:val="left" w:pos="709"/>
      </w:tabs>
    </w:pPr>
    <w:rPr>
      <w:rFonts w:ascii="Futura Bk" w:hAnsi="Futura Bk"/>
      <w:lang w:val="pl-PL" w:eastAsia="pl-PL"/>
    </w:rPr>
  </w:style>
  <w:style w:type="paragraph" w:customStyle="1" w:styleId="default">
    <w:name w:val="default"/>
    <w:basedOn w:val="Normal"/>
    <w:rsid w:val="003C14B1"/>
    <w:pPr>
      <w:spacing w:before="100" w:beforeAutospacing="1" w:after="100" w:afterAutospacing="1"/>
    </w:pPr>
    <w:rPr>
      <w:lang w:eastAsia="bg-BG"/>
    </w:rPr>
  </w:style>
  <w:style w:type="character" w:styleId="Strong">
    <w:name w:val="Strong"/>
    <w:uiPriority w:val="99"/>
    <w:qFormat/>
    <w:rsid w:val="003E37A0"/>
    <w:rPr>
      <w:b/>
      <w:bCs/>
    </w:rPr>
  </w:style>
  <w:style w:type="character" w:customStyle="1" w:styleId="BalloonTextChar">
    <w:name w:val="Balloon Text Char"/>
    <w:link w:val="BalloonText"/>
    <w:semiHidden/>
    <w:locked/>
    <w:rsid w:val="00DD1EFE"/>
    <w:rPr>
      <w:rFonts w:ascii="Tahoma" w:hAnsi="Tahoma" w:cs="Tahoma"/>
      <w:sz w:val="16"/>
      <w:szCs w:val="16"/>
      <w:lang w:val="en-GB" w:eastAsia="en-US" w:bidi="ar-SA"/>
    </w:rPr>
  </w:style>
  <w:style w:type="paragraph" w:customStyle="1" w:styleId="Default0">
    <w:name w:val="Default"/>
    <w:rsid w:val="00DD1EFE"/>
    <w:pPr>
      <w:autoSpaceDE w:val="0"/>
      <w:autoSpaceDN w:val="0"/>
      <w:adjustRightInd w:val="0"/>
    </w:pPr>
    <w:rPr>
      <w:rFonts w:ascii="Calibri" w:hAnsi="Calibri" w:cs="Calibri"/>
      <w:color w:val="000000"/>
      <w:sz w:val="24"/>
      <w:szCs w:val="24"/>
      <w:lang w:val="bg-BG"/>
    </w:rPr>
  </w:style>
  <w:style w:type="character" w:customStyle="1" w:styleId="FootnoteTextChar">
    <w:name w:val="Footnote Text Char"/>
    <w:aliases w:val="Fußnotentext arial Char"/>
    <w:link w:val="FootnoteText"/>
    <w:rsid w:val="009A3FA1"/>
    <w:rPr>
      <w:lang w:val="en-US" w:eastAsia="en-US" w:bidi="ar-SA"/>
    </w:rPr>
  </w:style>
  <w:style w:type="paragraph" w:customStyle="1" w:styleId="CharCharCharChar1">
    <w:name w:val="Char Char Char Char1"/>
    <w:basedOn w:val="Normal"/>
    <w:semiHidden/>
    <w:rsid w:val="00B20BB9"/>
    <w:pPr>
      <w:tabs>
        <w:tab w:val="left" w:pos="709"/>
      </w:tabs>
    </w:pPr>
    <w:rPr>
      <w:rFonts w:ascii="Futura Bk" w:hAnsi="Futura Bk"/>
      <w:lang w:val="pl-PL" w:eastAsia="pl-PL"/>
    </w:rPr>
  </w:style>
  <w:style w:type="character" w:customStyle="1" w:styleId="BodyText2Char">
    <w:name w:val="Body Text 2 Char"/>
    <w:link w:val="BodyText2"/>
    <w:locked/>
    <w:rsid w:val="002D5811"/>
    <w:rPr>
      <w:sz w:val="24"/>
      <w:szCs w:val="24"/>
      <w:lang w:val="en-GB" w:eastAsia="en-US" w:bidi="ar-SA"/>
    </w:rPr>
  </w:style>
  <w:style w:type="character" w:styleId="Hyperlink">
    <w:name w:val="Hyperlink"/>
    <w:uiPriority w:val="99"/>
    <w:unhideWhenUsed/>
    <w:rsid w:val="00231385"/>
    <w:rPr>
      <w:strike w:val="0"/>
      <w:dstrike w:val="0"/>
      <w:color w:val="004A8F"/>
      <w:u w:val="none"/>
      <w:effect w:val="none"/>
    </w:rPr>
  </w:style>
  <w:style w:type="paragraph" w:styleId="NormalWeb">
    <w:name w:val="Normal (Web)"/>
    <w:basedOn w:val="Normal"/>
    <w:uiPriority w:val="99"/>
    <w:unhideWhenUsed/>
    <w:rsid w:val="00231385"/>
    <w:pPr>
      <w:spacing w:before="100" w:beforeAutospacing="1" w:after="100" w:afterAutospacing="1" w:line="312" w:lineRule="atLeast"/>
      <w:jc w:val="both"/>
    </w:pPr>
    <w:rPr>
      <w:lang w:val="en-US"/>
    </w:rPr>
  </w:style>
  <w:style w:type="character" w:customStyle="1" w:styleId="ala13">
    <w:name w:val="al_a13"/>
    <w:uiPriority w:val="99"/>
    <w:rsid w:val="00B7424D"/>
  </w:style>
  <w:style w:type="paragraph" w:styleId="ListParagraph">
    <w:name w:val="List Paragraph"/>
    <w:aliases w:val="Recommendatio,Párrafo de lista,Recommendation,OBC Bullet,Dot pt,F5 List Paragraph,No Spacing1,List Paragraph Char Char Char,Indicator Text,Numbered Para 1,Bullet 1,Bullet Points,List Paragraph2,L,3,References,Colorful List - Accent 11"/>
    <w:basedOn w:val="Normal"/>
    <w:link w:val="ListParagraphChar"/>
    <w:uiPriority w:val="34"/>
    <w:qFormat/>
    <w:rsid w:val="00C818E7"/>
    <w:pPr>
      <w:spacing w:after="120" w:line="360" w:lineRule="auto"/>
      <w:ind w:left="720" w:firstLine="720"/>
      <w:contextualSpacing/>
      <w:jc w:val="both"/>
    </w:pPr>
    <w:rPr>
      <w:rFonts w:ascii="Arial" w:hAnsi="Arial"/>
      <w:szCs w:val="20"/>
    </w:rPr>
  </w:style>
  <w:style w:type="paragraph" w:customStyle="1" w:styleId="CharChar3">
    <w:name w:val="Char Char3"/>
    <w:basedOn w:val="Normal"/>
    <w:semiHidden/>
    <w:rsid w:val="009269F4"/>
    <w:pPr>
      <w:tabs>
        <w:tab w:val="left" w:pos="709"/>
      </w:tabs>
    </w:pPr>
    <w:rPr>
      <w:rFonts w:ascii="Futura Bk" w:hAnsi="Futura Bk"/>
      <w:lang w:val="pl-PL" w:eastAsia="pl-PL"/>
    </w:rPr>
  </w:style>
  <w:style w:type="character" w:customStyle="1" w:styleId="BodyTextIndentChar">
    <w:name w:val="Body Text Indent Char"/>
    <w:link w:val="BodyTextIndent"/>
    <w:uiPriority w:val="99"/>
    <w:locked/>
    <w:rsid w:val="00DA31ED"/>
    <w:rPr>
      <w:sz w:val="24"/>
      <w:szCs w:val="24"/>
      <w:lang w:val="bg-BG"/>
    </w:rPr>
  </w:style>
  <w:style w:type="paragraph" w:customStyle="1" w:styleId="NormalFirstline">
    <w:name w:val="Normal + First line"/>
    <w:aliases w:val="1.25 cm,After 6 pt"/>
    <w:basedOn w:val="Normal"/>
    <w:rsid w:val="00BD3B54"/>
    <w:rPr>
      <w:sz w:val="20"/>
      <w:szCs w:val="20"/>
    </w:rPr>
  </w:style>
  <w:style w:type="paragraph" w:styleId="CommentSubject">
    <w:name w:val="annotation subject"/>
    <w:basedOn w:val="CommentText"/>
    <w:next w:val="CommentText"/>
    <w:link w:val="CommentSubjectChar"/>
    <w:semiHidden/>
    <w:rsid w:val="00381745"/>
    <w:rPr>
      <w:b/>
      <w:bCs/>
    </w:rPr>
  </w:style>
  <w:style w:type="character" w:customStyle="1" w:styleId="CommentTextChar">
    <w:name w:val="Comment Text Char"/>
    <w:link w:val="CommentText"/>
    <w:uiPriority w:val="99"/>
    <w:semiHidden/>
    <w:rsid w:val="009F38CE"/>
    <w:rPr>
      <w:lang w:eastAsia="en-US"/>
    </w:rPr>
  </w:style>
  <w:style w:type="character" w:customStyle="1" w:styleId="CommentSubjectChar">
    <w:name w:val="Comment Subject Char"/>
    <w:link w:val="CommentSubject"/>
    <w:semiHidden/>
    <w:rsid w:val="009F38CE"/>
    <w:rPr>
      <w:b/>
      <w:bCs/>
      <w:lang w:eastAsia="en-US"/>
    </w:rPr>
  </w:style>
  <w:style w:type="character" w:customStyle="1" w:styleId="TitleChar">
    <w:name w:val="Title Char"/>
    <w:link w:val="Title"/>
    <w:rsid w:val="00C1518C"/>
    <w:rPr>
      <w:b/>
      <w:sz w:val="24"/>
      <w:lang w:eastAsia="en-US"/>
    </w:rPr>
  </w:style>
  <w:style w:type="character" w:customStyle="1" w:styleId="BodyTextChar">
    <w:name w:val="Body Text Char"/>
    <w:link w:val="BodyText"/>
    <w:rsid w:val="00A10AC7"/>
    <w:rPr>
      <w:sz w:val="24"/>
      <w:szCs w:val="24"/>
      <w:lang w:val="bg-BG"/>
    </w:rPr>
  </w:style>
  <w:style w:type="paragraph" w:styleId="Revision">
    <w:name w:val="Revision"/>
    <w:hidden/>
    <w:uiPriority w:val="99"/>
    <w:semiHidden/>
    <w:rsid w:val="00F32913"/>
    <w:rPr>
      <w:sz w:val="24"/>
      <w:szCs w:val="24"/>
      <w:lang w:val="bg-BG"/>
    </w:rPr>
  </w:style>
  <w:style w:type="paragraph" w:customStyle="1" w:styleId="m">
    <w:name w:val="m"/>
    <w:basedOn w:val="Normal"/>
    <w:rsid w:val="00675E99"/>
    <w:pPr>
      <w:spacing w:before="100" w:beforeAutospacing="1" w:after="100" w:afterAutospacing="1"/>
    </w:pPr>
    <w:rPr>
      <w:lang w:eastAsia="bg-BG"/>
    </w:rPr>
  </w:style>
  <w:style w:type="character" w:customStyle="1" w:styleId="Heading1Char">
    <w:name w:val="Heading 1 Char"/>
    <w:basedOn w:val="DefaultParagraphFont"/>
    <w:link w:val="Heading1"/>
    <w:rsid w:val="002E2C27"/>
    <w:rPr>
      <w:b/>
      <w:bCs/>
      <w:sz w:val="28"/>
      <w:szCs w:val="24"/>
      <w:lang w:val="bg-BG"/>
    </w:rPr>
  </w:style>
  <w:style w:type="character" w:customStyle="1" w:styleId="ListParagraphChar">
    <w:name w:val="List Paragraph Char"/>
    <w:aliases w:val="Recommendatio Char,Párrafo de lista Char,Recommendation Char,OBC Bullet Char,Dot pt Char,F5 List Paragraph Char,No Spacing1 Char,List Paragraph Char Char Char Char,Indicator Text Char,Numbered Para 1 Char,Bullet 1 Char,L Char,3 Char"/>
    <w:link w:val="ListParagraph"/>
    <w:uiPriority w:val="34"/>
    <w:qFormat/>
    <w:locked/>
    <w:rsid w:val="00207C9E"/>
    <w:rPr>
      <w:rFonts w:ascii="Arial" w:hAnsi="Arial"/>
      <w:sz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0982">
      <w:bodyDiv w:val="1"/>
      <w:marLeft w:val="0"/>
      <w:marRight w:val="0"/>
      <w:marTop w:val="0"/>
      <w:marBottom w:val="0"/>
      <w:divBdr>
        <w:top w:val="none" w:sz="0" w:space="0" w:color="auto"/>
        <w:left w:val="none" w:sz="0" w:space="0" w:color="auto"/>
        <w:bottom w:val="none" w:sz="0" w:space="0" w:color="auto"/>
        <w:right w:val="none" w:sz="0" w:space="0" w:color="auto"/>
      </w:divBdr>
    </w:div>
    <w:div w:id="272128182">
      <w:bodyDiv w:val="1"/>
      <w:marLeft w:val="0"/>
      <w:marRight w:val="0"/>
      <w:marTop w:val="0"/>
      <w:marBottom w:val="0"/>
      <w:divBdr>
        <w:top w:val="none" w:sz="0" w:space="0" w:color="auto"/>
        <w:left w:val="none" w:sz="0" w:space="0" w:color="auto"/>
        <w:bottom w:val="none" w:sz="0" w:space="0" w:color="auto"/>
        <w:right w:val="none" w:sz="0" w:space="0" w:color="auto"/>
      </w:divBdr>
    </w:div>
    <w:div w:id="488985167">
      <w:bodyDiv w:val="1"/>
      <w:marLeft w:val="0"/>
      <w:marRight w:val="0"/>
      <w:marTop w:val="0"/>
      <w:marBottom w:val="0"/>
      <w:divBdr>
        <w:top w:val="none" w:sz="0" w:space="0" w:color="auto"/>
        <w:left w:val="none" w:sz="0" w:space="0" w:color="auto"/>
        <w:bottom w:val="none" w:sz="0" w:space="0" w:color="auto"/>
        <w:right w:val="none" w:sz="0" w:space="0" w:color="auto"/>
      </w:divBdr>
    </w:div>
    <w:div w:id="490483776">
      <w:bodyDiv w:val="1"/>
      <w:marLeft w:val="0"/>
      <w:marRight w:val="0"/>
      <w:marTop w:val="0"/>
      <w:marBottom w:val="0"/>
      <w:divBdr>
        <w:top w:val="none" w:sz="0" w:space="0" w:color="auto"/>
        <w:left w:val="none" w:sz="0" w:space="0" w:color="auto"/>
        <w:bottom w:val="none" w:sz="0" w:space="0" w:color="auto"/>
        <w:right w:val="none" w:sz="0" w:space="0" w:color="auto"/>
      </w:divBdr>
    </w:div>
    <w:div w:id="567035072">
      <w:bodyDiv w:val="1"/>
      <w:marLeft w:val="0"/>
      <w:marRight w:val="0"/>
      <w:marTop w:val="0"/>
      <w:marBottom w:val="0"/>
      <w:divBdr>
        <w:top w:val="none" w:sz="0" w:space="0" w:color="auto"/>
        <w:left w:val="none" w:sz="0" w:space="0" w:color="auto"/>
        <w:bottom w:val="none" w:sz="0" w:space="0" w:color="auto"/>
        <w:right w:val="none" w:sz="0" w:space="0" w:color="auto"/>
      </w:divBdr>
      <w:divsChild>
        <w:div w:id="1294481459">
          <w:marLeft w:val="0"/>
          <w:marRight w:val="0"/>
          <w:marTop w:val="0"/>
          <w:marBottom w:val="0"/>
          <w:divBdr>
            <w:top w:val="none" w:sz="0" w:space="0" w:color="auto"/>
            <w:left w:val="none" w:sz="0" w:space="0" w:color="auto"/>
            <w:bottom w:val="none" w:sz="0" w:space="0" w:color="auto"/>
            <w:right w:val="none" w:sz="0" w:space="0" w:color="auto"/>
          </w:divBdr>
        </w:div>
      </w:divsChild>
    </w:div>
    <w:div w:id="769817748">
      <w:bodyDiv w:val="1"/>
      <w:marLeft w:val="0"/>
      <w:marRight w:val="0"/>
      <w:marTop w:val="0"/>
      <w:marBottom w:val="0"/>
      <w:divBdr>
        <w:top w:val="none" w:sz="0" w:space="0" w:color="auto"/>
        <w:left w:val="none" w:sz="0" w:space="0" w:color="auto"/>
        <w:bottom w:val="none" w:sz="0" w:space="0" w:color="auto"/>
        <w:right w:val="none" w:sz="0" w:space="0" w:color="auto"/>
      </w:divBdr>
    </w:div>
    <w:div w:id="1059985730">
      <w:bodyDiv w:val="1"/>
      <w:marLeft w:val="0"/>
      <w:marRight w:val="0"/>
      <w:marTop w:val="0"/>
      <w:marBottom w:val="0"/>
      <w:divBdr>
        <w:top w:val="none" w:sz="0" w:space="0" w:color="auto"/>
        <w:left w:val="none" w:sz="0" w:space="0" w:color="auto"/>
        <w:bottom w:val="none" w:sz="0" w:space="0" w:color="auto"/>
        <w:right w:val="none" w:sz="0" w:space="0" w:color="auto"/>
      </w:divBdr>
    </w:div>
    <w:div w:id="1228757899">
      <w:bodyDiv w:val="1"/>
      <w:marLeft w:val="0"/>
      <w:marRight w:val="0"/>
      <w:marTop w:val="0"/>
      <w:marBottom w:val="0"/>
      <w:divBdr>
        <w:top w:val="none" w:sz="0" w:space="0" w:color="auto"/>
        <w:left w:val="none" w:sz="0" w:space="0" w:color="auto"/>
        <w:bottom w:val="none" w:sz="0" w:space="0" w:color="auto"/>
        <w:right w:val="none" w:sz="0" w:space="0" w:color="auto"/>
      </w:divBdr>
      <w:divsChild>
        <w:div w:id="1764762949">
          <w:marLeft w:val="0"/>
          <w:marRight w:val="0"/>
          <w:marTop w:val="0"/>
          <w:marBottom w:val="0"/>
          <w:divBdr>
            <w:top w:val="none" w:sz="0" w:space="0" w:color="auto"/>
            <w:left w:val="none" w:sz="0" w:space="0" w:color="auto"/>
            <w:bottom w:val="none" w:sz="0" w:space="0" w:color="auto"/>
            <w:right w:val="none" w:sz="0" w:space="0" w:color="auto"/>
          </w:divBdr>
          <w:divsChild>
            <w:div w:id="1689597285">
              <w:marLeft w:val="0"/>
              <w:marRight w:val="0"/>
              <w:marTop w:val="0"/>
              <w:marBottom w:val="0"/>
              <w:divBdr>
                <w:top w:val="none" w:sz="0" w:space="0" w:color="auto"/>
                <w:left w:val="none" w:sz="0" w:space="0" w:color="auto"/>
                <w:bottom w:val="none" w:sz="0" w:space="0" w:color="auto"/>
                <w:right w:val="none" w:sz="0" w:space="0" w:color="auto"/>
              </w:divBdr>
              <w:divsChild>
                <w:div w:id="754782278">
                  <w:marLeft w:val="0"/>
                  <w:marRight w:val="0"/>
                  <w:marTop w:val="0"/>
                  <w:marBottom w:val="0"/>
                  <w:divBdr>
                    <w:top w:val="none" w:sz="0" w:space="0" w:color="auto"/>
                    <w:left w:val="none" w:sz="0" w:space="0" w:color="auto"/>
                    <w:bottom w:val="none" w:sz="0" w:space="0" w:color="auto"/>
                    <w:right w:val="none" w:sz="0" w:space="0" w:color="auto"/>
                  </w:divBdr>
                  <w:divsChild>
                    <w:div w:id="209709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555913">
      <w:bodyDiv w:val="1"/>
      <w:marLeft w:val="0"/>
      <w:marRight w:val="0"/>
      <w:marTop w:val="0"/>
      <w:marBottom w:val="0"/>
      <w:divBdr>
        <w:top w:val="none" w:sz="0" w:space="0" w:color="auto"/>
        <w:left w:val="none" w:sz="0" w:space="0" w:color="auto"/>
        <w:bottom w:val="none" w:sz="0" w:space="0" w:color="auto"/>
        <w:right w:val="none" w:sz="0" w:space="0" w:color="auto"/>
      </w:divBdr>
      <w:divsChild>
        <w:div w:id="1132287915">
          <w:marLeft w:val="240"/>
          <w:marRight w:val="240"/>
          <w:marTop w:val="0"/>
          <w:marBottom w:val="0"/>
          <w:divBdr>
            <w:top w:val="none" w:sz="0" w:space="0" w:color="auto"/>
            <w:left w:val="none" w:sz="0" w:space="0" w:color="auto"/>
            <w:bottom w:val="none" w:sz="0" w:space="0" w:color="auto"/>
            <w:right w:val="none" w:sz="0" w:space="0" w:color="auto"/>
          </w:divBdr>
          <w:divsChild>
            <w:div w:id="2001541574">
              <w:marLeft w:val="0"/>
              <w:marRight w:val="0"/>
              <w:marTop w:val="0"/>
              <w:marBottom w:val="120"/>
              <w:divBdr>
                <w:top w:val="none" w:sz="0" w:space="0" w:color="auto"/>
                <w:left w:val="none" w:sz="0" w:space="0" w:color="auto"/>
                <w:bottom w:val="single" w:sz="6" w:space="0" w:color="A7A9AC"/>
                <w:right w:val="none" w:sz="0" w:space="0" w:color="auto"/>
              </w:divBdr>
            </w:div>
          </w:divsChild>
        </w:div>
      </w:divsChild>
    </w:div>
    <w:div w:id="1334607600">
      <w:bodyDiv w:val="1"/>
      <w:marLeft w:val="0"/>
      <w:marRight w:val="0"/>
      <w:marTop w:val="0"/>
      <w:marBottom w:val="0"/>
      <w:divBdr>
        <w:top w:val="none" w:sz="0" w:space="0" w:color="auto"/>
        <w:left w:val="none" w:sz="0" w:space="0" w:color="auto"/>
        <w:bottom w:val="none" w:sz="0" w:space="0" w:color="auto"/>
        <w:right w:val="none" w:sz="0" w:space="0" w:color="auto"/>
      </w:divBdr>
    </w:div>
    <w:div w:id="1449738080">
      <w:bodyDiv w:val="1"/>
      <w:marLeft w:val="0"/>
      <w:marRight w:val="0"/>
      <w:marTop w:val="0"/>
      <w:marBottom w:val="0"/>
      <w:divBdr>
        <w:top w:val="none" w:sz="0" w:space="0" w:color="auto"/>
        <w:left w:val="none" w:sz="0" w:space="0" w:color="auto"/>
        <w:bottom w:val="none" w:sz="0" w:space="0" w:color="auto"/>
        <w:right w:val="none" w:sz="0" w:space="0" w:color="auto"/>
      </w:divBdr>
    </w:div>
    <w:div w:id="1465393858">
      <w:bodyDiv w:val="1"/>
      <w:marLeft w:val="0"/>
      <w:marRight w:val="0"/>
      <w:marTop w:val="0"/>
      <w:marBottom w:val="0"/>
      <w:divBdr>
        <w:top w:val="none" w:sz="0" w:space="0" w:color="auto"/>
        <w:left w:val="none" w:sz="0" w:space="0" w:color="auto"/>
        <w:bottom w:val="none" w:sz="0" w:space="0" w:color="auto"/>
        <w:right w:val="none" w:sz="0" w:space="0" w:color="auto"/>
      </w:divBdr>
    </w:div>
    <w:div w:id="1640960128">
      <w:bodyDiv w:val="1"/>
      <w:marLeft w:val="0"/>
      <w:marRight w:val="0"/>
      <w:marTop w:val="0"/>
      <w:marBottom w:val="0"/>
      <w:divBdr>
        <w:top w:val="none" w:sz="0" w:space="0" w:color="auto"/>
        <w:left w:val="none" w:sz="0" w:space="0" w:color="auto"/>
        <w:bottom w:val="none" w:sz="0" w:space="0" w:color="auto"/>
        <w:right w:val="none" w:sz="0" w:space="0" w:color="auto"/>
      </w:divBdr>
    </w:div>
    <w:div w:id="1752582637">
      <w:bodyDiv w:val="1"/>
      <w:marLeft w:val="0"/>
      <w:marRight w:val="0"/>
      <w:marTop w:val="0"/>
      <w:marBottom w:val="0"/>
      <w:divBdr>
        <w:top w:val="none" w:sz="0" w:space="0" w:color="auto"/>
        <w:left w:val="none" w:sz="0" w:space="0" w:color="auto"/>
        <w:bottom w:val="none" w:sz="0" w:space="0" w:color="auto"/>
        <w:right w:val="none" w:sz="0" w:space="0" w:color="auto"/>
      </w:divBdr>
    </w:div>
    <w:div w:id="1821458686">
      <w:bodyDiv w:val="1"/>
      <w:marLeft w:val="0"/>
      <w:marRight w:val="0"/>
      <w:marTop w:val="0"/>
      <w:marBottom w:val="0"/>
      <w:divBdr>
        <w:top w:val="none" w:sz="0" w:space="0" w:color="auto"/>
        <w:left w:val="none" w:sz="0" w:space="0" w:color="auto"/>
        <w:bottom w:val="none" w:sz="0" w:space="0" w:color="auto"/>
        <w:right w:val="none" w:sz="0" w:space="0" w:color="auto"/>
      </w:divBdr>
    </w:div>
    <w:div w:id="1929189253">
      <w:bodyDiv w:val="1"/>
      <w:marLeft w:val="0"/>
      <w:marRight w:val="0"/>
      <w:marTop w:val="0"/>
      <w:marBottom w:val="0"/>
      <w:divBdr>
        <w:top w:val="none" w:sz="0" w:space="0" w:color="auto"/>
        <w:left w:val="none" w:sz="0" w:space="0" w:color="auto"/>
        <w:bottom w:val="none" w:sz="0" w:space="0" w:color="auto"/>
        <w:right w:val="none" w:sz="0" w:space="0" w:color="auto"/>
      </w:divBdr>
    </w:div>
    <w:div w:id="2005039560">
      <w:bodyDiv w:val="1"/>
      <w:marLeft w:val="0"/>
      <w:marRight w:val="0"/>
      <w:marTop w:val="0"/>
      <w:marBottom w:val="0"/>
      <w:divBdr>
        <w:top w:val="none" w:sz="0" w:space="0" w:color="auto"/>
        <w:left w:val="none" w:sz="0" w:space="0" w:color="auto"/>
        <w:bottom w:val="none" w:sz="0" w:space="0" w:color="auto"/>
        <w:right w:val="none" w:sz="0" w:space="0" w:color="auto"/>
      </w:divBdr>
    </w:div>
    <w:div w:id="2062440967">
      <w:bodyDiv w:val="1"/>
      <w:marLeft w:val="0"/>
      <w:marRight w:val="0"/>
      <w:marTop w:val="0"/>
      <w:marBottom w:val="0"/>
      <w:divBdr>
        <w:top w:val="none" w:sz="0" w:space="0" w:color="auto"/>
        <w:left w:val="none" w:sz="0" w:space="0" w:color="auto"/>
        <w:bottom w:val="none" w:sz="0" w:space="0" w:color="auto"/>
        <w:right w:val="none" w:sz="0" w:space="0" w:color="auto"/>
      </w:divBdr>
    </w:div>
    <w:div w:id="2072146161">
      <w:bodyDiv w:val="1"/>
      <w:marLeft w:val="0"/>
      <w:marRight w:val="0"/>
      <w:marTop w:val="0"/>
      <w:marBottom w:val="0"/>
      <w:divBdr>
        <w:top w:val="none" w:sz="0" w:space="0" w:color="auto"/>
        <w:left w:val="none" w:sz="0" w:space="0" w:color="auto"/>
        <w:bottom w:val="none" w:sz="0" w:space="0" w:color="auto"/>
        <w:right w:val="none" w:sz="0" w:space="0" w:color="auto"/>
      </w:divBdr>
    </w:div>
    <w:div w:id="2078552652">
      <w:bodyDiv w:val="1"/>
      <w:marLeft w:val="0"/>
      <w:marRight w:val="0"/>
      <w:marTop w:val="0"/>
      <w:marBottom w:val="0"/>
      <w:divBdr>
        <w:top w:val="none" w:sz="0" w:space="0" w:color="auto"/>
        <w:left w:val="none" w:sz="0" w:space="0" w:color="auto"/>
        <w:bottom w:val="none" w:sz="0" w:space="0" w:color="auto"/>
        <w:right w:val="none" w:sz="0" w:space="0" w:color="auto"/>
      </w:divBdr>
      <w:divsChild>
        <w:div w:id="1512406735">
          <w:marLeft w:val="0"/>
          <w:marRight w:val="0"/>
          <w:marTop w:val="0"/>
          <w:marBottom w:val="0"/>
          <w:divBdr>
            <w:top w:val="none" w:sz="0" w:space="0" w:color="auto"/>
            <w:left w:val="none" w:sz="0" w:space="0" w:color="auto"/>
            <w:bottom w:val="none" w:sz="0" w:space="0" w:color="auto"/>
            <w:right w:val="none" w:sz="0" w:space="0" w:color="auto"/>
          </w:divBdr>
          <w:divsChild>
            <w:div w:id="1991667719">
              <w:marLeft w:val="0"/>
              <w:marRight w:val="0"/>
              <w:marTop w:val="0"/>
              <w:marBottom w:val="0"/>
              <w:divBdr>
                <w:top w:val="none" w:sz="0" w:space="0" w:color="auto"/>
                <w:left w:val="none" w:sz="0" w:space="0" w:color="auto"/>
                <w:bottom w:val="none" w:sz="0" w:space="0" w:color="auto"/>
                <w:right w:val="none" w:sz="0" w:space="0" w:color="auto"/>
              </w:divBdr>
              <w:divsChild>
                <w:div w:id="1413895954">
                  <w:marLeft w:val="0"/>
                  <w:marRight w:val="0"/>
                  <w:marTop w:val="0"/>
                  <w:marBottom w:val="0"/>
                  <w:divBdr>
                    <w:top w:val="none" w:sz="0" w:space="0" w:color="auto"/>
                    <w:left w:val="none" w:sz="0" w:space="0" w:color="auto"/>
                    <w:bottom w:val="none" w:sz="0" w:space="0" w:color="auto"/>
                    <w:right w:val="none" w:sz="0" w:space="0" w:color="auto"/>
                  </w:divBdr>
                  <w:divsChild>
                    <w:div w:id="87288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mfshare\MF\&#1044;&#1066;&#1056;&#1046;&#1040;&#1042;&#1053;&#1054;%20&#1057;&#1066;&#1050;&#1056;&#1054;&#1042;&#1048;&#1065;&#1045;\&#1050;&#1041;&#1055;&#1040;\public\&#1048;&#1085;&#1092;&#1086;&#1088;&#1084;&#1072;&#1094;&#1080;&#1086;&#1085;&#1077;&#1085;%20&#1073;&#1102;&#1083;&#1077;&#1090;&#1080;&#1085;\2022\December\&#1050;&#1060;&#1055;-12-2022_s%20ednokr1.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mfshare\MF\&#1044;&#1066;&#1056;&#1046;&#1040;&#1042;&#1053;&#1054;%20&#1057;&#1066;&#1050;&#1056;&#1054;&#1042;&#1048;&#1065;&#1045;\&#1050;&#1041;&#1055;&#1040;\public\&#1048;&#1085;&#1092;&#1086;&#1088;&#1084;&#1072;&#1094;&#1080;&#1086;&#1085;&#1077;&#1085;%20&#1073;&#1102;&#1083;&#1077;&#1090;&#1080;&#1085;\2022\December\&#1050;&#1060;&#1055;-12-2022_s%20ednokr1.xlsx" TargetMode="Externa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pPr>
        <a:ln>
          <a:solidFill>
            <a:schemeClr val="tx1">
              <a:lumMod val="50000"/>
              <a:lumOff val="50000"/>
            </a:schemeClr>
          </a:solidFill>
        </a:ln>
      </c:spPr>
    </c:sideWall>
    <c:backWall>
      <c:thickness val="0"/>
      <c:spPr>
        <a:ln>
          <a:solidFill>
            <a:schemeClr val="tx1">
              <a:lumMod val="50000"/>
              <a:lumOff val="50000"/>
            </a:schemeClr>
          </a:solidFill>
        </a:ln>
      </c:spPr>
    </c:backWall>
    <c:plotArea>
      <c:layout>
        <c:manualLayout>
          <c:layoutTarget val="inner"/>
          <c:xMode val="edge"/>
          <c:yMode val="edge"/>
          <c:x val="0.36721062992125986"/>
          <c:y val="8.3333333333333329E-2"/>
          <c:w val="0.59372066543152691"/>
          <c:h val="0.83309419655876349"/>
        </c:manualLayout>
      </c:layout>
      <c:bar3DChart>
        <c:barDir val="bar"/>
        <c:grouping val="clustered"/>
        <c:varyColors val="0"/>
        <c:ser>
          <c:idx val="0"/>
          <c:order val="0"/>
          <c:tx>
            <c:strRef>
              <c:f>'КФП_ГРАФИКИ ПРИХОДИ И РАЗХОДИ'!$B$23</c:f>
              <c:strCache>
                <c:ptCount val="1"/>
                <c:pt idx="0">
                  <c:v>2021 г.</c:v>
                </c:pt>
              </c:strCache>
            </c:strRef>
          </c:tx>
          <c:spPr>
            <a:solidFill>
              <a:schemeClr val="accent2">
                <a:lumMod val="50000"/>
              </a:schemeClr>
            </a:solidFill>
          </c:spPr>
          <c:invertIfNegative val="0"/>
          <c:dLbls>
            <c:dLbl>
              <c:idx val="5"/>
              <c:layout>
                <c:manualLayout>
                  <c:x val="-8.3333333333333332E-3"/>
                  <c:y val="1.388888888888888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4097-4CF5-B4A8-2E3CB7D93BAC}"/>
                </c:ext>
              </c:extLst>
            </c:dLbl>
            <c:dLbl>
              <c:idx val="6"/>
              <c:layout>
                <c:manualLayout>
                  <c:x val="-2.4509803921568627E-2"/>
                  <c:y val="3.054101221640488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4097-4CF5-B4A8-2E3CB7D93BAC}"/>
                </c:ext>
              </c:extLst>
            </c:dLbl>
            <c:spPr>
              <a:noFill/>
              <a:ln>
                <a:noFill/>
              </a:ln>
              <a:effectLst/>
            </c:spPr>
            <c:txPr>
              <a:bodyPr/>
              <a:lstStyle/>
              <a:p>
                <a:pPr>
                  <a:defRPr sz="800">
                    <a:latin typeface="Times New Roman" pitchFamily="18" charset="0"/>
                    <a:cs typeface="Times New Roman"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'КФП_ГРАФИКИ ПРИХОДИ И РАЗХОДИ'!$A$24:$A$30</c:f>
              <c:strCache>
                <c:ptCount val="7"/>
                <c:pt idx="0">
                  <c:v>Еднократни извънредни приходи</c:v>
                </c:pt>
                <c:pt idx="1">
                  <c:v>Неданъчни приходи и помощи</c:v>
                </c:pt>
                <c:pt idx="2">
                  <c:v>Приходи от соц. и здр. вноски</c:v>
                </c:pt>
                <c:pt idx="3">
                  <c:v>Косвени данъци</c:v>
                </c:pt>
                <c:pt idx="4">
                  <c:v>Преки данъци</c:v>
                </c:pt>
                <c:pt idx="5">
                  <c:v>Данъчни приходи</c:v>
                </c:pt>
                <c:pt idx="6">
                  <c:v>Общо приходи и помощи</c:v>
                </c:pt>
              </c:strCache>
            </c:strRef>
          </c:cat>
          <c:val>
            <c:numRef>
              <c:f>'КФП_ГРАФИКИ ПРИХОДИ И РАЗХОДИ'!$B$24:$B$30</c:f>
              <c:numCache>
                <c:formatCode>0.0%</c:formatCode>
                <c:ptCount val="7"/>
                <c:pt idx="0">
                  <c:v>0</c:v>
                </c:pt>
                <c:pt idx="1">
                  <c:v>5.8398090474988812E-2</c:v>
                </c:pt>
                <c:pt idx="2">
                  <c:v>8.7978211292480318E-2</c:v>
                </c:pt>
                <c:pt idx="3">
                  <c:v>0.13650816126166651</c:v>
                </c:pt>
                <c:pt idx="4">
                  <c:v>6.9561446549381636E-2</c:v>
                </c:pt>
                <c:pt idx="5">
                  <c:v>0.29404781910352845</c:v>
                </c:pt>
                <c:pt idx="6">
                  <c:v>0.37736896245399432</c:v>
                </c:pt>
              </c:numCache>
            </c:numRef>
          </c:val>
          <c:extLst>
            <c:ext xmlns:c16="http://schemas.microsoft.com/office/drawing/2014/chart" uri="{C3380CC4-5D6E-409C-BE32-E72D297353CC}">
              <c16:uniqueId val="{00000002-4097-4CF5-B4A8-2E3CB7D93BAC}"/>
            </c:ext>
          </c:extLst>
        </c:ser>
        <c:ser>
          <c:idx val="1"/>
          <c:order val="1"/>
          <c:tx>
            <c:strRef>
              <c:f>'КФП_ГРАФИКИ ПРИХОДИ И РАЗХОДИ'!$C$23</c:f>
              <c:strCache>
                <c:ptCount val="1"/>
                <c:pt idx="0">
                  <c:v>2022 г.</c:v>
                </c:pt>
              </c:strCache>
            </c:strRef>
          </c:tx>
          <c:spPr>
            <a:pattFill prst="pct80">
              <a:fgClr>
                <a:srgbClr val="00B0F0"/>
              </a:fgClr>
              <a:bgClr>
                <a:schemeClr val="bg1"/>
              </a:bgClr>
            </a:pattFill>
          </c:spPr>
          <c:invertIfNegative val="0"/>
          <c:dLbls>
            <c:dLbl>
              <c:idx val="0"/>
              <c:layout>
                <c:manualLayout>
                  <c:x val="-5.5555555555556061E-3"/>
                  <c:y val="-1.388877437440738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4097-4CF5-B4A8-2E3CB7D93BAC}"/>
                </c:ext>
              </c:extLst>
            </c:dLbl>
            <c:dLbl>
              <c:idx val="1"/>
              <c:layout>
                <c:manualLayout>
                  <c:x val="2.7777777777777779E-3"/>
                  <c:y val="-4.6296296296295444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4097-4CF5-B4A8-2E3CB7D93BAC}"/>
                </c:ext>
              </c:extLst>
            </c:dLbl>
            <c:dLbl>
              <c:idx val="2"/>
              <c:layout>
                <c:manualLayout>
                  <c:x val="2.7777777777777779E-3"/>
                  <c:y val="-1.388888888888888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4097-4CF5-B4A8-2E3CB7D93BAC}"/>
                </c:ext>
              </c:extLst>
            </c:dLbl>
            <c:dLbl>
              <c:idx val="3"/>
              <c:layout>
                <c:manualLayout>
                  <c:x val="8.3333333333333332E-3"/>
                  <c:y val="-1.851851851851856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4097-4CF5-B4A8-2E3CB7D93BAC}"/>
                </c:ext>
              </c:extLst>
            </c:dLbl>
            <c:dLbl>
              <c:idx val="4"/>
              <c:layout>
                <c:manualLayout>
                  <c:x val="0"/>
                  <c:y val="-4.6296296296296294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4097-4CF5-B4A8-2E3CB7D93BAC}"/>
                </c:ext>
              </c:extLst>
            </c:dLbl>
            <c:dLbl>
              <c:idx val="5"/>
              <c:layout>
                <c:manualLayout>
                  <c:x val="2.0885547201336676E-5"/>
                  <c:y val="-1.679502653409199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4097-4CF5-B4A8-2E3CB7D93BAC}"/>
                </c:ext>
              </c:extLst>
            </c:dLbl>
            <c:dLbl>
              <c:idx val="6"/>
              <c:layout>
                <c:manualLayout>
                  <c:x val="-3.3823529411764704E-2"/>
                  <c:y val="-3.926701570680628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4097-4CF5-B4A8-2E3CB7D93BAC}"/>
                </c:ext>
              </c:extLst>
            </c:dLbl>
            <c:spPr>
              <a:noFill/>
              <a:ln>
                <a:noFill/>
              </a:ln>
              <a:effectLst/>
            </c:spPr>
            <c:txPr>
              <a:bodyPr/>
              <a:lstStyle/>
              <a:p>
                <a:pPr>
                  <a:defRPr sz="800" baseline="0">
                    <a:latin typeface="Times New Roman"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'КФП_ГРАФИКИ ПРИХОДИ И РАЗХОДИ'!$A$24:$A$30</c:f>
              <c:strCache>
                <c:ptCount val="7"/>
                <c:pt idx="0">
                  <c:v>Еднократни извънредни приходи</c:v>
                </c:pt>
                <c:pt idx="1">
                  <c:v>Неданъчни приходи и помощи</c:v>
                </c:pt>
                <c:pt idx="2">
                  <c:v>Приходи от соц. и здр. вноски</c:v>
                </c:pt>
                <c:pt idx="3">
                  <c:v>Косвени данъци</c:v>
                </c:pt>
                <c:pt idx="4">
                  <c:v>Преки данъци</c:v>
                </c:pt>
                <c:pt idx="5">
                  <c:v>Данъчни приходи</c:v>
                </c:pt>
                <c:pt idx="6">
                  <c:v>Общо приходи и помощи</c:v>
                </c:pt>
              </c:strCache>
            </c:strRef>
          </c:cat>
          <c:val>
            <c:numRef>
              <c:f>'КФП_ГРАФИКИ ПРИХОДИ И РАЗХОДИ'!$C$24:$C$30</c:f>
              <c:numCache>
                <c:formatCode>0.0%</c:formatCode>
                <c:ptCount val="7"/>
                <c:pt idx="0">
                  <c:v>1.9669727236207486E-2</c:v>
                </c:pt>
                <c:pt idx="1">
                  <c:v>5.4389520049941215E-2</c:v>
                </c:pt>
                <c:pt idx="2">
                  <c:v>8.5002471520518888E-2</c:v>
                </c:pt>
                <c:pt idx="3">
                  <c:v>0.13320173053288051</c:v>
                </c:pt>
                <c:pt idx="4">
                  <c:v>7.1149254973295911E-2</c:v>
                </c:pt>
                <c:pt idx="5">
                  <c:v>0.28935345702669535</c:v>
                </c:pt>
                <c:pt idx="6">
                  <c:v>0.40047549580072339</c:v>
                </c:pt>
              </c:numCache>
            </c:numRef>
          </c:val>
          <c:extLst>
            <c:ext xmlns:c16="http://schemas.microsoft.com/office/drawing/2014/chart" uri="{C3380CC4-5D6E-409C-BE32-E72D297353CC}">
              <c16:uniqueId val="{0000000A-4097-4CF5-B4A8-2E3CB7D93BAC}"/>
            </c:ext>
          </c:extLst>
        </c:ser>
        <c:dLbls>
          <c:showLegendKey val="0"/>
          <c:showVal val="0"/>
          <c:showCatName val="0"/>
          <c:showSerName val="0"/>
          <c:showPercent val="0"/>
          <c:showBubbleSize val="0"/>
        </c:dLbls>
        <c:gapWidth val="150"/>
        <c:shape val="cylinder"/>
        <c:axId val="145796096"/>
        <c:axId val="145797888"/>
        <c:axId val="0"/>
      </c:bar3DChart>
      <c:catAx>
        <c:axId val="145796096"/>
        <c:scaling>
          <c:orientation val="minMax"/>
        </c:scaling>
        <c:delete val="0"/>
        <c:axPos val="l"/>
        <c:numFmt formatCode="General" sourceLinked="0"/>
        <c:majorTickMark val="out"/>
        <c:minorTickMark val="none"/>
        <c:tickLblPos val="nextTo"/>
        <c:txPr>
          <a:bodyPr/>
          <a:lstStyle/>
          <a:p>
            <a:pPr>
              <a:defRPr sz="900">
                <a:latin typeface="Times New Roman" pitchFamily="18" charset="0"/>
                <a:cs typeface="Times New Roman" pitchFamily="18" charset="0"/>
              </a:defRPr>
            </a:pPr>
            <a:endParaRPr lang="bg-BG"/>
          </a:p>
        </c:txPr>
        <c:crossAx val="145797888"/>
        <c:crossesAt val="0"/>
        <c:auto val="1"/>
        <c:lblAlgn val="ctr"/>
        <c:lblOffset val="100"/>
        <c:noMultiLvlLbl val="0"/>
      </c:catAx>
      <c:valAx>
        <c:axId val="145797888"/>
        <c:scaling>
          <c:orientation val="minMax"/>
          <c:max val="0.4"/>
        </c:scaling>
        <c:delete val="0"/>
        <c:axPos val="b"/>
        <c:majorGridlines>
          <c:spPr>
            <a:ln>
              <a:noFill/>
            </a:ln>
          </c:spPr>
        </c:majorGridlines>
        <c:numFmt formatCode="0.0%" sourceLinked="1"/>
        <c:majorTickMark val="out"/>
        <c:minorTickMark val="none"/>
        <c:tickLblPos val="nextTo"/>
        <c:txPr>
          <a:bodyPr/>
          <a:lstStyle/>
          <a:p>
            <a:pPr>
              <a:defRPr sz="800"/>
            </a:pPr>
            <a:endParaRPr lang="bg-BG"/>
          </a:p>
        </c:txPr>
        <c:crossAx val="145796096"/>
        <c:crosses val="autoZero"/>
        <c:crossBetween val="between"/>
      </c:valAx>
    </c:plotArea>
    <c:legend>
      <c:legendPos val="r"/>
      <c:layout>
        <c:manualLayout>
          <c:xMode val="edge"/>
          <c:yMode val="edge"/>
          <c:x val="1.7940069991251067E-2"/>
          <c:y val="0.90798556430446209"/>
          <c:w val="0.19039326334208226"/>
          <c:h val="9.1436278798483511E-2"/>
        </c:manualLayout>
      </c:layout>
      <c:overlay val="0"/>
      <c:txPr>
        <a:bodyPr/>
        <a:lstStyle/>
        <a:p>
          <a:pPr>
            <a:defRPr sz="800"/>
          </a:pPr>
          <a:endParaRPr lang="bg-BG"/>
        </a:p>
      </c:txPr>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90"/>
      <c:rAngAx val="1"/>
    </c:view3D>
    <c:floor>
      <c:thickness val="0"/>
    </c:floor>
    <c:sideWall>
      <c:thickness val="0"/>
      <c:spPr>
        <a:ln>
          <a:solidFill>
            <a:schemeClr val="tx1">
              <a:lumMod val="50000"/>
              <a:lumOff val="50000"/>
            </a:schemeClr>
          </a:solidFill>
        </a:ln>
      </c:spPr>
    </c:sideWall>
    <c:backWall>
      <c:thickness val="0"/>
      <c:spPr>
        <a:ln>
          <a:solidFill>
            <a:schemeClr val="tx1">
              <a:lumMod val="50000"/>
              <a:lumOff val="50000"/>
            </a:schemeClr>
          </a:solidFill>
        </a:ln>
      </c:spPr>
    </c:backWall>
    <c:plotArea>
      <c:layout>
        <c:manualLayout>
          <c:layoutTarget val="inner"/>
          <c:xMode val="edge"/>
          <c:yMode val="edge"/>
          <c:x val="0.354413584044182"/>
          <c:y val="9.409110151553636E-2"/>
          <c:w val="0.6045115288927646"/>
          <c:h val="0.83055739000366891"/>
        </c:manualLayout>
      </c:layout>
      <c:bar3DChart>
        <c:barDir val="bar"/>
        <c:grouping val="clustered"/>
        <c:varyColors val="0"/>
        <c:ser>
          <c:idx val="0"/>
          <c:order val="0"/>
          <c:tx>
            <c:strRef>
              <c:f>'КФП_ГРАФИКИ ПРИХОДИ И РАЗХОДИ'!$B$48</c:f>
              <c:strCache>
                <c:ptCount val="1"/>
                <c:pt idx="0">
                  <c:v>2021 г.</c:v>
                </c:pt>
              </c:strCache>
            </c:strRef>
          </c:tx>
          <c:spPr>
            <a:solidFill>
              <a:schemeClr val="accent2">
                <a:lumMod val="50000"/>
              </a:schemeClr>
            </a:solidFill>
          </c:spPr>
          <c:invertIfNegative val="0"/>
          <c:dLbls>
            <c:dLbl>
              <c:idx val="0"/>
              <c:layout>
                <c:manualLayout>
                  <c:x val="8.6805555555555559E-3"/>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8CBB-4151-ABF1-05CE0694341D}"/>
                </c:ext>
              </c:extLst>
            </c:dLbl>
            <c:dLbl>
              <c:idx val="1"/>
              <c:layout>
                <c:manualLayout>
                  <c:x val="8.6805555555555559E-3"/>
                  <c:y val="-6.8446269678302529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8CBB-4151-ABF1-05CE0694341D}"/>
                </c:ext>
              </c:extLst>
            </c:dLbl>
            <c:dLbl>
              <c:idx val="7"/>
              <c:layout>
                <c:manualLayout>
                  <c:x val="6.5189605205599301E-3"/>
                  <c:y val="-3.5159314763073641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8CBB-4151-ABF1-05CE0694341D}"/>
                </c:ext>
              </c:extLst>
            </c:dLbl>
            <c:dLbl>
              <c:idx val="8"/>
              <c:layout>
                <c:manualLayout>
                  <c:x val="2.170138888888889E-3"/>
                  <c:y val="1.075268817204301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8CBB-4151-ABF1-05CE0694341D}"/>
                </c:ext>
              </c:extLst>
            </c:dLbl>
            <c:spPr>
              <a:noFill/>
              <a:ln>
                <a:noFill/>
              </a:ln>
              <a:effectLst/>
            </c:spPr>
            <c:txPr>
              <a:bodyPr/>
              <a:lstStyle/>
              <a:p>
                <a:pPr>
                  <a:defRPr sz="850" b="0" i="0" u="none" strike="noStrike" baseline="0">
                    <a:solidFill>
                      <a:srgbClr val="000000"/>
                    </a:solidFill>
                    <a:latin typeface="Times New Roman"/>
                    <a:ea typeface="Times New Roman"/>
                    <a:cs typeface="Times New Roman"/>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'КФП_ГРАФИКИ ПРИХОДИ И РАЗХОДИ'!$A$49:$A$57</c:f>
              <c:strCache>
                <c:ptCount val="9"/>
                <c:pt idx="0">
                  <c:v>Еднократни извънредни разходи</c:v>
                </c:pt>
                <c:pt idx="1">
                  <c:v>Предост. тек. и капит. трансфери за чужбина</c:v>
                </c:pt>
                <c:pt idx="2">
                  <c:v>Капиталови разходи*</c:v>
                </c:pt>
                <c:pt idx="3">
                  <c:v>Субсидии</c:v>
                </c:pt>
                <c:pt idx="4">
                  <c:v>Социални разходи, стипендии</c:v>
                </c:pt>
                <c:pt idx="5">
                  <c:v>Лихвени разходи</c:v>
                </c:pt>
                <c:pt idx="6">
                  <c:v>Издръжка</c:v>
                </c:pt>
                <c:pt idx="7">
                  <c:v>Разходи за персонал</c:v>
                </c:pt>
                <c:pt idx="8">
                  <c:v>Вноска в бюджета на ЕС</c:v>
                </c:pt>
              </c:strCache>
            </c:strRef>
          </c:cat>
          <c:val>
            <c:numRef>
              <c:f>'КФП_ГРАФИКИ ПРИХОДИ И РАЗХОДИ'!$B$49:$B$57</c:f>
              <c:numCache>
                <c:formatCode>0.00%</c:formatCode>
                <c:ptCount val="9"/>
                <c:pt idx="0" formatCode="0.0%">
                  <c:v>0</c:v>
                </c:pt>
                <c:pt idx="1">
                  <c:v>3.3697488956555151E-4</c:v>
                </c:pt>
                <c:pt idx="2" formatCode="0.0%">
                  <c:v>2.7849284775026795E-2</c:v>
                </c:pt>
                <c:pt idx="3" formatCode="0.0%">
                  <c:v>5.6728237977163615E-2</c:v>
                </c:pt>
                <c:pt idx="4" formatCode="0.0%">
                  <c:v>0.16821283679742655</c:v>
                </c:pt>
                <c:pt idx="5" formatCode="0.0%">
                  <c:v>4.521838278302364E-3</c:v>
                </c:pt>
                <c:pt idx="6" formatCode="0.0%">
                  <c:v>3.9304105493301579E-2</c:v>
                </c:pt>
                <c:pt idx="7" formatCode="0.0%">
                  <c:v>9.5618746409041569E-2</c:v>
                </c:pt>
                <c:pt idx="8" formatCode="0.0%">
                  <c:v>1.2092641444107873E-2</c:v>
                </c:pt>
              </c:numCache>
            </c:numRef>
          </c:val>
          <c:extLst>
            <c:ext xmlns:c16="http://schemas.microsoft.com/office/drawing/2014/chart" uri="{C3380CC4-5D6E-409C-BE32-E72D297353CC}">
              <c16:uniqueId val="{00000004-8CBB-4151-ABF1-05CE0694341D}"/>
            </c:ext>
          </c:extLst>
        </c:ser>
        <c:ser>
          <c:idx val="1"/>
          <c:order val="1"/>
          <c:tx>
            <c:strRef>
              <c:f>'КФП_ГРАФИКИ ПРИХОДИ И РАЗХОДИ'!$C$48</c:f>
              <c:strCache>
                <c:ptCount val="1"/>
                <c:pt idx="0">
                  <c:v>2022 г.</c:v>
                </c:pt>
              </c:strCache>
            </c:strRef>
          </c:tx>
          <c:spPr>
            <a:pattFill prst="trellis">
              <a:fgClr>
                <a:srgbClr val="00B0F0"/>
              </a:fgClr>
              <a:bgClr>
                <a:schemeClr val="bg1"/>
              </a:bgClr>
            </a:pattFill>
            <a:ln>
              <a:solidFill>
                <a:schemeClr val="tx1">
                  <a:tint val="75000"/>
                  <a:shade val="95000"/>
                  <a:satMod val="105000"/>
                </a:schemeClr>
              </a:solidFill>
            </a:ln>
          </c:spPr>
          <c:invertIfNegative val="0"/>
          <c:dLbls>
            <c:dLbl>
              <c:idx val="0"/>
              <c:layout>
                <c:manualLayout>
                  <c:x val="1.0850694444444444E-2"/>
                  <c:y val="-1.075268817204301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8CBB-4151-ABF1-05CE0694341D}"/>
                </c:ext>
              </c:extLst>
            </c:dLbl>
            <c:dLbl>
              <c:idx val="1"/>
              <c:layout>
                <c:manualLayout>
                  <c:x val="8.6805555555555559E-3"/>
                  <c:y val="-1.433691756272401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8CBB-4151-ABF1-05CE0694341D}"/>
                </c:ext>
              </c:extLst>
            </c:dLbl>
            <c:dLbl>
              <c:idx val="2"/>
              <c:layout>
                <c:manualLayout>
                  <c:x val="6.510416666666667E-3"/>
                  <c:y val="-1.075268817204301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8CBB-4151-ABF1-05CE0694341D}"/>
                </c:ext>
              </c:extLst>
            </c:dLbl>
            <c:dLbl>
              <c:idx val="3"/>
              <c:layout>
                <c:manualLayout>
                  <c:x val="2.1701388888889683E-3"/>
                  <c:y val="-1.792114695340508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8CBB-4151-ABF1-05CE0694341D}"/>
                </c:ext>
              </c:extLst>
            </c:dLbl>
            <c:dLbl>
              <c:idx val="4"/>
              <c:layout>
                <c:manualLayout>
                  <c:x val="4.340277777777778E-3"/>
                  <c:y val="-1.433691756272401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8CBB-4151-ABF1-05CE0694341D}"/>
                </c:ext>
              </c:extLst>
            </c:dLbl>
            <c:dLbl>
              <c:idx val="5"/>
              <c:layout>
                <c:manualLayout>
                  <c:x val="4.340277777777778E-3"/>
                  <c:y val="-1.433691756272401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8CBB-4151-ABF1-05CE0694341D}"/>
                </c:ext>
              </c:extLst>
            </c:dLbl>
            <c:dLbl>
              <c:idx val="6"/>
              <c:layout>
                <c:manualLayout>
                  <c:x val="4.340277777777778E-3"/>
                  <c:y val="-1.433691756272401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8CBB-4151-ABF1-05CE0694341D}"/>
                </c:ext>
              </c:extLst>
            </c:dLbl>
            <c:dLbl>
              <c:idx val="7"/>
              <c:layout>
                <c:manualLayout>
                  <c:x val="2.170138888888889E-3"/>
                  <c:y val="-1.433691756272401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8CBB-4151-ABF1-05CE0694341D}"/>
                </c:ext>
              </c:extLst>
            </c:dLbl>
            <c:dLbl>
              <c:idx val="8"/>
              <c:layout>
                <c:manualLayout>
                  <c:x val="8.6805555555555559E-3"/>
                  <c:y val="-1.075268817204301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8CBB-4151-ABF1-05CE0694341D}"/>
                </c:ext>
              </c:extLst>
            </c:dLbl>
            <c:spPr>
              <a:noFill/>
              <a:ln>
                <a:noFill/>
              </a:ln>
              <a:effectLst/>
            </c:spPr>
            <c:txPr>
              <a:bodyPr/>
              <a:lstStyle/>
              <a:p>
                <a:pPr>
                  <a:defRPr sz="850" b="0" i="0" u="none" strike="noStrike" baseline="0">
                    <a:solidFill>
                      <a:srgbClr val="000000"/>
                    </a:solidFill>
                    <a:latin typeface="Times New Roman"/>
                    <a:ea typeface="Times New Roman"/>
                    <a:cs typeface="Times New Roman"/>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'КФП_ГРАФИКИ ПРИХОДИ И РАЗХОДИ'!$A$49:$A$57</c:f>
              <c:strCache>
                <c:ptCount val="9"/>
                <c:pt idx="0">
                  <c:v>Еднократни извънредни разходи</c:v>
                </c:pt>
                <c:pt idx="1">
                  <c:v>Предост. тек. и капит. трансфери за чужбина</c:v>
                </c:pt>
                <c:pt idx="2">
                  <c:v>Капиталови разходи*</c:v>
                </c:pt>
                <c:pt idx="3">
                  <c:v>Субсидии</c:v>
                </c:pt>
                <c:pt idx="4">
                  <c:v>Социални разходи, стипендии</c:v>
                </c:pt>
                <c:pt idx="5">
                  <c:v>Лихвени разходи</c:v>
                </c:pt>
                <c:pt idx="6">
                  <c:v>Издръжка</c:v>
                </c:pt>
                <c:pt idx="7">
                  <c:v>Разходи за персонал</c:v>
                </c:pt>
                <c:pt idx="8">
                  <c:v>Вноска в бюджета на ЕС</c:v>
                </c:pt>
              </c:strCache>
            </c:strRef>
          </c:cat>
          <c:val>
            <c:numRef>
              <c:f>'КФП_ГРАФИКИ ПРИХОДИ И РАЗХОДИ'!$C$49:$C$57</c:f>
              <c:numCache>
                <c:formatCode>0.00%</c:formatCode>
                <c:ptCount val="9"/>
                <c:pt idx="0" formatCode="0.0%">
                  <c:v>1.9669727236207486E-2</c:v>
                </c:pt>
                <c:pt idx="1">
                  <c:v>2.9417379632778779E-4</c:v>
                </c:pt>
                <c:pt idx="2" formatCode="0.0%">
                  <c:v>3.5225688515050438E-2</c:v>
                </c:pt>
                <c:pt idx="3" formatCode="0.0%">
                  <c:v>4.5107108533667596E-2</c:v>
                </c:pt>
                <c:pt idx="4" formatCode="0.0%">
                  <c:v>0.1594354652912659</c:v>
                </c:pt>
                <c:pt idx="5" formatCode="0.0%">
                  <c:v>4.031095154522153E-3</c:v>
                </c:pt>
                <c:pt idx="6" formatCode="0.0%">
                  <c:v>4.4047646205546735E-2</c:v>
                </c:pt>
                <c:pt idx="7" formatCode="0.0%">
                  <c:v>9.0452408108561852E-2</c:v>
                </c:pt>
                <c:pt idx="8" formatCode="0.0%">
                  <c:v>1.0542979163397177E-2</c:v>
                </c:pt>
              </c:numCache>
            </c:numRef>
          </c:val>
          <c:extLst>
            <c:ext xmlns:c16="http://schemas.microsoft.com/office/drawing/2014/chart" uri="{C3380CC4-5D6E-409C-BE32-E72D297353CC}">
              <c16:uniqueId val="{0000000E-8CBB-4151-ABF1-05CE0694341D}"/>
            </c:ext>
          </c:extLst>
        </c:ser>
        <c:dLbls>
          <c:showLegendKey val="0"/>
          <c:showVal val="0"/>
          <c:showCatName val="0"/>
          <c:showSerName val="0"/>
          <c:showPercent val="0"/>
          <c:showBubbleSize val="0"/>
        </c:dLbls>
        <c:gapWidth val="150"/>
        <c:shape val="cylinder"/>
        <c:axId val="145763712"/>
        <c:axId val="145773696"/>
        <c:axId val="0"/>
      </c:bar3DChart>
      <c:catAx>
        <c:axId val="145763712"/>
        <c:scaling>
          <c:orientation val="minMax"/>
        </c:scaling>
        <c:delete val="0"/>
        <c:axPos val="l"/>
        <c:numFmt formatCode="General" sourceLinked="1"/>
        <c:majorTickMark val="none"/>
        <c:minorTickMark val="none"/>
        <c:tickLblPos val="nextTo"/>
        <c:txPr>
          <a:bodyPr rot="0" vert="horz"/>
          <a:lstStyle/>
          <a:p>
            <a:pPr>
              <a:defRPr sz="870" b="0" i="0" u="none" strike="noStrike" baseline="0">
                <a:solidFill>
                  <a:srgbClr val="000000"/>
                </a:solidFill>
                <a:latin typeface="Times New Roman"/>
                <a:ea typeface="Times New Roman"/>
                <a:cs typeface="Times New Roman"/>
              </a:defRPr>
            </a:pPr>
            <a:endParaRPr lang="bg-BG"/>
          </a:p>
        </c:txPr>
        <c:crossAx val="145773696"/>
        <c:crosses val="autoZero"/>
        <c:auto val="1"/>
        <c:lblAlgn val="ctr"/>
        <c:lblOffset val="100"/>
        <c:noMultiLvlLbl val="0"/>
      </c:catAx>
      <c:valAx>
        <c:axId val="145773696"/>
        <c:scaling>
          <c:orientation val="minMax"/>
        </c:scaling>
        <c:delete val="0"/>
        <c:axPos val="b"/>
        <c:majorGridlines>
          <c:spPr>
            <a:ln>
              <a:noFill/>
            </a:ln>
          </c:spPr>
        </c:majorGridlines>
        <c:numFmt formatCode="0.0%" sourceLinked="0"/>
        <c:majorTickMark val="none"/>
        <c:minorTickMark val="none"/>
        <c:tickLblPos val="nextTo"/>
        <c:txPr>
          <a:bodyPr rot="0" vert="horz"/>
          <a:lstStyle/>
          <a:p>
            <a:pPr>
              <a:defRPr sz="800" b="0" i="0" u="none" strike="noStrike" baseline="0">
                <a:solidFill>
                  <a:srgbClr val="000000"/>
                </a:solidFill>
                <a:latin typeface="Times New Roman"/>
                <a:ea typeface="Times New Roman"/>
                <a:cs typeface="Times New Roman"/>
              </a:defRPr>
            </a:pPr>
            <a:endParaRPr lang="bg-BG"/>
          </a:p>
        </c:txPr>
        <c:crossAx val="145763712"/>
        <c:crosses val="autoZero"/>
        <c:crossBetween val="between"/>
      </c:valAx>
    </c:plotArea>
    <c:legend>
      <c:legendPos val="r"/>
      <c:layout>
        <c:manualLayout>
          <c:xMode val="edge"/>
          <c:yMode val="edge"/>
          <c:x val="8.2465277777777797E-3"/>
          <c:y val="0.94842547907318042"/>
          <c:w val="0.17954430500874891"/>
          <c:h val="5.1574520926819634E-2"/>
        </c:manualLayout>
      </c:layout>
      <c:overlay val="0"/>
      <c:txPr>
        <a:bodyPr/>
        <a:lstStyle/>
        <a:p>
          <a:pPr>
            <a:defRPr sz="710" b="0" i="0" u="none" strike="noStrike" baseline="0">
              <a:solidFill>
                <a:srgbClr val="000000"/>
              </a:solidFill>
              <a:latin typeface="Times New Roman"/>
              <a:ea typeface="Times New Roman"/>
              <a:cs typeface="Times New Roman"/>
            </a:defRPr>
          </a:pPr>
          <a:endParaRPr lang="bg-BG"/>
        </a:p>
      </c:txPr>
    </c:legend>
    <c:plotVisOnly val="1"/>
    <c:dispBlanksAs val="gap"/>
    <c:showDLblsOverMax val="0"/>
  </c:chart>
  <c:spPr>
    <a:ln>
      <a:solidFill>
        <a:schemeClr val="tx1"/>
      </a:solidFill>
      <a:prstDash val="solid"/>
    </a:ln>
  </c:spPr>
  <c:txPr>
    <a:bodyPr/>
    <a:lstStyle/>
    <a:p>
      <a:pPr>
        <a:defRPr sz="1000" b="0" i="0" u="none" strike="noStrike" baseline="0">
          <a:solidFill>
            <a:srgbClr val="000000"/>
          </a:solidFill>
          <a:latin typeface="Times New Roman"/>
          <a:ea typeface="Times New Roman"/>
          <a:cs typeface="Times New Roman"/>
        </a:defRPr>
      </a:pPr>
      <a:endParaRPr lang="bg-BG"/>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0" i="0" u="none" strike="noStrike" baseline="0">
                <a:solidFill>
                  <a:srgbClr val="000000"/>
                </a:solidFill>
                <a:latin typeface="Arial"/>
                <a:ea typeface="Arial"/>
                <a:cs typeface="Arial"/>
              </a:defRPr>
            </a:pPr>
            <a:r>
              <a:rPr lang="en-US" sz="1000" b="1" i="0" u="none" strike="noStrike" baseline="0">
                <a:solidFill>
                  <a:srgbClr val="000000"/>
                </a:solidFill>
                <a:latin typeface="Times New Roman"/>
                <a:cs typeface="Times New Roman"/>
              </a:rPr>
              <a:t>Приходи</a:t>
            </a:r>
            <a:r>
              <a:rPr lang="bg-BG" sz="1000" b="1" i="0" u="none" strike="noStrike" baseline="0">
                <a:solidFill>
                  <a:srgbClr val="000000"/>
                </a:solidFill>
                <a:latin typeface="Times New Roman"/>
                <a:cs typeface="Times New Roman"/>
              </a:rPr>
              <a:t>, </a:t>
            </a:r>
            <a:r>
              <a:rPr lang="en-US" sz="1000" b="1" i="0" u="none" strike="noStrike" baseline="0">
                <a:solidFill>
                  <a:srgbClr val="000000"/>
                </a:solidFill>
                <a:latin typeface="Times New Roman"/>
                <a:cs typeface="Times New Roman"/>
              </a:rPr>
              <a:t>помощи </a:t>
            </a:r>
            <a:r>
              <a:rPr lang="bg-BG" sz="1000" b="1" i="0" u="none" strike="noStrike" baseline="0">
                <a:solidFill>
                  <a:srgbClr val="000000"/>
                </a:solidFill>
                <a:latin typeface="Times New Roman"/>
                <a:cs typeface="Times New Roman"/>
              </a:rPr>
              <a:t>и дарения </a:t>
            </a:r>
            <a:r>
              <a:rPr lang="en-US" sz="1000" b="1" i="0" u="none" strike="noStrike" baseline="0">
                <a:solidFill>
                  <a:srgbClr val="000000"/>
                </a:solidFill>
                <a:latin typeface="Times New Roman"/>
                <a:cs typeface="Times New Roman"/>
              </a:rPr>
              <a:t>по консолидираната фискална програма</a:t>
            </a:r>
          </a:p>
          <a:p>
            <a:pPr>
              <a:defRPr sz="1200" b="0" i="0" u="none" strike="noStrike" baseline="0">
                <a:solidFill>
                  <a:srgbClr val="000000"/>
                </a:solidFill>
                <a:latin typeface="Arial"/>
                <a:ea typeface="Arial"/>
                <a:cs typeface="Arial"/>
              </a:defRPr>
            </a:pPr>
            <a:r>
              <a:rPr lang="en-US" sz="1000" b="1" i="0" u="none" strike="noStrike" baseline="0">
                <a:solidFill>
                  <a:srgbClr val="000000"/>
                </a:solidFill>
                <a:latin typeface="Times New Roman"/>
                <a:cs typeface="Times New Roman"/>
              </a:rPr>
              <a:t> </a:t>
            </a:r>
            <a:r>
              <a:rPr lang="bg-BG" sz="1000" b="1" i="0" u="none" strike="noStrike" kern="1200" baseline="0">
                <a:solidFill>
                  <a:srgbClr val="000000"/>
                </a:solidFill>
                <a:latin typeface="Times New Roman"/>
                <a:cs typeface="Times New Roman"/>
              </a:rPr>
              <a:t>за</a:t>
            </a:r>
            <a:r>
              <a:rPr lang="bg-BG" sz="1000" b="1" i="0" u="none" strike="noStrike" baseline="0">
                <a:solidFill>
                  <a:srgbClr val="000000"/>
                </a:solidFill>
                <a:latin typeface="Times New Roman"/>
                <a:cs typeface="Times New Roman"/>
              </a:rPr>
              <a:t> 2021 </a:t>
            </a:r>
            <a:r>
              <a:rPr lang="en-US" sz="1000" b="1" i="0" u="none" strike="noStrike" baseline="0">
                <a:solidFill>
                  <a:srgbClr val="000000"/>
                </a:solidFill>
                <a:latin typeface="Times New Roman"/>
                <a:cs typeface="Times New Roman"/>
              </a:rPr>
              <a:t>г. и 20</a:t>
            </a:r>
            <a:r>
              <a:rPr lang="bg-BG" sz="1000" b="1" i="0" u="none" strike="noStrike" baseline="0">
                <a:solidFill>
                  <a:srgbClr val="000000"/>
                </a:solidFill>
                <a:latin typeface="Times New Roman"/>
                <a:cs typeface="Times New Roman"/>
              </a:rPr>
              <a:t>22</a:t>
            </a:r>
            <a:r>
              <a:rPr lang="en-US" sz="1000" b="1" i="0" u="none" strike="noStrike" baseline="0">
                <a:solidFill>
                  <a:srgbClr val="000000"/>
                </a:solidFill>
                <a:latin typeface="Times New Roman"/>
                <a:cs typeface="Times New Roman"/>
              </a:rPr>
              <a:t> г.</a:t>
            </a:r>
          </a:p>
        </c:rich>
      </c:tx>
      <c:layout>
        <c:manualLayout>
          <c:xMode val="edge"/>
          <c:yMode val="edge"/>
          <c:x val="0.24029600466608494"/>
          <c:y val="1.0544500119303555E-3"/>
        </c:manualLayout>
      </c:layout>
      <c:overlay val="0"/>
      <c:spPr>
        <a:noFill/>
        <a:ln w="25398">
          <a:noFill/>
        </a:ln>
      </c:spPr>
    </c:title>
    <c:autoTitleDeleted val="0"/>
    <c:view3D>
      <c:rotX val="24"/>
      <c:rotY val="40"/>
      <c:depthPercent val="100"/>
      <c:rAngAx val="1"/>
    </c:view3D>
    <c:floor>
      <c:thickness val="0"/>
      <c:spPr>
        <a:solidFill>
          <a:srgbClr val="C0C0C0"/>
        </a:solidFill>
        <a:ln w="3175">
          <a:solidFill>
            <a:srgbClr val="000000"/>
          </a:solidFill>
          <a:prstDash val="solid"/>
        </a:ln>
      </c:spPr>
    </c:floor>
    <c:sideWall>
      <c:thickness val="0"/>
      <c:spPr>
        <a:gradFill rotWithShape="0">
          <a:gsLst>
            <a:gs pos="0">
              <a:schemeClr val="bg1"/>
            </a:gs>
            <a:gs pos="100000">
              <a:srgbClr val="000000">
                <a:gamma/>
                <a:shade val="46275"/>
                <a:invGamma/>
              </a:srgbClr>
            </a:gs>
          </a:gsLst>
          <a:lin ang="5400000" scaled="1"/>
        </a:gradFill>
        <a:ln w="3175">
          <a:solidFill>
            <a:srgbClr val="FFFFFF"/>
          </a:solidFill>
          <a:prstDash val="solid"/>
        </a:ln>
      </c:spPr>
    </c:sideWall>
    <c:backWall>
      <c:thickness val="0"/>
      <c:spPr>
        <a:gradFill rotWithShape="0">
          <a:gsLst>
            <a:gs pos="0">
              <a:schemeClr val="bg1"/>
            </a:gs>
            <a:gs pos="100000">
              <a:srgbClr val="000000">
                <a:gamma/>
                <a:shade val="46275"/>
                <a:invGamma/>
              </a:srgbClr>
            </a:gs>
          </a:gsLst>
          <a:lin ang="5400000" scaled="1"/>
        </a:gradFill>
        <a:ln w="3175">
          <a:solidFill>
            <a:srgbClr val="FFFFFF"/>
          </a:solidFill>
          <a:prstDash val="solid"/>
        </a:ln>
      </c:spPr>
    </c:backWall>
    <c:plotArea>
      <c:layout>
        <c:manualLayout>
          <c:layoutTarget val="inner"/>
          <c:xMode val="edge"/>
          <c:yMode val="edge"/>
          <c:x val="0.25095340355182877"/>
          <c:y val="0.14577781142741791"/>
          <c:w val="0.69015203420858928"/>
          <c:h val="0.67847832121946294"/>
        </c:manualLayout>
      </c:layout>
      <c:bar3DChart>
        <c:barDir val="bar"/>
        <c:grouping val="clustered"/>
        <c:varyColors val="0"/>
        <c:ser>
          <c:idx val="1"/>
          <c:order val="0"/>
          <c:tx>
            <c:strRef>
              <c:f>data!$C$1</c:f>
              <c:strCache>
                <c:ptCount val="1"/>
                <c:pt idx="0">
                  <c:v>  2022 г.</c:v>
                </c:pt>
              </c:strCache>
            </c:strRef>
          </c:tx>
          <c:spPr>
            <a:pattFill prst="pct80">
              <a:fgClr>
                <a:srgbClr val="C0C0C0"/>
              </a:fgClr>
              <a:bgClr>
                <a:srgbClr val="993366"/>
              </a:bgClr>
            </a:pattFill>
            <a:ln w="12699">
              <a:solidFill>
                <a:srgbClr val="000000"/>
              </a:solidFill>
              <a:prstDash val="solid"/>
            </a:ln>
          </c:spPr>
          <c:invertIfNegative val="0"/>
          <c:dLbls>
            <c:dLbl>
              <c:idx val="0"/>
              <c:layout>
                <c:manualLayout>
                  <c:x val="-1.7685224157932018E-2"/>
                  <c:y val="3.5399516821760916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6D50-4A7E-9426-E77769B4F874}"/>
                </c:ext>
              </c:extLst>
            </c:dLbl>
            <c:dLbl>
              <c:idx val="1"/>
              <c:layout>
                <c:manualLayout>
                  <c:x val="4.5585447652376834E-3"/>
                  <c:y val="-1.14581425868278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6D50-4A7E-9426-E77769B4F874}"/>
                </c:ext>
              </c:extLst>
            </c:dLbl>
            <c:dLbl>
              <c:idx val="2"/>
              <c:layout>
                <c:manualLayout>
                  <c:x val="1.0431274317568191E-2"/>
                  <c:y val="1.213687067525650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6D50-4A7E-9426-E77769B4F874}"/>
                </c:ext>
              </c:extLst>
            </c:dLbl>
            <c:dLbl>
              <c:idx val="3"/>
              <c:layout>
                <c:manualLayout>
                  <c:x val="1.6873868602147932E-3"/>
                  <c:y val="-1.9278662610356392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6D50-4A7E-9426-E77769B4F874}"/>
                </c:ext>
              </c:extLst>
            </c:dLbl>
            <c:dLbl>
              <c:idx val="4"/>
              <c:layout>
                <c:manualLayout>
                  <c:x val="1.3961748914370963E-3"/>
                  <c:y val="-8.6163057742782156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6D50-4A7E-9426-E77769B4F874}"/>
                </c:ext>
              </c:extLst>
            </c:dLbl>
            <c:dLbl>
              <c:idx val="5"/>
              <c:layout>
                <c:manualLayout>
                  <c:xMode val="edge"/>
                  <c:yMode val="edge"/>
                  <c:x val="0.86038349087668353"/>
                  <c:y val="1.3043502490371705E-2"/>
                </c:manualLayout>
              </c:layout>
              <c:spPr>
                <a:solidFill>
                  <a:srgbClr val="FFFFFF"/>
                </a:solidFill>
                <a:ln w="25398">
                  <a:noFill/>
                </a:ln>
              </c:spPr>
              <c:txPr>
                <a:bodyPr/>
                <a:lstStyle/>
                <a:p>
                  <a:pPr>
                    <a:defRPr sz="800" b="0" i="0" u="none" strike="noStrike" baseline="0">
                      <a:solidFill>
                        <a:srgbClr val="000000"/>
                      </a:solidFill>
                      <a:latin typeface="Times New Roman"/>
                      <a:ea typeface="Times New Roman"/>
                      <a:cs typeface="Times New Roman"/>
                    </a:defRPr>
                  </a:pPr>
                  <a:endParaRPr lang="bg-BG"/>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D50-4A7E-9426-E77769B4F874}"/>
                </c:ext>
              </c:extLst>
            </c:dLbl>
            <c:dLbl>
              <c:idx val="6"/>
              <c:layout>
                <c:manualLayout>
                  <c:xMode val="edge"/>
                  <c:yMode val="edge"/>
                  <c:x val="0.86038349087668353"/>
                  <c:y val="1.3043502490371705E-2"/>
                </c:manualLayout>
              </c:layout>
              <c:spPr>
                <a:solidFill>
                  <a:srgbClr val="FFFFFF"/>
                </a:solidFill>
                <a:ln w="25398">
                  <a:noFill/>
                </a:ln>
              </c:spPr>
              <c:txPr>
                <a:bodyPr/>
                <a:lstStyle/>
                <a:p>
                  <a:pPr>
                    <a:defRPr sz="800" b="0" i="0" u="none" strike="noStrike" baseline="0">
                      <a:solidFill>
                        <a:srgbClr val="000000"/>
                      </a:solidFill>
                      <a:latin typeface="Times New Roman"/>
                      <a:ea typeface="Times New Roman"/>
                      <a:cs typeface="Times New Roman"/>
                    </a:defRPr>
                  </a:pPr>
                  <a:endParaRPr lang="bg-BG"/>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D50-4A7E-9426-E77769B4F874}"/>
                </c:ext>
              </c:extLst>
            </c:dLbl>
            <c:spPr>
              <a:solidFill>
                <a:srgbClr val="FFFFFF"/>
              </a:solidFill>
              <a:ln w="25398">
                <a:noFill/>
              </a:ln>
            </c:spPr>
            <c:txPr>
              <a:bodyPr/>
              <a:lstStyle/>
              <a:p>
                <a:pPr>
                  <a:defRPr sz="800" b="1" i="0" u="none" strike="noStrike" baseline="0">
                    <a:solidFill>
                      <a:srgbClr val="000000"/>
                    </a:solidFill>
                    <a:latin typeface="Times New Roman"/>
                    <a:ea typeface="Times New Roman"/>
                    <a:cs typeface="Times New Roman"/>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data!$A$3:$A$7</c:f>
              <c:strCache>
                <c:ptCount val="5"/>
                <c:pt idx="0">
                  <c:v>Общо приходи, помощи и дарения</c:v>
                </c:pt>
                <c:pt idx="1">
                  <c:v>Данъчни приходи</c:v>
                </c:pt>
                <c:pt idx="2">
                  <c:v>Неданъчни приходи</c:v>
                </c:pt>
                <c:pt idx="3">
                  <c:v>Помощи и дарения</c:v>
                </c:pt>
                <c:pt idx="4">
                  <c:v>Еднократни извънредни приходи</c:v>
                </c:pt>
              </c:strCache>
            </c:strRef>
          </c:cat>
          <c:val>
            <c:numRef>
              <c:f>data!$C$3:$C$7</c:f>
              <c:numCache>
                <c:formatCode>#,##0.0</c:formatCode>
                <c:ptCount val="5"/>
                <c:pt idx="0">
                  <c:v>64765.357498999998</c:v>
                </c:pt>
                <c:pt idx="1">
                  <c:v>46794.573733999998</c:v>
                </c:pt>
                <c:pt idx="2">
                  <c:v>8795.9356079999998</c:v>
                </c:pt>
                <c:pt idx="3">
                  <c:v>5993.8372569999992</c:v>
                </c:pt>
                <c:pt idx="4">
                  <c:v>3181.0109000000002</c:v>
                </c:pt>
              </c:numCache>
            </c:numRef>
          </c:val>
          <c:extLst>
            <c:ext xmlns:c16="http://schemas.microsoft.com/office/drawing/2014/chart" uri="{C3380CC4-5D6E-409C-BE32-E72D297353CC}">
              <c16:uniqueId val="{00000007-6D50-4A7E-9426-E77769B4F874}"/>
            </c:ext>
          </c:extLst>
        </c:ser>
        <c:ser>
          <c:idx val="0"/>
          <c:order val="1"/>
          <c:tx>
            <c:strRef>
              <c:f>data!$B$1</c:f>
              <c:strCache>
                <c:ptCount val="1"/>
                <c:pt idx="0">
                  <c:v> 2021 г.</c:v>
                </c:pt>
              </c:strCache>
            </c:strRef>
          </c:tx>
          <c:spPr>
            <a:pattFill prst="pct80">
              <a:fgClr>
                <a:srgbClr val="000000"/>
              </a:fgClr>
              <a:bgClr>
                <a:sysClr val="window" lastClr="FFFFFF"/>
              </a:bgClr>
            </a:pattFill>
            <a:ln w="12699">
              <a:solidFill>
                <a:srgbClr val="000000"/>
              </a:solidFill>
              <a:prstDash val="solid"/>
            </a:ln>
          </c:spPr>
          <c:invertIfNegative val="0"/>
          <c:dLbls>
            <c:dLbl>
              <c:idx val="0"/>
              <c:layout>
                <c:manualLayout>
                  <c:x val="1.2627753917124E-2"/>
                  <c:y val="-1.998680034181822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6D50-4A7E-9426-E77769B4F874}"/>
                </c:ext>
              </c:extLst>
            </c:dLbl>
            <c:dLbl>
              <c:idx val="1"/>
              <c:layout>
                <c:manualLayout>
                  <c:x val="2.914515085874942E-3"/>
                  <c:y val="-4.774032152230971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6D50-4A7E-9426-E77769B4F874}"/>
                </c:ext>
              </c:extLst>
            </c:dLbl>
            <c:dLbl>
              <c:idx val="2"/>
              <c:layout>
                <c:manualLayout>
                  <c:x val="4.8133813781751859E-3"/>
                  <c:y val="-1.716624910522548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6D50-4A7E-9426-E77769B4F874}"/>
                </c:ext>
              </c:extLst>
            </c:dLbl>
            <c:dLbl>
              <c:idx val="3"/>
              <c:layout>
                <c:manualLayout>
                  <c:x val="1.6908088574977671E-2"/>
                  <c:y val="-2.866633858267720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6D50-4A7E-9426-E77769B4F874}"/>
                </c:ext>
              </c:extLst>
            </c:dLbl>
            <c:dLbl>
              <c:idx val="4"/>
              <c:layout>
                <c:manualLayout>
                  <c:x val="5.9176599013779987E-3"/>
                  <c:y val="-1.710137795275590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6D50-4A7E-9426-E77769B4F874}"/>
                </c:ext>
              </c:extLst>
            </c:dLbl>
            <c:dLbl>
              <c:idx val="5"/>
              <c:layout>
                <c:manualLayout>
                  <c:xMode val="edge"/>
                  <c:yMode val="edge"/>
                  <c:x val="0.86038349087668353"/>
                  <c:y val="1.3043502490371705E-2"/>
                </c:manualLayout>
              </c:layout>
              <c:spPr>
                <a:solidFill>
                  <a:srgbClr val="FFFFFF"/>
                </a:solidFill>
                <a:ln w="25398">
                  <a:noFill/>
                </a:ln>
              </c:spPr>
              <c:txPr>
                <a:bodyPr/>
                <a:lstStyle/>
                <a:p>
                  <a:pPr>
                    <a:defRPr sz="800" b="0" i="0" u="none" strike="noStrike" baseline="0">
                      <a:solidFill>
                        <a:srgbClr val="000000"/>
                      </a:solidFill>
                      <a:latin typeface="Times New Roman"/>
                      <a:ea typeface="Times New Roman"/>
                      <a:cs typeface="Times New Roman"/>
                    </a:defRPr>
                  </a:pPr>
                  <a:endParaRPr lang="bg-BG"/>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6D50-4A7E-9426-E77769B4F874}"/>
                </c:ext>
              </c:extLst>
            </c:dLbl>
            <c:dLbl>
              <c:idx val="6"/>
              <c:layout>
                <c:manualLayout>
                  <c:xMode val="edge"/>
                  <c:yMode val="edge"/>
                  <c:x val="7.1599180932872524E-3"/>
                  <c:y val="1.3043502490371705E-2"/>
                </c:manualLayout>
              </c:layout>
              <c:spPr>
                <a:solidFill>
                  <a:srgbClr val="FFFFFF"/>
                </a:solidFill>
                <a:ln w="25398">
                  <a:noFill/>
                </a:ln>
              </c:spPr>
              <c:txPr>
                <a:bodyPr/>
                <a:lstStyle/>
                <a:p>
                  <a:pPr>
                    <a:defRPr sz="800" b="0" i="0" u="none" strike="noStrike" baseline="0">
                      <a:solidFill>
                        <a:srgbClr val="000000"/>
                      </a:solidFill>
                      <a:latin typeface="Times New Roman"/>
                      <a:ea typeface="Times New Roman"/>
                      <a:cs typeface="Times New Roman"/>
                    </a:defRPr>
                  </a:pPr>
                  <a:endParaRPr lang="bg-BG"/>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6D50-4A7E-9426-E77769B4F874}"/>
                </c:ext>
              </c:extLst>
            </c:dLbl>
            <c:spPr>
              <a:solidFill>
                <a:srgbClr val="FFFFFF"/>
              </a:solidFill>
              <a:ln w="25398">
                <a:noFill/>
              </a:ln>
            </c:spPr>
            <c:txPr>
              <a:bodyPr/>
              <a:lstStyle/>
              <a:p>
                <a:pPr>
                  <a:defRPr sz="800" b="1" i="0" u="none" strike="noStrike" baseline="0">
                    <a:solidFill>
                      <a:srgbClr val="000000"/>
                    </a:solidFill>
                    <a:latin typeface="Times New Roman"/>
                    <a:ea typeface="Times New Roman"/>
                    <a:cs typeface="Times New Roman"/>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data!$A$3:$A$7</c:f>
              <c:strCache>
                <c:ptCount val="5"/>
                <c:pt idx="0">
                  <c:v>Общо приходи, помощи и дарения</c:v>
                </c:pt>
                <c:pt idx="1">
                  <c:v>Данъчни приходи</c:v>
                </c:pt>
                <c:pt idx="2">
                  <c:v>Неданъчни приходи</c:v>
                </c:pt>
                <c:pt idx="3">
                  <c:v>Помощи и дарения</c:v>
                </c:pt>
                <c:pt idx="4">
                  <c:v>Еднократни извънредни приходи</c:v>
                </c:pt>
              </c:strCache>
            </c:strRef>
          </c:cat>
          <c:val>
            <c:numRef>
              <c:f>data!$B$3:$B$7</c:f>
              <c:numCache>
                <c:formatCode>#,##0.0</c:formatCode>
                <c:ptCount val="5"/>
                <c:pt idx="0">
                  <c:v>52458.923185</c:v>
                </c:pt>
                <c:pt idx="1">
                  <c:v>40876.272465000002</c:v>
                </c:pt>
                <c:pt idx="2">
                  <c:v>8118.0391739999995</c:v>
                </c:pt>
                <c:pt idx="3">
                  <c:v>3464.6115460000001</c:v>
                </c:pt>
                <c:pt idx="4">
                  <c:v>0</c:v>
                </c:pt>
              </c:numCache>
            </c:numRef>
          </c:val>
          <c:extLst>
            <c:ext xmlns:c16="http://schemas.microsoft.com/office/drawing/2014/chart" uri="{C3380CC4-5D6E-409C-BE32-E72D297353CC}">
              <c16:uniqueId val="{0000000F-6D50-4A7E-9426-E77769B4F874}"/>
            </c:ext>
          </c:extLst>
        </c:ser>
        <c:dLbls>
          <c:showLegendKey val="0"/>
          <c:showVal val="0"/>
          <c:showCatName val="0"/>
          <c:showSerName val="0"/>
          <c:showPercent val="0"/>
          <c:showBubbleSize val="0"/>
        </c:dLbls>
        <c:gapWidth val="150"/>
        <c:gapDepth val="273"/>
        <c:shape val="cylinder"/>
        <c:axId val="513314816"/>
        <c:axId val="513316352"/>
        <c:axId val="0"/>
      </c:bar3DChart>
      <c:catAx>
        <c:axId val="513314816"/>
        <c:scaling>
          <c:orientation val="minMax"/>
        </c:scaling>
        <c:delete val="0"/>
        <c:axPos val="l"/>
        <c:numFmt formatCode="General" sourceLinked="1"/>
        <c:majorTickMark val="out"/>
        <c:minorTickMark val="none"/>
        <c:tickLblPos val="low"/>
        <c:spPr>
          <a:ln w="9524">
            <a:noFill/>
          </a:ln>
        </c:spPr>
        <c:txPr>
          <a:bodyPr rot="0" vert="horz"/>
          <a:lstStyle/>
          <a:p>
            <a:pPr>
              <a:defRPr sz="900" b="0" i="0" u="none" strike="noStrike" baseline="0">
                <a:solidFill>
                  <a:srgbClr val="000000"/>
                </a:solidFill>
                <a:latin typeface="Times New Roman"/>
                <a:ea typeface="Times New Roman"/>
                <a:cs typeface="Times New Roman"/>
              </a:defRPr>
            </a:pPr>
            <a:endParaRPr lang="bg-BG"/>
          </a:p>
        </c:txPr>
        <c:crossAx val="513316352"/>
        <c:crosses val="autoZero"/>
        <c:auto val="1"/>
        <c:lblAlgn val="ctr"/>
        <c:lblOffset val="100"/>
        <c:noMultiLvlLbl val="0"/>
      </c:catAx>
      <c:valAx>
        <c:axId val="513316352"/>
        <c:scaling>
          <c:orientation val="minMax"/>
        </c:scaling>
        <c:delete val="0"/>
        <c:axPos val="b"/>
        <c:majorGridlines>
          <c:spPr>
            <a:ln w="3175">
              <a:solidFill>
                <a:srgbClr val="000000"/>
              </a:solidFill>
              <a:prstDash val="solid"/>
            </a:ln>
          </c:spPr>
        </c:majorGridlines>
        <c:title>
          <c:tx>
            <c:rich>
              <a:bodyPr/>
              <a:lstStyle/>
              <a:p>
                <a:pPr>
                  <a:defRPr sz="900" b="1" i="0" u="none" strike="noStrike" baseline="0">
                    <a:solidFill>
                      <a:srgbClr val="000000"/>
                    </a:solidFill>
                    <a:latin typeface="Times New Roman"/>
                    <a:ea typeface="Times New Roman"/>
                    <a:cs typeface="Times New Roman"/>
                  </a:defRPr>
                </a:pPr>
                <a:r>
                  <a:rPr lang="bg-BG"/>
                  <a:t>млн. лв.</a:t>
                </a:r>
              </a:p>
            </c:rich>
          </c:tx>
          <c:layout>
            <c:manualLayout>
              <c:xMode val="edge"/>
              <c:yMode val="edge"/>
              <c:x val="2.4112266865518203E-2"/>
              <c:y val="6.9734205759492324E-2"/>
            </c:manualLayout>
          </c:layout>
          <c:overlay val="0"/>
          <c:spPr>
            <a:noFill/>
            <a:ln w="25398">
              <a:noFill/>
            </a:ln>
          </c:spPr>
        </c:title>
        <c:numFmt formatCode="#,##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bg-BG"/>
          </a:p>
        </c:txPr>
        <c:crossAx val="513314816"/>
        <c:crosses val="autoZero"/>
        <c:crossBetween val="between"/>
      </c:valAx>
      <c:spPr>
        <a:noFill/>
        <a:ln>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c:spPr>
    </c:plotArea>
    <c:legend>
      <c:legendPos val="r"/>
      <c:layout>
        <c:manualLayout>
          <c:xMode val="edge"/>
          <c:yMode val="edge"/>
          <c:x val="1.9950928558962817E-2"/>
          <c:y val="0.83506857417470703"/>
          <c:w val="0.15320686037840794"/>
          <c:h val="0.14492772910428453"/>
        </c:manualLayout>
      </c:layout>
      <c:overlay val="0"/>
      <c:spPr>
        <a:solidFill>
          <a:srgbClr val="FFFFFF"/>
        </a:solidFill>
        <a:ln w="3175">
          <a:solidFill>
            <a:srgbClr val="000000"/>
          </a:solidFill>
          <a:prstDash val="solid"/>
        </a:ln>
      </c:spPr>
      <c:txPr>
        <a:bodyPr/>
        <a:lstStyle/>
        <a:p>
          <a:pPr>
            <a:defRPr sz="690" b="1" i="0" u="none" strike="noStrike" baseline="0">
              <a:solidFill>
                <a:srgbClr val="000000"/>
              </a:solidFill>
              <a:latin typeface="Times New Roman"/>
              <a:ea typeface="Times New Roman"/>
              <a:cs typeface="Times New Roman"/>
            </a:defRPr>
          </a:pPr>
          <a:endParaRPr lang="bg-BG"/>
        </a:p>
      </c:txPr>
    </c:legend>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bg-BG"/>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00"/>
                </a:solidFill>
                <a:latin typeface="Times New Roman"/>
                <a:ea typeface="Times New Roman"/>
                <a:cs typeface="Times New Roman"/>
              </a:defRPr>
            </a:pPr>
            <a:r>
              <a:rPr lang="bg-BG" sz="1000"/>
              <a:t>Разходи по консолидираната фискална програма </a:t>
            </a:r>
            <a:r>
              <a:rPr lang="bg-BG" sz="1000" b="1" i="0" u="none" strike="noStrike" kern="1200" baseline="0">
                <a:solidFill>
                  <a:srgbClr val="000000"/>
                </a:solidFill>
                <a:latin typeface="Times New Roman"/>
                <a:cs typeface="Times New Roman"/>
              </a:rPr>
              <a:t>за 2021 </a:t>
            </a:r>
            <a:r>
              <a:rPr lang="bg-BG" sz="1000"/>
              <a:t>г. и 2022 г.</a:t>
            </a:r>
          </a:p>
        </c:rich>
      </c:tx>
      <c:layout>
        <c:manualLayout>
          <c:xMode val="edge"/>
          <c:yMode val="edge"/>
          <c:x val="0.16410406246389014"/>
          <c:y val="3.5853691365502391E-3"/>
        </c:manualLayout>
      </c:layout>
      <c:overlay val="0"/>
      <c:spPr>
        <a:noFill/>
        <a:ln w="25399">
          <a:noFill/>
        </a:ln>
      </c:spPr>
    </c:title>
    <c:autoTitleDeleted val="0"/>
    <c:view3D>
      <c:rotX val="24"/>
      <c:hPercent val="41"/>
      <c:rotY val="40"/>
      <c:depthPercent val="100"/>
      <c:rAngAx val="1"/>
    </c:view3D>
    <c:floor>
      <c:thickness val="0"/>
      <c:spPr>
        <a:solidFill>
          <a:srgbClr val="C0C0C0"/>
        </a:solidFill>
        <a:ln w="3175">
          <a:solidFill>
            <a:srgbClr val="000000"/>
          </a:solidFill>
          <a:prstDash val="solid"/>
        </a:ln>
      </c:spPr>
    </c:floor>
    <c:sideWall>
      <c:thickness val="0"/>
      <c:spPr>
        <a:gradFill rotWithShape="0">
          <a:gsLst>
            <a:gs pos="0">
              <a:srgbClr val="FFFFFF"/>
            </a:gs>
            <a:gs pos="100000">
              <a:srgbClr val="000000">
                <a:gamma/>
                <a:shade val="46275"/>
                <a:invGamma/>
              </a:srgbClr>
            </a:gs>
          </a:gsLst>
          <a:lin ang="5400000" scaled="1"/>
        </a:gradFill>
        <a:ln w="3175">
          <a:solidFill>
            <a:srgbClr val="FFFFFF"/>
          </a:solidFill>
          <a:prstDash val="solid"/>
        </a:ln>
      </c:spPr>
    </c:sideWall>
    <c:backWall>
      <c:thickness val="0"/>
      <c:spPr>
        <a:gradFill rotWithShape="0">
          <a:gsLst>
            <a:gs pos="0">
              <a:srgbClr val="FFFFFF"/>
            </a:gs>
            <a:gs pos="100000">
              <a:srgbClr val="000000">
                <a:gamma/>
                <a:shade val="46275"/>
                <a:invGamma/>
              </a:srgbClr>
            </a:gs>
          </a:gsLst>
          <a:lin ang="5400000" scaled="1"/>
        </a:gradFill>
        <a:ln w="3175">
          <a:solidFill>
            <a:srgbClr val="FFFFFF"/>
          </a:solidFill>
          <a:prstDash val="solid"/>
        </a:ln>
      </c:spPr>
    </c:backWall>
    <c:plotArea>
      <c:layout>
        <c:manualLayout>
          <c:layoutTarget val="inner"/>
          <c:xMode val="edge"/>
          <c:yMode val="edge"/>
          <c:x val="6.7359976229386512E-2"/>
          <c:y val="7.923823475554069E-2"/>
          <c:w val="0.93143515079482986"/>
          <c:h val="0.75174606821363021"/>
        </c:manualLayout>
      </c:layout>
      <c:bar3DChart>
        <c:barDir val="col"/>
        <c:grouping val="clustered"/>
        <c:varyColors val="0"/>
        <c:ser>
          <c:idx val="0"/>
          <c:order val="0"/>
          <c:tx>
            <c:strRef>
              <c:f>data!$B$1</c:f>
              <c:strCache>
                <c:ptCount val="1"/>
                <c:pt idx="0">
                  <c:v>декември 2021 г.</c:v>
                </c:pt>
              </c:strCache>
            </c:strRef>
          </c:tx>
          <c:spPr>
            <a:pattFill prst="pct5">
              <a:fgClr>
                <a:srgbClr val="000000"/>
              </a:fgClr>
              <a:bgClr>
                <a:srgbClr val="333333"/>
              </a:bgClr>
            </a:pattFill>
            <a:ln w="12700">
              <a:solidFill>
                <a:srgbClr val="000000"/>
              </a:solidFill>
              <a:prstDash val="solid"/>
            </a:ln>
          </c:spPr>
          <c:invertIfNegative val="0"/>
          <c:dLbls>
            <c:dLbl>
              <c:idx val="0"/>
              <c:layout>
                <c:manualLayout>
                  <c:x val="7.3754921259844451E-3"/>
                  <c:y val="0.1778318516637033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A7FC-4671-9DE2-390B65117FA4}"/>
                </c:ext>
              </c:extLst>
            </c:dLbl>
            <c:dLbl>
              <c:idx val="1"/>
              <c:layout>
                <c:manualLayout>
                  <c:x val="6.1202427821523912E-3"/>
                  <c:y val="0.163771060875455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A7FC-4671-9DE2-390B65117FA4}"/>
                </c:ext>
              </c:extLst>
            </c:dLbl>
            <c:dLbl>
              <c:idx val="2"/>
              <c:layout>
                <c:manualLayout>
                  <c:x val="2.7818241469817085E-3"/>
                  <c:y val="-3.331910930488526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A7FC-4671-9DE2-390B65117FA4}"/>
                </c:ext>
              </c:extLst>
            </c:dLbl>
            <c:dLbl>
              <c:idx val="3"/>
              <c:layout>
                <c:manualLayout>
                  <c:x val="1.0317257217847769E-2"/>
                  <c:y val="-2.06922360511387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A7FC-4671-9DE2-390B65117FA4}"/>
                </c:ext>
              </c:extLst>
            </c:dLbl>
            <c:dLbl>
              <c:idx val="4"/>
              <c:layout>
                <c:manualLayout>
                  <c:x val="1.6023129921259843E-2"/>
                  <c:y val="-3.354770976208618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A7FC-4671-9DE2-390B65117FA4}"/>
                </c:ext>
              </c:extLst>
            </c:dLbl>
            <c:dLbl>
              <c:idx val="5"/>
              <c:layout>
                <c:manualLayout>
                  <c:x val="1.8415952722890771E-2"/>
                  <c:y val="-2.638317425175968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A7FC-4671-9DE2-390B65117FA4}"/>
                </c:ext>
              </c:extLst>
            </c:dLbl>
            <c:dLbl>
              <c:idx val="6"/>
              <c:layout>
                <c:manualLayout>
                  <c:x val="7.5413922316314233E-3"/>
                  <c:y val="-3.8328929814005807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A7FC-4671-9DE2-390B65117FA4}"/>
                </c:ext>
              </c:extLst>
            </c:dLbl>
            <c:spPr>
              <a:solidFill>
                <a:srgbClr val="FFFFFF"/>
              </a:solidFill>
              <a:ln w="25400">
                <a:noFill/>
              </a:ln>
            </c:spPr>
            <c:txPr>
              <a:bodyPr rot="-5400000" vert="horz"/>
              <a:lstStyle/>
              <a:p>
                <a:pPr algn="ctr">
                  <a:defRPr sz="800" b="1" i="0" u="none" strike="noStrike" baseline="0">
                    <a:solidFill>
                      <a:srgbClr val="000000"/>
                    </a:solidFill>
                    <a:latin typeface="Times New Roman"/>
                    <a:ea typeface="Times New Roman"/>
                    <a:cs typeface="Times New Roman"/>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data!$A$3:$A$9</c:f>
              <c:strCache>
                <c:ptCount val="7"/>
                <c:pt idx="0">
                  <c:v>Общо разходи</c:v>
                </c:pt>
                <c:pt idx="1">
                  <c:v>Текущи нелихв. разходи</c:v>
                </c:pt>
                <c:pt idx="2">
                  <c:v>Предостав. тек.
и капит. трансфери за чужбина</c:v>
                </c:pt>
                <c:pt idx="3">
                  <c:v>Капиталови разходи*</c:v>
                </c:pt>
                <c:pt idx="4">
                  <c:v>Лихви</c:v>
                </c:pt>
                <c:pt idx="5">
                  <c:v>Вноска в бюджета на  ЕС</c:v>
                </c:pt>
                <c:pt idx="6">
                  <c:v>Еднократни извънредни разходи</c:v>
                </c:pt>
              </c:strCache>
            </c:strRef>
          </c:cat>
          <c:val>
            <c:numRef>
              <c:f>data!$B$3:$B$9</c:f>
              <c:numCache>
                <c:formatCode>#,##0.0</c:formatCode>
                <c:ptCount val="7"/>
                <c:pt idx="0">
                  <c:v>56253.362651999989</c:v>
                </c:pt>
                <c:pt idx="1">
                  <c:v>50025.450775999991</c:v>
                </c:pt>
                <c:pt idx="2">
                  <c:v>46.843620000000001</c:v>
                </c:pt>
                <c:pt idx="3">
                  <c:v>3871.450734</c:v>
                </c:pt>
                <c:pt idx="4">
                  <c:v>628.59125800000004</c:v>
                </c:pt>
                <c:pt idx="5">
                  <c:v>1681.0262639999999</c:v>
                </c:pt>
                <c:pt idx="6">
                  <c:v>0</c:v>
                </c:pt>
              </c:numCache>
            </c:numRef>
          </c:val>
          <c:extLst>
            <c:ext xmlns:c16="http://schemas.microsoft.com/office/drawing/2014/chart" uri="{C3380CC4-5D6E-409C-BE32-E72D297353CC}">
              <c16:uniqueId val="{00000007-A7FC-4671-9DE2-390B65117FA4}"/>
            </c:ext>
          </c:extLst>
        </c:ser>
        <c:ser>
          <c:idx val="1"/>
          <c:order val="1"/>
          <c:tx>
            <c:strRef>
              <c:f>data!$C$1</c:f>
              <c:strCache>
                <c:ptCount val="1"/>
                <c:pt idx="0">
                  <c:v>декември 2022 г.</c:v>
                </c:pt>
              </c:strCache>
            </c:strRef>
          </c:tx>
          <c:spPr>
            <a:pattFill prst="pct80">
              <a:fgClr>
                <a:srgbClr val="C0C0C0"/>
              </a:fgClr>
              <a:bgClr>
                <a:srgbClr val="993366"/>
              </a:bgClr>
            </a:pattFill>
            <a:ln w="12700">
              <a:solidFill>
                <a:srgbClr val="000000"/>
              </a:solidFill>
              <a:prstDash val="solid"/>
            </a:ln>
          </c:spPr>
          <c:invertIfNegative val="0"/>
          <c:dLbls>
            <c:dLbl>
              <c:idx val="0"/>
              <c:layout>
                <c:manualLayout>
                  <c:x val="9.3784974991333626E-3"/>
                  <c:y val="0.17701415230072981"/>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A7FC-4671-9DE2-390B65117FA4}"/>
                </c:ext>
              </c:extLst>
            </c:dLbl>
            <c:dLbl>
              <c:idx val="1"/>
              <c:layout>
                <c:manualLayout>
                  <c:x val="1.4051509186351707E-2"/>
                  <c:y val="0.1757266954533933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A7FC-4671-9DE2-390B65117FA4}"/>
                </c:ext>
              </c:extLst>
            </c:dLbl>
            <c:dLbl>
              <c:idx val="2"/>
              <c:layout>
                <c:manualLayout>
                  <c:x val="1.3761646981627297E-2"/>
                  <c:y val="-2.785030903395140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A7FC-4671-9DE2-390B65117FA4}"/>
                </c:ext>
              </c:extLst>
            </c:dLbl>
            <c:dLbl>
              <c:idx val="3"/>
              <c:layout>
                <c:manualLayout>
                  <c:x val="1.9671095800524941E-2"/>
                  <c:y val="-3.266446532893065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A7FC-4671-9DE2-390B65117FA4}"/>
                </c:ext>
              </c:extLst>
            </c:dLbl>
            <c:dLbl>
              <c:idx val="4"/>
              <c:layout>
                <c:manualLayout>
                  <c:x val="2.7460301837270402E-2"/>
                  <c:y val="-4.790618914571210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A7FC-4671-9DE2-390B65117FA4}"/>
                </c:ext>
              </c:extLst>
            </c:dLbl>
            <c:dLbl>
              <c:idx val="5"/>
              <c:layout>
                <c:manualLayout>
                  <c:x val="3.0156260750382247E-2"/>
                  <c:y val="-2.81911263751215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A7FC-4671-9DE2-390B65117FA4}"/>
                </c:ext>
              </c:extLst>
            </c:dLbl>
            <c:dLbl>
              <c:idx val="6"/>
              <c:layout>
                <c:manualLayout>
                  <c:x val="1.3236765215668796E-2"/>
                  <c:y val="-8.0996852137668832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A7FC-4671-9DE2-390B65117FA4}"/>
                </c:ext>
              </c:extLst>
            </c:dLbl>
            <c:spPr>
              <a:solidFill>
                <a:srgbClr val="FFFFFF"/>
              </a:solidFill>
              <a:ln w="25400">
                <a:noFill/>
              </a:ln>
            </c:spPr>
            <c:txPr>
              <a:bodyPr rot="-5400000" vert="horz"/>
              <a:lstStyle/>
              <a:p>
                <a:pPr algn="ctr">
                  <a:defRPr sz="800" b="1" i="0" u="none" strike="noStrike" baseline="0">
                    <a:solidFill>
                      <a:srgbClr val="000000"/>
                    </a:solidFill>
                    <a:latin typeface="Times New Roman"/>
                    <a:ea typeface="Times New Roman"/>
                    <a:cs typeface="Times New Roman"/>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data!$A$3:$A$9</c:f>
              <c:strCache>
                <c:ptCount val="7"/>
                <c:pt idx="0">
                  <c:v>Общо разходи</c:v>
                </c:pt>
                <c:pt idx="1">
                  <c:v>Текущи нелихв. разходи</c:v>
                </c:pt>
                <c:pt idx="2">
                  <c:v>Предостав. тек.
и капит. трансфери за чужбина</c:v>
                </c:pt>
                <c:pt idx="3">
                  <c:v>Капиталови разходи*</c:v>
                </c:pt>
                <c:pt idx="4">
                  <c:v>Лихви</c:v>
                </c:pt>
                <c:pt idx="5">
                  <c:v>Вноска в бюджета на  ЕС</c:v>
                </c:pt>
                <c:pt idx="6">
                  <c:v>Еднократни извънредни разходи</c:v>
                </c:pt>
              </c:strCache>
            </c:strRef>
          </c:cat>
          <c:val>
            <c:numRef>
              <c:f>data!$C$3:$C$9</c:f>
              <c:numCache>
                <c:formatCode>#,##0.0</c:formatCode>
                <c:ptCount val="7"/>
                <c:pt idx="0">
                  <c:v>66112.623640999984</c:v>
                </c:pt>
                <c:pt idx="1">
                  <c:v>54830.359596999995</c:v>
                </c:pt>
                <c:pt idx="2">
                  <c:v>47.574123999999998</c:v>
                </c:pt>
                <c:pt idx="3">
                  <c:v>5696.742999000001</c:v>
                </c:pt>
                <c:pt idx="4">
                  <c:v>651.91331100000002</c:v>
                </c:pt>
                <c:pt idx="5">
                  <c:v>1705.02271</c:v>
                </c:pt>
                <c:pt idx="6">
                  <c:v>3181.0109000000002</c:v>
                </c:pt>
              </c:numCache>
            </c:numRef>
          </c:val>
          <c:extLst>
            <c:ext xmlns:c16="http://schemas.microsoft.com/office/drawing/2014/chart" uri="{C3380CC4-5D6E-409C-BE32-E72D297353CC}">
              <c16:uniqueId val="{0000000F-A7FC-4671-9DE2-390B65117FA4}"/>
            </c:ext>
          </c:extLst>
        </c:ser>
        <c:dLbls>
          <c:showLegendKey val="0"/>
          <c:showVal val="0"/>
          <c:showCatName val="0"/>
          <c:showSerName val="0"/>
          <c:showPercent val="0"/>
          <c:showBubbleSize val="0"/>
        </c:dLbls>
        <c:gapWidth val="150"/>
        <c:shape val="cylinder"/>
        <c:axId val="513448192"/>
        <c:axId val="513462272"/>
        <c:axId val="0"/>
      </c:bar3DChart>
      <c:catAx>
        <c:axId val="513448192"/>
        <c:scaling>
          <c:orientation val="minMax"/>
        </c:scaling>
        <c:delete val="0"/>
        <c:axPos val="b"/>
        <c:numFmt formatCode="General" sourceLinked="1"/>
        <c:majorTickMark val="out"/>
        <c:minorTickMark val="none"/>
        <c:tickLblPos val="low"/>
        <c:spPr>
          <a:ln w="9525">
            <a:noFill/>
          </a:ln>
        </c:spPr>
        <c:txPr>
          <a:bodyPr rot="0" vert="horz"/>
          <a:lstStyle/>
          <a:p>
            <a:pPr>
              <a:defRPr sz="970" b="1" i="0" u="none" strike="noStrike" baseline="2000">
                <a:solidFill>
                  <a:srgbClr val="000000"/>
                </a:solidFill>
                <a:latin typeface="Times New Roman"/>
                <a:ea typeface="Times New Roman"/>
                <a:cs typeface="Times New Roman"/>
              </a:defRPr>
            </a:pPr>
            <a:endParaRPr lang="bg-BG"/>
          </a:p>
        </c:txPr>
        <c:crossAx val="513462272"/>
        <c:crosses val="autoZero"/>
        <c:auto val="1"/>
        <c:lblAlgn val="ctr"/>
        <c:lblOffset val="100"/>
        <c:tickMarkSkip val="1"/>
        <c:noMultiLvlLbl val="0"/>
      </c:catAx>
      <c:valAx>
        <c:axId val="513462272"/>
        <c:scaling>
          <c:orientation val="minMax"/>
        </c:scaling>
        <c:delete val="0"/>
        <c:axPos val="l"/>
        <c:majorGridlines>
          <c:spPr>
            <a:ln w="3175">
              <a:solidFill>
                <a:srgbClr val="000000"/>
              </a:solidFill>
              <a:prstDash val="solid"/>
            </a:ln>
          </c:spPr>
        </c:majorGridlines>
        <c:title>
          <c:tx>
            <c:rich>
              <a:bodyPr rot="0" vert="horz"/>
              <a:lstStyle/>
              <a:p>
                <a:pPr algn="ctr">
                  <a:defRPr sz="900" b="1" i="0" u="none" strike="noStrike" baseline="0">
                    <a:solidFill>
                      <a:srgbClr val="000000"/>
                    </a:solidFill>
                    <a:latin typeface="Times New Roman"/>
                    <a:ea typeface="Times New Roman"/>
                    <a:cs typeface="Times New Roman"/>
                  </a:defRPr>
                </a:pPr>
                <a:r>
                  <a:rPr lang="bg-BG"/>
                  <a:t>млн. лв.</a:t>
                </a:r>
              </a:p>
            </c:rich>
          </c:tx>
          <c:layout>
            <c:manualLayout>
              <c:xMode val="edge"/>
              <c:yMode val="edge"/>
              <c:x val="1.5670611928225952E-2"/>
              <c:y val="4.5936805976176054E-2"/>
            </c:manualLayout>
          </c:layout>
          <c:overlay val="0"/>
          <c:spPr>
            <a:noFill/>
            <a:ln w="25399">
              <a:noFill/>
            </a:ln>
          </c:spPr>
        </c:title>
        <c:numFmt formatCode="#,##0" sourceLinked="0"/>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Times New Roman"/>
                <a:ea typeface="Times New Roman"/>
                <a:cs typeface="Times New Roman"/>
              </a:defRPr>
            </a:pPr>
            <a:endParaRPr lang="bg-BG"/>
          </a:p>
        </c:txPr>
        <c:crossAx val="513448192"/>
        <c:crosses val="autoZero"/>
        <c:crossBetween val="between"/>
      </c:valAx>
      <c:spPr>
        <a:noFill/>
        <a:ln w="25399">
          <a:noFill/>
        </a:ln>
      </c:spPr>
    </c:plotArea>
    <c:legend>
      <c:legendPos val="r"/>
      <c:legendEntry>
        <c:idx val="0"/>
        <c:txPr>
          <a:bodyPr/>
          <a:lstStyle/>
          <a:p>
            <a:pPr>
              <a:defRPr sz="700" b="1" i="0" u="none" strike="noStrike" baseline="0">
                <a:solidFill>
                  <a:srgbClr val="000000"/>
                </a:solidFill>
                <a:latin typeface="Times New Roman"/>
                <a:ea typeface="Times New Roman"/>
                <a:cs typeface="Times New Roman"/>
              </a:defRPr>
            </a:pPr>
            <a:endParaRPr lang="bg-BG"/>
          </a:p>
        </c:txPr>
      </c:legendEntry>
      <c:legendEntry>
        <c:idx val="1"/>
        <c:txPr>
          <a:bodyPr/>
          <a:lstStyle/>
          <a:p>
            <a:pPr>
              <a:defRPr sz="700" b="1" i="0" u="none" strike="noStrike" baseline="0">
                <a:solidFill>
                  <a:srgbClr val="000000"/>
                </a:solidFill>
                <a:latin typeface="Times New Roman"/>
                <a:ea typeface="Times New Roman"/>
                <a:cs typeface="Times New Roman"/>
              </a:defRPr>
            </a:pPr>
            <a:endParaRPr lang="bg-BG"/>
          </a:p>
        </c:txPr>
      </c:legendEntry>
      <c:layout>
        <c:manualLayout>
          <c:xMode val="edge"/>
          <c:yMode val="edge"/>
          <c:x val="6.2893081761007516E-3"/>
          <c:y val="0.91250477411253827"/>
          <c:w val="0.1636405354991004"/>
          <c:h val="8.6246195969690728E-2"/>
        </c:manualLayout>
      </c:layout>
      <c:overlay val="0"/>
      <c:spPr>
        <a:solidFill>
          <a:srgbClr val="FFFFFF"/>
        </a:solidFill>
        <a:ln w="3175">
          <a:solidFill>
            <a:srgbClr val="000000"/>
          </a:solidFill>
          <a:prstDash val="solid"/>
        </a:ln>
      </c:spPr>
      <c:txPr>
        <a:bodyPr/>
        <a:lstStyle/>
        <a:p>
          <a:pPr>
            <a:defRPr sz="630" b="1" i="0" u="none" strike="noStrike" baseline="0">
              <a:solidFill>
                <a:srgbClr val="000000"/>
              </a:solidFill>
              <a:latin typeface="Times New Roman"/>
              <a:ea typeface="Times New Roman"/>
              <a:cs typeface="Times New Roman"/>
            </a:defRPr>
          </a:pPr>
          <a:endParaRPr lang="bg-BG"/>
        </a:p>
      </c:txPr>
    </c:legend>
    <c:plotVisOnly val="1"/>
    <c:dispBlanksAs val="gap"/>
    <c:showDLblsOverMax val="0"/>
  </c:chart>
  <c:spPr>
    <a:solidFill>
      <a:srgbClr val="FFFFFF"/>
    </a:solidFill>
    <a:ln w="3175">
      <a:solidFill>
        <a:srgbClr val="000000"/>
      </a:solidFill>
      <a:prstDash val="solid"/>
    </a:ln>
  </c:spPr>
  <c:txPr>
    <a:bodyPr/>
    <a:lstStyle/>
    <a:p>
      <a:pPr>
        <a:defRPr sz="950" b="0" i="0" u="none" strike="noStrike" baseline="0">
          <a:solidFill>
            <a:srgbClr val="000000"/>
          </a:solidFill>
          <a:latin typeface="Arial"/>
          <a:ea typeface="Arial"/>
          <a:cs typeface="Arial"/>
        </a:defRPr>
      </a:pPr>
      <a:endParaRPr lang="bg-BG"/>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5069391409685821E-2"/>
          <c:y val="3.8309849426716412E-2"/>
          <c:w val="0.90305106959238579"/>
          <c:h val="0.74626404458063433"/>
        </c:manualLayout>
      </c:layout>
      <c:barChart>
        <c:barDir val="col"/>
        <c:grouping val="clustered"/>
        <c:varyColors val="0"/>
        <c:ser>
          <c:idx val="0"/>
          <c:order val="0"/>
          <c:tx>
            <c:strRef>
              <c:f>Sheet1!$B$36</c:f>
              <c:strCache>
                <c:ptCount val="1"/>
                <c:pt idx="0">
                  <c:v>към декември 2021 г.</c:v>
                </c:pt>
              </c:strCache>
            </c:strRef>
          </c:tx>
          <c:spPr>
            <a:pattFill prst="pct5">
              <a:fgClr>
                <a:srgbClr val="FFFFFF"/>
              </a:fgClr>
              <a:bgClr>
                <a:srgbClr val="000000"/>
              </a:bgClr>
            </a:pattFill>
            <a:ln w="12683">
              <a:solidFill>
                <a:srgbClr val="000000"/>
              </a:solidFill>
              <a:prstDash val="solid"/>
            </a:ln>
          </c:spPr>
          <c:invertIfNegative val="0"/>
          <c:dLbls>
            <c:dLbl>
              <c:idx val="2"/>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506C-433E-ABF2-A2E95046D30D}"/>
                </c:ext>
              </c:extLst>
            </c:dLbl>
            <c:dLbl>
              <c:idx val="3"/>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506C-433E-ABF2-A2E95046D30D}"/>
                </c:ext>
              </c:extLst>
            </c:dLbl>
            <c:dLbl>
              <c:idx val="5"/>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506C-433E-ABF2-A2E95046D30D}"/>
                </c:ext>
              </c:extLst>
            </c:dLbl>
            <c:spPr>
              <a:solidFill>
                <a:srgbClr val="FFFFFF"/>
              </a:solidFill>
              <a:ln w="25367">
                <a:noFill/>
              </a:ln>
            </c:spPr>
            <c:txPr>
              <a:bodyPr rot="-5400000" vert="horz"/>
              <a:lstStyle/>
              <a:p>
                <a:pPr algn="ctr">
                  <a:defRPr sz="899" b="0" i="0" u="none" strike="noStrike" baseline="0">
                    <a:solidFill>
                      <a:srgbClr val="000000"/>
                    </a:solidFill>
                    <a:latin typeface="Times New Roman"/>
                    <a:ea typeface="Times New Roman"/>
                    <a:cs typeface="Times New Roman"/>
                  </a:defRPr>
                </a:pPr>
                <a:endParaRPr lang="bg-BG"/>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Sheet1!$A$38:$A$43</c:f>
              <c:strCache>
                <c:ptCount val="6"/>
                <c:pt idx="0">
                  <c:v>Текущи нелихвени разходи</c:v>
                </c:pt>
                <c:pt idx="1">
                  <c:v>Предост. тек. и кап. трансф. за чужбина</c:v>
                </c:pt>
                <c:pt idx="2">
                  <c:v>Капиталови р-ди*</c:v>
                </c:pt>
                <c:pt idx="3">
                  <c:v>Лихвени р-ди</c:v>
                </c:pt>
                <c:pt idx="4">
                  <c:v>Нето предоставени трансфери за др. бюджети</c:v>
                </c:pt>
                <c:pt idx="5">
                  <c:v>Вноска в бюджета на ЕС</c:v>
                </c:pt>
              </c:strCache>
            </c:strRef>
          </c:cat>
          <c:val>
            <c:numRef>
              <c:f>Sheet1!$B$38:$B$43</c:f>
              <c:numCache>
                <c:formatCode>#,##0.0</c:formatCode>
                <c:ptCount val="6"/>
                <c:pt idx="0">
                  <c:v>13601.930145</c:v>
                </c:pt>
                <c:pt idx="1">
                  <c:v>21.625087000000001</c:v>
                </c:pt>
                <c:pt idx="2">
                  <c:v>800.70240699999999</c:v>
                </c:pt>
                <c:pt idx="3">
                  <c:v>578.96797100000003</c:v>
                </c:pt>
                <c:pt idx="4">
                  <c:v>18507.277786999999</c:v>
                </c:pt>
                <c:pt idx="5">
                  <c:v>1681.0262639999999</c:v>
                </c:pt>
              </c:numCache>
            </c:numRef>
          </c:val>
          <c:extLst>
            <c:ext xmlns:c16="http://schemas.microsoft.com/office/drawing/2014/chart" uri="{C3380CC4-5D6E-409C-BE32-E72D297353CC}">
              <c16:uniqueId val="{00000003-506C-433E-ABF2-A2E95046D30D}"/>
            </c:ext>
          </c:extLst>
        </c:ser>
        <c:ser>
          <c:idx val="1"/>
          <c:order val="1"/>
          <c:tx>
            <c:strRef>
              <c:f>Sheet1!$C$36</c:f>
              <c:strCache>
                <c:ptCount val="1"/>
                <c:pt idx="0">
                  <c:v>към декември  2022 г.</c:v>
                </c:pt>
              </c:strCache>
            </c:strRef>
          </c:tx>
          <c:spPr>
            <a:pattFill prst="smConfetti">
              <a:fgClr>
                <a:srgbClr val="333333"/>
              </a:fgClr>
              <a:bgClr>
                <a:srgbClr val="FFFFFF"/>
              </a:bgClr>
            </a:pattFill>
            <a:ln w="12683">
              <a:solidFill>
                <a:srgbClr val="000000"/>
              </a:solidFill>
              <a:prstDash val="solid"/>
            </a:ln>
          </c:spPr>
          <c:invertIfNegative val="0"/>
          <c:dLbls>
            <c:dLbl>
              <c:idx val="0"/>
              <c:layout/>
              <c:dLblPos val="in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506C-433E-ABF2-A2E95046D30D}"/>
                </c:ext>
              </c:extLst>
            </c:dLbl>
            <c:dLbl>
              <c:idx val="1"/>
              <c:layout>
                <c:manualLayout>
                  <c:x val="-1.3777787060437307E-3"/>
                  <c:y val="-2.2458399596602201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506C-433E-ABF2-A2E95046D30D}"/>
                </c:ext>
              </c:extLst>
            </c:dLbl>
            <c:dLbl>
              <c:idx val="2"/>
              <c:layout>
                <c:manualLayout>
                  <c:x val="2.2504468494836203E-3"/>
                  <c:y val="1.4196467629046369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506C-433E-ABF2-A2E95046D30D}"/>
                </c:ext>
              </c:extLst>
            </c:dLbl>
            <c:dLbl>
              <c:idx val="3"/>
              <c:layout>
                <c:manualLayout>
                  <c:x val="4.7141342909059365E-3"/>
                  <c:y val="-1.23333001096382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506C-433E-ABF2-A2E95046D30D}"/>
                </c:ext>
              </c:extLst>
            </c:dLbl>
            <c:dLbl>
              <c:idx val="4"/>
              <c:layout>
                <c:manualLayout>
                  <c:x val="2.5960953909885784E-3"/>
                  <c:y val="0.19736507545931758"/>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506C-433E-ABF2-A2E95046D30D}"/>
                </c:ext>
              </c:extLst>
            </c:dLbl>
            <c:dLbl>
              <c:idx val="5"/>
              <c:layout>
                <c:manualLayout>
                  <c:x val="1.9210939978656521E-3"/>
                  <c:y val="5.6948735838400722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506C-433E-ABF2-A2E95046D30D}"/>
                </c:ext>
              </c:extLst>
            </c:dLbl>
            <c:spPr>
              <a:solidFill>
                <a:srgbClr val="FFFFFF"/>
              </a:solidFill>
              <a:ln w="25367">
                <a:noFill/>
              </a:ln>
            </c:spPr>
            <c:txPr>
              <a:bodyPr rot="-5400000" vert="horz"/>
              <a:lstStyle/>
              <a:p>
                <a:pPr algn="ctr">
                  <a:defRPr sz="899" b="0" i="0" u="none" strike="noStrike" baseline="0">
                    <a:solidFill>
                      <a:srgbClr val="000000"/>
                    </a:solidFill>
                    <a:latin typeface="Times New Roman"/>
                    <a:ea typeface="Times New Roman"/>
                    <a:cs typeface="Times New Roman"/>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Sheet1!$A$38:$A$43</c:f>
              <c:strCache>
                <c:ptCount val="6"/>
                <c:pt idx="0">
                  <c:v>Текущи нелихвени разходи</c:v>
                </c:pt>
                <c:pt idx="1">
                  <c:v>Предост. тек. и кап. трансф. за чужбина</c:v>
                </c:pt>
                <c:pt idx="2">
                  <c:v>Капиталови р-ди*</c:v>
                </c:pt>
                <c:pt idx="3">
                  <c:v>Лихвени р-ди</c:v>
                </c:pt>
                <c:pt idx="4">
                  <c:v>Нето предоставени трансфери за др. бюджети</c:v>
                </c:pt>
                <c:pt idx="5">
                  <c:v>Вноска в бюджета на ЕС</c:v>
                </c:pt>
              </c:strCache>
            </c:strRef>
          </c:cat>
          <c:val>
            <c:numRef>
              <c:f>Sheet1!$C$38:$C$43</c:f>
              <c:numCache>
                <c:formatCode>#,##0.0</c:formatCode>
                <c:ptCount val="6"/>
                <c:pt idx="0">
                  <c:v>15395.309420999998</c:v>
                </c:pt>
                <c:pt idx="1">
                  <c:v>23.801627999999997</c:v>
                </c:pt>
                <c:pt idx="2">
                  <c:v>2422.1164789999998</c:v>
                </c:pt>
                <c:pt idx="3">
                  <c:v>611.64768000000004</c:v>
                </c:pt>
                <c:pt idx="4">
                  <c:v>20451.177608999998</c:v>
                </c:pt>
                <c:pt idx="5">
                  <c:v>1705.02271</c:v>
                </c:pt>
              </c:numCache>
            </c:numRef>
          </c:val>
          <c:extLst>
            <c:ext xmlns:c16="http://schemas.microsoft.com/office/drawing/2014/chart" uri="{C3380CC4-5D6E-409C-BE32-E72D297353CC}">
              <c16:uniqueId val="{0000000A-506C-433E-ABF2-A2E95046D30D}"/>
            </c:ext>
          </c:extLst>
        </c:ser>
        <c:dLbls>
          <c:showLegendKey val="0"/>
          <c:showVal val="0"/>
          <c:showCatName val="0"/>
          <c:showSerName val="0"/>
          <c:showPercent val="0"/>
          <c:showBubbleSize val="0"/>
        </c:dLbls>
        <c:gapWidth val="150"/>
        <c:axId val="513403904"/>
        <c:axId val="513426176"/>
      </c:barChart>
      <c:catAx>
        <c:axId val="513403904"/>
        <c:scaling>
          <c:orientation val="minMax"/>
        </c:scaling>
        <c:delete val="0"/>
        <c:axPos val="b"/>
        <c:numFmt formatCode="General" sourceLinked="1"/>
        <c:majorTickMark val="out"/>
        <c:minorTickMark val="none"/>
        <c:tickLblPos val="nextTo"/>
        <c:spPr>
          <a:ln w="9512">
            <a:noFill/>
          </a:ln>
        </c:spPr>
        <c:txPr>
          <a:bodyPr rot="0" vert="horz"/>
          <a:lstStyle/>
          <a:p>
            <a:pPr>
              <a:defRPr sz="970" b="1" i="0" u="none" strike="noStrike" baseline="2000">
                <a:solidFill>
                  <a:srgbClr val="000000"/>
                </a:solidFill>
                <a:latin typeface="Times New Roman"/>
                <a:ea typeface="Times New Roman"/>
                <a:cs typeface="Times New Roman"/>
              </a:defRPr>
            </a:pPr>
            <a:endParaRPr lang="bg-BG"/>
          </a:p>
        </c:txPr>
        <c:crossAx val="513426176"/>
        <c:crosses val="autoZero"/>
        <c:auto val="1"/>
        <c:lblAlgn val="ctr"/>
        <c:lblOffset val="100"/>
        <c:tickLblSkip val="1"/>
        <c:tickMarkSkip val="1"/>
        <c:noMultiLvlLbl val="0"/>
      </c:catAx>
      <c:valAx>
        <c:axId val="513426176"/>
        <c:scaling>
          <c:orientation val="minMax"/>
        </c:scaling>
        <c:delete val="0"/>
        <c:axPos val="l"/>
        <c:majorGridlines>
          <c:spPr>
            <a:ln w="3171">
              <a:solidFill>
                <a:srgbClr val="000000"/>
              </a:solidFill>
              <a:prstDash val="solid"/>
            </a:ln>
          </c:spPr>
        </c:majorGridlines>
        <c:title>
          <c:tx>
            <c:rich>
              <a:bodyPr rot="0" vert="horz"/>
              <a:lstStyle/>
              <a:p>
                <a:pPr algn="ctr">
                  <a:defRPr sz="899" b="0" i="0" u="none" strike="noStrike" baseline="0">
                    <a:solidFill>
                      <a:srgbClr val="000000"/>
                    </a:solidFill>
                    <a:latin typeface="Times New Roman"/>
                    <a:ea typeface="Times New Roman"/>
                    <a:cs typeface="Times New Roman"/>
                  </a:defRPr>
                </a:pPr>
                <a:r>
                  <a:rPr lang="bg-BG"/>
                  <a:t>(млн. лв.)</a:t>
                </a:r>
              </a:p>
            </c:rich>
          </c:tx>
          <c:layout>
            <c:manualLayout>
              <c:xMode val="edge"/>
              <c:yMode val="edge"/>
              <c:x val="9.3198691529022576E-4"/>
              <c:y val="0.93341453652604278"/>
            </c:manualLayout>
          </c:layout>
          <c:overlay val="0"/>
          <c:spPr>
            <a:noFill/>
            <a:ln w="25367">
              <a:noFill/>
            </a:ln>
          </c:spPr>
        </c:title>
        <c:numFmt formatCode="#,##0" sourceLinked="0"/>
        <c:majorTickMark val="out"/>
        <c:minorTickMark val="none"/>
        <c:tickLblPos val="nextTo"/>
        <c:spPr>
          <a:ln w="3171">
            <a:solidFill>
              <a:srgbClr val="000000"/>
            </a:solidFill>
            <a:prstDash val="solid"/>
          </a:ln>
        </c:spPr>
        <c:txPr>
          <a:bodyPr rot="0" vert="horz"/>
          <a:lstStyle/>
          <a:p>
            <a:pPr>
              <a:defRPr sz="899" b="0" i="0" u="none" strike="noStrike" baseline="0">
                <a:solidFill>
                  <a:srgbClr val="000000"/>
                </a:solidFill>
                <a:latin typeface="Times New Roman"/>
                <a:ea typeface="Times New Roman"/>
                <a:cs typeface="Times New Roman"/>
              </a:defRPr>
            </a:pPr>
            <a:endParaRPr lang="bg-BG"/>
          </a:p>
        </c:txPr>
        <c:crossAx val="513403904"/>
        <c:crosses val="autoZero"/>
        <c:crossBetween val="between"/>
      </c:valAx>
      <c:spPr>
        <a:solidFill>
          <a:srgbClr val="FFFFFF"/>
        </a:solidFill>
        <a:ln w="25367">
          <a:solidFill>
            <a:sysClr val="window" lastClr="FFFFFF">
              <a:lumMod val="85000"/>
            </a:sysClr>
          </a:solidFill>
          <a:prstDash val="solid"/>
        </a:ln>
      </c:spPr>
    </c:plotArea>
    <c:legend>
      <c:legendPos val="r"/>
      <c:legendEntry>
        <c:idx val="0"/>
        <c:txPr>
          <a:bodyPr/>
          <a:lstStyle/>
          <a:p>
            <a:pPr>
              <a:defRPr sz="780" b="1" i="0" u="none" strike="noStrike" baseline="0">
                <a:solidFill>
                  <a:srgbClr val="000000"/>
                </a:solidFill>
                <a:latin typeface="Times New Roman"/>
                <a:ea typeface="Times New Roman"/>
                <a:cs typeface="Times New Roman"/>
              </a:defRPr>
            </a:pPr>
            <a:endParaRPr lang="bg-BG"/>
          </a:p>
        </c:txPr>
      </c:legendEntry>
      <c:legendEntry>
        <c:idx val="1"/>
        <c:txPr>
          <a:bodyPr/>
          <a:lstStyle/>
          <a:p>
            <a:pPr>
              <a:defRPr sz="780" b="1" i="0" u="none" strike="noStrike" baseline="0">
                <a:solidFill>
                  <a:srgbClr val="000000"/>
                </a:solidFill>
                <a:latin typeface="Times New Roman"/>
                <a:ea typeface="Times New Roman"/>
                <a:cs typeface="Times New Roman"/>
              </a:defRPr>
            </a:pPr>
            <a:endParaRPr lang="bg-BG"/>
          </a:p>
        </c:txPr>
      </c:legendEntry>
      <c:layout>
        <c:manualLayout>
          <c:xMode val="edge"/>
          <c:yMode val="edge"/>
          <c:x val="0.122363318643525"/>
          <c:y val="0.91477519855473333"/>
          <c:w val="0.40878464462499231"/>
          <c:h val="8.4652486620990564E-2"/>
        </c:manualLayout>
      </c:layout>
      <c:overlay val="0"/>
      <c:spPr>
        <a:solidFill>
          <a:srgbClr val="FFFFFF"/>
        </a:solidFill>
        <a:ln w="3171">
          <a:solidFill>
            <a:srgbClr val="000000"/>
          </a:solidFill>
          <a:prstDash val="solid"/>
        </a:ln>
      </c:spPr>
      <c:txPr>
        <a:bodyPr/>
        <a:lstStyle/>
        <a:p>
          <a:pPr>
            <a:defRPr sz="780" b="1" i="0" u="none" strike="noStrike" baseline="0">
              <a:solidFill>
                <a:srgbClr val="000000"/>
              </a:solidFill>
              <a:latin typeface="Times New Roman"/>
              <a:ea typeface="Times New Roman"/>
              <a:cs typeface="Times New Roman"/>
            </a:defRPr>
          </a:pPr>
          <a:endParaRPr lang="bg-BG"/>
        </a:p>
      </c:txPr>
    </c:legend>
    <c:plotVisOnly val="1"/>
    <c:dispBlanksAs val="gap"/>
    <c:showDLblsOverMax val="0"/>
  </c:chart>
  <c:spPr>
    <a:solidFill>
      <a:srgbClr val="FFFFFF"/>
    </a:solidFill>
    <a:ln w="3171">
      <a:solidFill>
        <a:srgbClr val="000000"/>
      </a:solidFill>
      <a:prstDash val="solid"/>
    </a:ln>
  </c:spPr>
  <c:txPr>
    <a:bodyPr/>
    <a:lstStyle/>
    <a:p>
      <a:pPr>
        <a:defRPr sz="1124" b="0" i="0" u="none" strike="noStrike" baseline="0">
          <a:solidFill>
            <a:srgbClr val="000000"/>
          </a:solidFill>
          <a:latin typeface="Arial"/>
          <a:ea typeface="Arial"/>
          <a:cs typeface="Arial"/>
        </a:defRPr>
      </a:pPr>
      <a:endParaRPr lang="bg-BG"/>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cdr:x>
      <cdr:y>0</cdr:y>
    </cdr:from>
    <cdr:to>
      <cdr:x>0.51833</cdr:x>
      <cdr:y>0.07083</cdr:y>
    </cdr:to>
    <cdr:sp macro="" textlink="">
      <cdr:nvSpPr>
        <cdr:cNvPr id="2" name="TextBox 1"/>
        <cdr:cNvSpPr txBox="1"/>
      </cdr:nvSpPr>
      <cdr:spPr>
        <a:xfrm xmlns:a="http://schemas.openxmlformats.org/drawingml/2006/main">
          <a:off x="0" y="0"/>
          <a:ext cx="2369805" cy="2061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eaLnBrk="1" fontAlgn="auto" latinLnBrk="0" hangingPunct="1"/>
          <a:r>
            <a:rPr lang="bg-BG" sz="1000" b="1">
              <a:effectLst/>
              <a:latin typeface="Times New Roman" panose="02020603050405020304" pitchFamily="18" charset="0"/>
              <a:ea typeface="+mn-ea"/>
              <a:cs typeface="Times New Roman" panose="02020603050405020304" pitchFamily="18" charset="0"/>
            </a:rPr>
            <a:t>Структура на приходите на консолидирана основа отнесени към БВП за 2021 г. и 2022 г.</a:t>
          </a:r>
          <a:endParaRPr lang="bg-BG" sz="1000" b="1">
            <a:effectLst/>
            <a:latin typeface="Times New Roman" panose="02020603050405020304" pitchFamily="18" charset="0"/>
            <a:cs typeface="Times New Roman" panose="020206030504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0.53385</cdr:x>
      <cdr:y>0.03871</cdr:y>
    </cdr:from>
    <cdr:to>
      <cdr:x>0.6901</cdr:x>
      <cdr:y>0.10968</cdr:y>
    </cdr:to>
    <cdr:sp macro="" textlink="">
      <cdr:nvSpPr>
        <cdr:cNvPr id="2" name="TextBox 1"/>
        <cdr:cNvSpPr txBox="1"/>
      </cdr:nvSpPr>
      <cdr:spPr>
        <a:xfrm xmlns:a="http://schemas.openxmlformats.org/drawingml/2006/main">
          <a:off x="3124200" y="137160"/>
          <a:ext cx="914400" cy="25146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bg-BG" sz="1100"/>
        </a:p>
      </cdr:txBody>
    </cdr:sp>
  </cdr:relSizeAnchor>
  <cdr:relSizeAnchor xmlns:cdr="http://schemas.openxmlformats.org/drawingml/2006/chartDrawing">
    <cdr:from>
      <cdr:x>0.24089</cdr:x>
      <cdr:y>0.0258</cdr:y>
    </cdr:from>
    <cdr:to>
      <cdr:x>0.86198</cdr:x>
      <cdr:y>0.09247</cdr:y>
    </cdr:to>
    <cdr:sp macro="" textlink="">
      <cdr:nvSpPr>
        <cdr:cNvPr id="3" name="TextBox 2"/>
        <cdr:cNvSpPr txBox="1"/>
      </cdr:nvSpPr>
      <cdr:spPr>
        <a:xfrm xmlns:a="http://schemas.openxmlformats.org/drawingml/2006/main">
          <a:off x="1409700" y="91429"/>
          <a:ext cx="3634740" cy="23623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bg-BG" sz="1000" b="1">
              <a:latin typeface="Times New Roman" pitchFamily="18" charset="0"/>
              <a:cs typeface="Times New Roman" pitchFamily="18" charset="0"/>
            </a:rPr>
            <a:t>Разходи по КФП за 2021 г. и 2022 г., като </a:t>
          </a:r>
          <a:r>
            <a:rPr lang="bg-BG" sz="900" b="1">
              <a:latin typeface="Times New Roman" pitchFamily="18" charset="0"/>
              <a:cs typeface="Times New Roman" pitchFamily="18" charset="0"/>
            </a:rPr>
            <a:t>отонсителен</a:t>
          </a:r>
          <a:r>
            <a:rPr lang="bg-BG" sz="1000" b="1">
              <a:latin typeface="Times New Roman" pitchFamily="18" charset="0"/>
              <a:cs typeface="Times New Roman" pitchFamily="18" charset="0"/>
            </a:rPr>
            <a:t> дял в БВП</a:t>
          </a:r>
        </a:p>
      </cdr:txBody>
    </cdr:sp>
  </cdr:relSizeAnchor>
</c:userShapes>
</file>

<file path=word/drawings/drawing3.xml><?xml version="1.0" encoding="utf-8"?>
<c:userShapes xmlns:c="http://schemas.openxmlformats.org/drawingml/2006/chart">
  <cdr:relSizeAnchor xmlns:cdr="http://schemas.openxmlformats.org/drawingml/2006/chartDrawing">
    <cdr:from>
      <cdr:x>0.50767</cdr:x>
      <cdr:y>0.50124</cdr:y>
    </cdr:from>
    <cdr:to>
      <cdr:x>0.52046</cdr:x>
      <cdr:y>0.56116</cdr:y>
    </cdr:to>
    <cdr:sp macro="" textlink="">
      <cdr:nvSpPr>
        <cdr:cNvPr id="3073" name="Text Box 1"/>
        <cdr:cNvSpPr txBox="1">
          <a:spLocks xmlns:a="http://schemas.openxmlformats.org/drawingml/2006/main" noChangeArrowheads="1"/>
        </cdr:cNvSpPr>
      </cdr:nvSpPr>
      <cdr:spPr bwMode="auto">
        <a:xfrm xmlns:a="http://schemas.openxmlformats.org/drawingml/2006/main">
          <a:off x="3536779" y="1408614"/>
          <a:ext cx="94821" cy="16927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r>
            <a:rPr lang="bg-BG" sz="1125" b="0" i="0" u="none" strike="noStrike" baseline="0">
              <a:solidFill>
                <a:srgbClr val="000000"/>
              </a:solidFill>
              <a:latin typeface="Arial"/>
              <a:cs typeface="Arial"/>
            </a:rPr>
            <a:t> </a:t>
          </a:r>
        </a:p>
      </cdr:txBody>
    </cdr:sp>
  </cdr:relSizeAnchor>
  <cdr:relSizeAnchor xmlns:cdr="http://schemas.openxmlformats.org/drawingml/2006/chartDrawing">
    <cdr:from>
      <cdr:x>0.50767</cdr:x>
      <cdr:y>0.50124</cdr:y>
    </cdr:from>
    <cdr:to>
      <cdr:x>0.61477</cdr:x>
      <cdr:y>0.56116</cdr:y>
    </cdr:to>
    <cdr:sp macro="" textlink="">
      <cdr:nvSpPr>
        <cdr:cNvPr id="3074" name="Text Box 2"/>
        <cdr:cNvSpPr txBox="1">
          <a:spLocks xmlns:a="http://schemas.openxmlformats.org/drawingml/2006/main" noChangeArrowheads="1"/>
        </cdr:cNvSpPr>
      </cdr:nvSpPr>
      <cdr:spPr bwMode="auto">
        <a:xfrm xmlns:a="http://schemas.openxmlformats.org/drawingml/2006/main">
          <a:off x="3536779" y="1408614"/>
          <a:ext cx="751674" cy="16927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endParaRPr lang="bg-BG" sz="1125" b="0" i="0" u="none" strike="noStrike" baseline="0">
            <a:solidFill>
              <a:srgbClr val="000000"/>
            </a:solidFill>
            <a:latin typeface="Arial"/>
            <a:cs typeface="Arial"/>
          </a:endParaRPr>
        </a:p>
        <a:p xmlns:a="http://schemas.openxmlformats.org/drawingml/2006/main">
          <a:pPr algn="ctr" rtl="0">
            <a:defRPr sz="1000"/>
          </a:pPr>
          <a:endParaRPr lang="bg-BG" sz="1125" b="0" i="0" u="none" strike="noStrike" baseline="0">
            <a:solidFill>
              <a:srgbClr val="000000"/>
            </a:solidFill>
            <a:latin typeface="Arial"/>
            <a:cs typeface="Arial"/>
          </a:endParaRPr>
        </a:p>
        <a:p xmlns:a="http://schemas.openxmlformats.org/drawingml/2006/main">
          <a:pPr algn="ctr" rtl="0">
            <a:defRPr sz="1000"/>
          </a:pPr>
          <a:endParaRPr lang="bg-BG" sz="1125" b="0" i="0" u="none" strike="noStrike" baseline="0">
            <a:solidFill>
              <a:srgbClr val="000000"/>
            </a:solidFill>
            <a:latin typeface="Arial"/>
            <a:cs typeface="Arial"/>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524DE-4492-42F5-AC6F-D40D2B0DB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39</Pages>
  <Words>21558</Words>
  <Characters>113242</Characters>
  <Application>Microsoft Office Word</Application>
  <DocSecurity>0</DocSecurity>
  <Lines>943</Lines>
  <Paragraphs>269</Paragraphs>
  <ScaleCrop>false</ScaleCrop>
  <HeadingPairs>
    <vt:vector size="2" baseType="variant">
      <vt:variant>
        <vt:lpstr>Title</vt:lpstr>
      </vt:variant>
      <vt:variant>
        <vt:i4>1</vt:i4>
      </vt:variant>
    </vt:vector>
  </HeadingPairs>
  <TitlesOfParts>
    <vt:vector size="1" baseType="lpstr">
      <vt:lpstr>М И Н И С Т Е Р С Т В О   Н А   Ф И Н А Н С И Т Е</vt:lpstr>
    </vt:vector>
  </TitlesOfParts>
  <Company>MoF</Company>
  <LinksUpToDate>false</LinksUpToDate>
  <CharactersWithSpaces>134531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И Н И С Т Е Р С Т В О   Н А   Ф И Н А Н С И Т Е</dc:title>
  <dc:creator>Любомир Малчев</dc:creator>
  <cp:lastModifiedBy>Добрина Стоянова</cp:lastModifiedBy>
  <cp:revision>224</cp:revision>
  <cp:lastPrinted>2023-02-02T07:59:00Z</cp:lastPrinted>
  <dcterms:created xsi:type="dcterms:W3CDTF">2023-01-27T15:18:00Z</dcterms:created>
  <dcterms:modified xsi:type="dcterms:W3CDTF">2023-02-03T12:24:00Z</dcterms:modified>
</cp:coreProperties>
</file>