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drawings/drawing3.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9407C" w14:textId="77777777" w:rsidR="00063E15" w:rsidRPr="00F57C05" w:rsidRDefault="00063E15" w:rsidP="008314D1">
      <w:pPr>
        <w:pStyle w:val="Title"/>
        <w:pBdr>
          <w:bottom w:val="double" w:sz="6" w:space="0" w:color="auto"/>
        </w:pBdr>
      </w:pPr>
      <w:r w:rsidRPr="00F57C05">
        <w:t>М И Н И С Т Е Р С Т В О   Н А   Ф И Н А Н С И Т Е</w:t>
      </w:r>
    </w:p>
    <w:p w14:paraId="4B8B7BDC" w14:textId="77777777" w:rsidR="005F7245" w:rsidRPr="00F57C05" w:rsidRDefault="005F7245" w:rsidP="00063E15">
      <w:pPr>
        <w:rPr>
          <w:sz w:val="16"/>
          <w:szCs w:val="16"/>
        </w:rPr>
      </w:pPr>
    </w:p>
    <w:p w14:paraId="411B8435" w14:textId="77777777" w:rsidR="0019151C" w:rsidRPr="00F57C05" w:rsidRDefault="0019151C" w:rsidP="0019151C"/>
    <w:p w14:paraId="57ABC490" w14:textId="77777777" w:rsidR="00E10331" w:rsidRPr="00F57C05" w:rsidRDefault="00E10331" w:rsidP="0019151C"/>
    <w:p w14:paraId="73A0A3F2" w14:textId="77777777" w:rsidR="00E9260C" w:rsidRPr="00F57C05" w:rsidRDefault="00E9260C" w:rsidP="009B536C">
      <w:pPr>
        <w:pStyle w:val="Heading1"/>
        <w:rPr>
          <w:sz w:val="24"/>
        </w:rPr>
      </w:pPr>
      <w:r w:rsidRPr="00F57C05">
        <w:rPr>
          <w:sz w:val="24"/>
        </w:rPr>
        <w:t>ИНФОРМАЦИЯ</w:t>
      </w:r>
    </w:p>
    <w:p w14:paraId="74BE80BC" w14:textId="77777777" w:rsidR="00E9260C" w:rsidRPr="00F57C05" w:rsidRDefault="00E9260C" w:rsidP="009B536C">
      <w:pPr>
        <w:jc w:val="center"/>
        <w:rPr>
          <w:b/>
          <w:bCs/>
        </w:rPr>
      </w:pPr>
      <w:r w:rsidRPr="00F57C05">
        <w:rPr>
          <w:b/>
          <w:bCs/>
        </w:rPr>
        <w:t xml:space="preserve">ЗА </w:t>
      </w:r>
      <w:r w:rsidR="004E7BF8" w:rsidRPr="00F57C05">
        <w:rPr>
          <w:b/>
          <w:bCs/>
        </w:rPr>
        <w:t xml:space="preserve">КАСОВОТО </w:t>
      </w:r>
      <w:r w:rsidRPr="00F57C05">
        <w:rPr>
          <w:b/>
          <w:bCs/>
        </w:rPr>
        <w:t xml:space="preserve">ИЗПЪЛНЕНИЕ НА </w:t>
      </w:r>
      <w:r w:rsidR="004E7BF8" w:rsidRPr="00F57C05">
        <w:rPr>
          <w:b/>
          <w:bCs/>
        </w:rPr>
        <w:t>ДЪРЖАВНИЯ</w:t>
      </w:r>
      <w:r w:rsidRPr="00F57C05">
        <w:rPr>
          <w:b/>
          <w:bCs/>
        </w:rPr>
        <w:t xml:space="preserve"> БЮДЖЕТ</w:t>
      </w:r>
      <w:r w:rsidR="004E7BF8" w:rsidRPr="00F57C05">
        <w:rPr>
          <w:b/>
          <w:bCs/>
        </w:rPr>
        <w:t xml:space="preserve"> И НА ОСНОВНИТЕ ПОКАЗАТЕЛИ НА КОНСОЛИДИРАНАТА ФИСКАЛНА ПРОГРАМА </w:t>
      </w:r>
    </w:p>
    <w:p w14:paraId="4B5D9605" w14:textId="576FBC1A" w:rsidR="003F47AB" w:rsidRPr="00F57C05" w:rsidRDefault="003F47AB" w:rsidP="003F47AB">
      <w:pPr>
        <w:jc w:val="center"/>
        <w:rPr>
          <w:b/>
          <w:bCs/>
        </w:rPr>
      </w:pPr>
      <w:r w:rsidRPr="00F57C05">
        <w:rPr>
          <w:b/>
          <w:bCs/>
        </w:rPr>
        <w:t>ЗА 20</w:t>
      </w:r>
      <w:r w:rsidR="006D5D56" w:rsidRPr="00F57C05">
        <w:rPr>
          <w:b/>
          <w:bCs/>
        </w:rPr>
        <w:t>21</w:t>
      </w:r>
      <w:r w:rsidRPr="00F57C05">
        <w:rPr>
          <w:b/>
          <w:bCs/>
        </w:rPr>
        <w:t xml:space="preserve"> ГОДИНА</w:t>
      </w:r>
    </w:p>
    <w:p w14:paraId="6051230B" w14:textId="77777777" w:rsidR="00430A35" w:rsidRPr="00BA4AB9" w:rsidRDefault="00430A35" w:rsidP="003A06C5">
      <w:pPr>
        <w:rPr>
          <w:b/>
          <w:bCs/>
          <w:color w:val="0070C0"/>
        </w:rPr>
      </w:pPr>
    </w:p>
    <w:p w14:paraId="23BA460C" w14:textId="0545FAF6" w:rsidR="00E10331" w:rsidRPr="00BA4AB9" w:rsidRDefault="00E10331" w:rsidP="003A06C5">
      <w:pPr>
        <w:rPr>
          <w:b/>
          <w:bCs/>
          <w:color w:val="0070C0"/>
        </w:rPr>
      </w:pPr>
    </w:p>
    <w:p w14:paraId="68B973A0" w14:textId="7DCAFE15" w:rsidR="00C971D8" w:rsidRPr="00BA4AB9" w:rsidRDefault="00C971D8" w:rsidP="003A06C5">
      <w:pPr>
        <w:rPr>
          <w:b/>
          <w:bCs/>
          <w:color w:val="0070C0"/>
        </w:rPr>
      </w:pPr>
    </w:p>
    <w:p w14:paraId="6F826F46" w14:textId="77777777" w:rsidR="00C971D8" w:rsidRPr="00BA4AB9" w:rsidRDefault="00C971D8" w:rsidP="003A06C5">
      <w:pPr>
        <w:rPr>
          <w:b/>
          <w:bCs/>
          <w:color w:val="0070C0"/>
        </w:rPr>
      </w:pPr>
    </w:p>
    <w:p w14:paraId="340A7A00" w14:textId="77777777" w:rsidR="00ED2E7D" w:rsidRPr="00D112F5" w:rsidRDefault="00ED2E7D" w:rsidP="00ED2E7D">
      <w:pPr>
        <w:spacing w:after="120"/>
        <w:jc w:val="both"/>
        <w:rPr>
          <w:b/>
          <w:bCs/>
          <w:color w:val="000000" w:themeColor="text1"/>
          <w:u w:val="single"/>
          <w:lang w:eastAsia="bg-BG"/>
        </w:rPr>
      </w:pPr>
      <w:bookmarkStart w:id="0" w:name="_Toc76656071"/>
      <w:r w:rsidRPr="00D112F5">
        <w:rPr>
          <w:b/>
          <w:bCs/>
          <w:color w:val="000000" w:themeColor="text1"/>
          <w:u w:val="single"/>
          <w:lang w:eastAsia="bg-BG"/>
        </w:rPr>
        <w:t>Преглед на икономическата среда</w:t>
      </w:r>
    </w:p>
    <w:p w14:paraId="10F71417" w14:textId="3F843FE4" w:rsidR="00ED2E7D" w:rsidRPr="00D112F5" w:rsidRDefault="00ED2E7D" w:rsidP="00ED2E7D">
      <w:pPr>
        <w:spacing w:after="210"/>
        <w:jc w:val="both"/>
        <w:rPr>
          <w:color w:val="000000" w:themeColor="text1"/>
        </w:rPr>
      </w:pPr>
      <w:r w:rsidRPr="00D112F5">
        <w:rPr>
          <w:color w:val="000000" w:themeColor="text1"/>
        </w:rPr>
        <w:t>За периода януари-септември 2021 г. брутният вътрешен продукт на страната нарасна в реално изражение с 3,6 %</w:t>
      </w:r>
      <w:r w:rsidRPr="00DB3FAA">
        <w:rPr>
          <w:color w:val="000000" w:themeColor="text1"/>
          <w:vertAlign w:val="superscript"/>
        </w:rPr>
        <w:footnoteReference w:id="2"/>
      </w:r>
      <w:r w:rsidRPr="00D112F5">
        <w:rPr>
          <w:color w:val="000000" w:themeColor="text1"/>
        </w:rPr>
        <w:t>. С принос за растежа бе вътрешното търсене и най-вече потреблението. Частното потребление се повиши със 7,7 %, движено от подобрение на доверието на потребителите, растеж на реалния разполагаем доход на домакинствата и увеличение на кредитите. Публичното потребление отчете повишение от 4,5 % в резултат на по-високите разходи за персонал. Инвестициите в основен капитал спаднаха с 8,7 %, като бе отчетено намаление</w:t>
      </w:r>
      <w:r w:rsidR="0010145B">
        <w:rPr>
          <w:color w:val="000000" w:themeColor="text1"/>
        </w:rPr>
        <w:t>,</w:t>
      </w:r>
      <w:r w:rsidRPr="00D112F5">
        <w:rPr>
          <w:color w:val="000000" w:themeColor="text1"/>
        </w:rPr>
        <w:t xml:space="preserve"> както при публичните капиталови разходи, така и при частните инвестиции. Растежът на износа на стоки и услуги достигна 8,6 %, но той бе надминат от нарастването на вноса - 12,6 %. В резултат, нетният износ имаше отрицателен принос за растежа на БВП за деветте месеца на 2021 г. През четвърто тримесечие на 2021 г. индикаторът за бизнес климат</w:t>
      </w:r>
      <w:r w:rsidR="00BF4DE9">
        <w:rPr>
          <w:color w:val="000000" w:themeColor="text1"/>
        </w:rPr>
        <w:t>а</w:t>
      </w:r>
      <w:r w:rsidRPr="00D112F5">
        <w:rPr>
          <w:color w:val="000000" w:themeColor="text1"/>
        </w:rPr>
        <w:t xml:space="preserve"> в страната се влоши спрямо трето и това се дължеше най-вече на влошени оценки в търговията на дребно. През октомври-ноември растежът на оборота в търговията на дребно се забави до 7,1 % при двуцифрен растеж през юли-септември, което е сигнал за по-слабо нарастване на потреблението в края на годината. В същото време растежът на промишленото производство остана стабилен - средно 11,4 % за октомври-ноември.</w:t>
      </w:r>
    </w:p>
    <w:p w14:paraId="71CA71C5" w14:textId="73F1CAAB" w:rsidR="00ED2E7D" w:rsidRPr="00D112F5" w:rsidRDefault="00ED2E7D" w:rsidP="00ED2E7D">
      <w:pPr>
        <w:spacing w:after="210"/>
        <w:jc w:val="both"/>
        <w:rPr>
          <w:color w:val="000000" w:themeColor="text1"/>
        </w:rPr>
      </w:pPr>
      <w:r w:rsidRPr="00D112F5">
        <w:rPr>
          <w:color w:val="000000" w:themeColor="text1"/>
        </w:rPr>
        <w:t>През януари-септември 2021 г. броят на заетите в икономиката намаля и се запази почти непроменен спрямо същия период на 2020 г. Стойността на показателя намаля с 0</w:t>
      </w:r>
      <w:r w:rsidR="004A0D28">
        <w:rPr>
          <w:color w:val="000000" w:themeColor="text1"/>
        </w:rPr>
        <w:t>,</w:t>
      </w:r>
      <w:r w:rsidRPr="00D112F5">
        <w:rPr>
          <w:color w:val="000000" w:themeColor="text1"/>
        </w:rPr>
        <w:t>1</w:t>
      </w:r>
      <w:r w:rsidR="004A0D28">
        <w:rPr>
          <w:color w:val="000000" w:themeColor="text1"/>
        </w:rPr>
        <w:t xml:space="preserve"> </w:t>
      </w:r>
      <w:r w:rsidRPr="00D112F5">
        <w:rPr>
          <w:color w:val="000000" w:themeColor="text1"/>
        </w:rPr>
        <w:t>%, като възстановяване на заетостта се наблюдава почти във всички сектори на икономиката с изключение на аграрния сектор. Най-съществено увеличение в броя на заетите се наблюдава в „Създаване и разпространение на информация и творчески продукти; далекосъобщения“ и „Строителство“. В „Индустрия“ и „Търговия“, два от най-важните сектори за динамиката на заетостта в икономиката, броят на заетите за деветмесечието вече надвишава, макар и само с 0,1-0,2 пр.</w:t>
      </w:r>
      <w:r w:rsidR="00021BCC">
        <w:rPr>
          <w:color w:val="000000" w:themeColor="text1"/>
        </w:rPr>
        <w:t xml:space="preserve"> </w:t>
      </w:r>
      <w:r w:rsidRPr="00D112F5">
        <w:rPr>
          <w:color w:val="000000" w:themeColor="text1"/>
        </w:rPr>
        <w:t>п., стойностите</w:t>
      </w:r>
      <w:r w:rsidR="004A0D28">
        <w:rPr>
          <w:color w:val="000000" w:themeColor="text1"/>
        </w:rPr>
        <w:t>,</w:t>
      </w:r>
      <w:r w:rsidRPr="00D112F5">
        <w:rPr>
          <w:color w:val="000000" w:themeColor="text1"/>
        </w:rPr>
        <w:t xml:space="preserve"> отчетени за същия период на 2020 г.</w:t>
      </w:r>
    </w:p>
    <w:p w14:paraId="7E7B9457" w14:textId="7F6CD31E" w:rsidR="00ED2E7D" w:rsidRPr="00D112F5" w:rsidRDefault="00ED2E7D" w:rsidP="00ED2E7D">
      <w:pPr>
        <w:spacing w:after="210"/>
        <w:jc w:val="both"/>
        <w:rPr>
          <w:color w:val="000000" w:themeColor="text1"/>
        </w:rPr>
      </w:pPr>
      <w:r w:rsidRPr="00D112F5">
        <w:rPr>
          <w:color w:val="000000" w:themeColor="text1"/>
        </w:rPr>
        <w:t>Започналото възстановяване на икономиката, както и удължаването на краткосрочните правителствени мерки за запазване на съществуващите работни места</w:t>
      </w:r>
      <w:r w:rsidR="004A0D28">
        <w:rPr>
          <w:color w:val="000000" w:themeColor="text1"/>
        </w:rPr>
        <w:t>,</w:t>
      </w:r>
      <w:r w:rsidRPr="00D112F5">
        <w:rPr>
          <w:color w:val="000000" w:themeColor="text1"/>
        </w:rPr>
        <w:t xml:space="preserve"> допринесоха коефициентът на безработица в страната да се запази относително нисък. Най-голямата програма в тези краткосрочни мерки е т.н</w:t>
      </w:r>
      <w:r w:rsidR="004A0D28">
        <w:rPr>
          <w:color w:val="000000" w:themeColor="text1"/>
        </w:rPr>
        <w:t>ар</w:t>
      </w:r>
      <w:r w:rsidRPr="00D112F5">
        <w:rPr>
          <w:color w:val="000000" w:themeColor="text1"/>
        </w:rPr>
        <w:t xml:space="preserve">. мярка </w:t>
      </w:r>
      <w:r w:rsidR="004A0D28">
        <w:rPr>
          <w:color w:val="000000" w:themeColor="text1"/>
        </w:rPr>
        <w:t>„</w:t>
      </w:r>
      <w:r w:rsidRPr="00D112F5">
        <w:rPr>
          <w:color w:val="000000" w:themeColor="text1"/>
        </w:rPr>
        <w:t>60/40</w:t>
      </w:r>
      <w:r w:rsidR="004A0D28">
        <w:rPr>
          <w:color w:val="000000" w:themeColor="text1"/>
        </w:rPr>
        <w:t>“</w:t>
      </w:r>
      <w:r w:rsidRPr="00D112F5">
        <w:rPr>
          <w:color w:val="000000" w:themeColor="text1"/>
        </w:rPr>
        <w:t xml:space="preserve">, при която правителството субсидира 60 % от дължимите разходи на работодателите за работна заплата и свързаните с тях осигурителни плащания във фирми, регистрирали спад над определен праг на продажбите поради пандемията. Според данните от </w:t>
      </w:r>
      <w:r w:rsidR="009B6F89">
        <w:rPr>
          <w:color w:val="000000" w:themeColor="text1"/>
        </w:rPr>
        <w:t>„Наблюдението на работната сила“ (</w:t>
      </w:r>
      <w:r w:rsidRPr="00D112F5">
        <w:rPr>
          <w:color w:val="000000" w:themeColor="text1"/>
        </w:rPr>
        <w:t>НРС</w:t>
      </w:r>
      <w:r w:rsidR="009B6F89">
        <w:rPr>
          <w:color w:val="000000" w:themeColor="text1"/>
        </w:rPr>
        <w:t xml:space="preserve">)       </w:t>
      </w:r>
      <w:r w:rsidRPr="00D112F5">
        <w:rPr>
          <w:color w:val="000000" w:themeColor="text1"/>
        </w:rPr>
        <w:t xml:space="preserve"> коефициентът на безработица в страната средно за деветте месеца на 2021 г. е 5,5 % и е с около 1,5 пр.</w:t>
      </w:r>
      <w:r w:rsidR="00021BCC">
        <w:rPr>
          <w:color w:val="000000" w:themeColor="text1"/>
        </w:rPr>
        <w:t xml:space="preserve"> </w:t>
      </w:r>
      <w:r w:rsidRPr="00D112F5">
        <w:rPr>
          <w:color w:val="000000" w:themeColor="text1"/>
        </w:rPr>
        <w:t xml:space="preserve">п. по-нисък в сравнение със средното ниво в ЕС-27. Коефициентът на икономическа активност на населението във възрастовата група 15-64 г. за същия период е 72,1 %. В същото време, броят на регистрираните безработни намалява почти постоянно през цялата 2021 г. В края на декември техният брой е 157,3 души, което е с около 20 % по-ниско от </w:t>
      </w:r>
      <w:r>
        <w:rPr>
          <w:color w:val="000000" w:themeColor="text1"/>
        </w:rPr>
        <w:t xml:space="preserve">нивата на показателя преди </w:t>
      </w:r>
      <w:r>
        <w:rPr>
          <w:color w:val="000000" w:themeColor="text1"/>
          <w:lang w:val="en-US"/>
        </w:rPr>
        <w:t>COVID</w:t>
      </w:r>
      <w:r w:rsidRPr="00ED2E7D">
        <w:rPr>
          <w:color w:val="000000" w:themeColor="text1"/>
          <w:lang w:val="ru-RU"/>
        </w:rPr>
        <w:t>-19</w:t>
      </w:r>
      <w:r w:rsidRPr="00D112F5">
        <w:rPr>
          <w:color w:val="000000" w:themeColor="text1"/>
        </w:rPr>
        <w:t xml:space="preserve"> кризата </w:t>
      </w:r>
      <w:r>
        <w:rPr>
          <w:color w:val="000000" w:themeColor="text1"/>
        </w:rPr>
        <w:t>(</w:t>
      </w:r>
      <w:r w:rsidRPr="00D112F5">
        <w:rPr>
          <w:color w:val="000000" w:themeColor="text1"/>
        </w:rPr>
        <w:t>декември 2019 г</w:t>
      </w:r>
      <w:r>
        <w:rPr>
          <w:color w:val="000000" w:themeColor="text1"/>
        </w:rPr>
        <w:t>.).</w:t>
      </w:r>
    </w:p>
    <w:p w14:paraId="65F6BE85" w14:textId="490A85C4" w:rsidR="00ED2E7D" w:rsidRPr="00D112F5" w:rsidRDefault="00ED2E7D" w:rsidP="00ED2E7D">
      <w:pPr>
        <w:spacing w:after="210"/>
        <w:jc w:val="both"/>
        <w:rPr>
          <w:color w:val="000000" w:themeColor="text1"/>
        </w:rPr>
      </w:pPr>
      <w:r w:rsidRPr="00D112F5">
        <w:rPr>
          <w:color w:val="000000" w:themeColor="text1"/>
        </w:rPr>
        <w:t>В периода януари-септември 2021 г. динамиката на производителността на труда премина на положителна територия. Реалният растеж на показателя достигна 3,7</w:t>
      </w:r>
      <w:r w:rsidR="004A0D28">
        <w:rPr>
          <w:color w:val="000000" w:themeColor="text1"/>
        </w:rPr>
        <w:t xml:space="preserve"> </w:t>
      </w:r>
      <w:r w:rsidRPr="00D112F5">
        <w:rPr>
          <w:color w:val="000000" w:themeColor="text1"/>
        </w:rPr>
        <w:t xml:space="preserve">% на годишна база с </w:t>
      </w:r>
      <w:r w:rsidRPr="00D112F5">
        <w:rPr>
          <w:color w:val="000000" w:themeColor="text1"/>
        </w:rPr>
        <w:lastRenderedPageBreak/>
        <w:t>водещ принос от страна на промишлеността. В условията на продължаващо нарастване на компенсацията на един нает, възстановяването на динамиката на производителността се отрази в корекция на разходите за труд на единица продукция. В номинално изражение техният растеж се забави до 5,6</w:t>
      </w:r>
      <w:r w:rsidR="004A0D28">
        <w:rPr>
          <w:color w:val="000000" w:themeColor="text1"/>
        </w:rPr>
        <w:t xml:space="preserve"> </w:t>
      </w:r>
      <w:r w:rsidRPr="00D112F5">
        <w:rPr>
          <w:color w:val="000000" w:themeColor="text1"/>
        </w:rPr>
        <w:t xml:space="preserve">%, а в реално изражение те се задържаха на нивото си от предходната година. </w:t>
      </w:r>
    </w:p>
    <w:p w14:paraId="45F7EA54" w14:textId="50282C37" w:rsidR="00ED2E7D" w:rsidRPr="00D112F5" w:rsidRDefault="00ED2E7D" w:rsidP="00ED2E7D">
      <w:pPr>
        <w:spacing w:after="210"/>
        <w:jc w:val="both"/>
        <w:rPr>
          <w:color w:val="000000" w:themeColor="text1"/>
        </w:rPr>
      </w:pPr>
      <w:r w:rsidRPr="00D112F5">
        <w:rPr>
          <w:color w:val="000000" w:themeColor="text1"/>
        </w:rPr>
        <w:t>За първите девет месеца на 2021 г. средната работна заплата се повиши средно с 11,9</w:t>
      </w:r>
      <w:r w:rsidR="004A0D28">
        <w:rPr>
          <w:color w:val="000000" w:themeColor="text1"/>
        </w:rPr>
        <w:t xml:space="preserve"> </w:t>
      </w:r>
      <w:r w:rsidRPr="00D112F5">
        <w:rPr>
          <w:color w:val="000000" w:themeColor="text1"/>
        </w:rPr>
        <w:t>% на годишна база, като отчетеният темп на растеж в обществения сектор надхвърли този в частния сектор на икономиката (16,4</w:t>
      </w:r>
      <w:r w:rsidR="009B6F89" w:rsidRPr="00580EB5">
        <w:rPr>
          <w:color w:val="000000" w:themeColor="text1"/>
        </w:rPr>
        <w:t>%</w:t>
      </w:r>
      <w:r w:rsidRPr="00D112F5">
        <w:rPr>
          <w:color w:val="000000" w:themeColor="text1"/>
        </w:rPr>
        <w:t xml:space="preserve"> спрямо 10,4</w:t>
      </w:r>
      <w:r w:rsidR="00900A0D">
        <w:rPr>
          <w:color w:val="000000" w:themeColor="text1"/>
        </w:rPr>
        <w:t xml:space="preserve"> </w:t>
      </w:r>
      <w:r w:rsidRPr="00D112F5">
        <w:rPr>
          <w:color w:val="000000" w:themeColor="text1"/>
        </w:rPr>
        <w:t>%). Нивата на заплащане в най-засегнатите от пандемията икономически дейности също се характеризираха със съществено нарастване и преодоляха спадовете, наблюдавани през 2020 г., дължащи се на въведените ограничителни мерки. Реалният растеж на показателя, изчислен с ХИПЦ, достигна 10</w:t>
      </w:r>
      <w:r w:rsidR="00900A0D">
        <w:rPr>
          <w:color w:val="000000" w:themeColor="text1"/>
        </w:rPr>
        <w:t xml:space="preserve"> </w:t>
      </w:r>
      <w:r w:rsidRPr="00D112F5">
        <w:rPr>
          <w:color w:val="000000" w:themeColor="text1"/>
        </w:rPr>
        <w:t>%. Реалното повишение на доходите се характеризираше с ускорение през първото полугодие и забавяне през третото тримесечие, което се дължеше на повишената инфлация в страната.</w:t>
      </w:r>
    </w:p>
    <w:p w14:paraId="52E57593" w14:textId="5DDD25E1" w:rsidR="00ED2E7D" w:rsidRPr="00D112F5" w:rsidRDefault="00ED2E7D" w:rsidP="00ED2E7D">
      <w:pPr>
        <w:spacing w:after="210"/>
        <w:jc w:val="both"/>
        <w:rPr>
          <w:color w:val="000000" w:themeColor="text1"/>
        </w:rPr>
      </w:pPr>
      <w:r w:rsidRPr="00D112F5">
        <w:rPr>
          <w:color w:val="000000" w:themeColor="text1"/>
        </w:rPr>
        <w:t>Годишният темп на инфлация следваше тенденция на ускорение до 6,6 % според ХИПЦ в края на 2021 г., а средногодишната инфлация възлезе на 2,8 %. Във връзка с наблюдаваното съществено повишение в международните цени на петрол, природен газ и електроенергия, енергийните стоки формират почти половината от повишението на общия индекс спрямо декември на предходната година. От тях транспортните горива имаха водещ принос, след като цените им регистрираха нарастване от 38,2 % на годишна база, а поскъпването при централно</w:t>
      </w:r>
      <w:r w:rsidR="0020162F" w:rsidRPr="00BC7778">
        <w:rPr>
          <w:color w:val="000000" w:themeColor="text1"/>
          <w:lang w:val="ru-RU"/>
        </w:rPr>
        <w:t>то</w:t>
      </w:r>
      <w:r w:rsidRPr="00D112F5">
        <w:rPr>
          <w:color w:val="000000" w:themeColor="text1"/>
        </w:rPr>
        <w:t xml:space="preserve"> газоснабдяване и твърди</w:t>
      </w:r>
      <w:r w:rsidR="0020162F">
        <w:rPr>
          <w:color w:val="000000" w:themeColor="text1"/>
        </w:rPr>
        <w:t>те</w:t>
      </w:r>
      <w:r w:rsidRPr="00D112F5">
        <w:rPr>
          <w:color w:val="000000" w:themeColor="text1"/>
        </w:rPr>
        <w:t xml:space="preserve"> горива се ускори съответно до 130,6 % и 25,9 %. Базисната инфлация</w:t>
      </w:r>
      <w:r w:rsidRPr="007B1B33">
        <w:rPr>
          <w:color w:val="000000" w:themeColor="text1"/>
          <w:vertAlign w:val="superscript"/>
        </w:rPr>
        <w:footnoteReference w:id="3"/>
      </w:r>
      <w:r w:rsidRPr="00D112F5">
        <w:rPr>
          <w:color w:val="000000" w:themeColor="text1"/>
        </w:rPr>
        <w:t xml:space="preserve"> също продължи да се ускорява до 3,9 % с разгръщането на вторичните ефекти от по-високите цени на енергийните стоки. Поскъпването на преработените храни бе 8,6 % спрямо декември 2020 г., а това на неенергийните нехранителни стоки – 2,9 %. При услугите бе наблюдавано известно забавяне до 2,4 % на годишна база.</w:t>
      </w:r>
    </w:p>
    <w:p w14:paraId="47DC792B" w14:textId="6413D6A7" w:rsidR="00ED2E7D" w:rsidRPr="00D112F5" w:rsidRDefault="00ED2E7D" w:rsidP="00ED2E7D">
      <w:pPr>
        <w:spacing w:after="210"/>
        <w:jc w:val="both"/>
        <w:rPr>
          <w:color w:val="000000" w:themeColor="text1"/>
        </w:rPr>
      </w:pPr>
      <w:r w:rsidRPr="00D112F5">
        <w:rPr>
          <w:color w:val="000000" w:themeColor="text1"/>
        </w:rPr>
        <w:t>В периода януари-ноември балансът по текущата сметка отчете дефицит в размер на 0,7 % от прогнозния БВП, спрямо балансирано салдо за същия период на 2020 г. Основен принос за влошаването имаше търговията със стоки. Силното вътрешно търсене, съчетано с нарастването на цените на международните пазари, се отрази в номинален растеж на вноса от 34,3 % спрямо същия период на предходната година, докато нарастването на износа бе с по-бавен темп от 28,8 %. Търговският дефицит възлезе на 4,2 % от прогнозния БВП, при 2,8 % година по-рано. С облекчаване на ограниченията пред международните пътувания, нараснаха и приходите от пътувания на чужденци в страната. Общо за единадесетте месеца на 2021 г. постъпленията нараснаха с 45,4 %. Значително увеличение бе отчетено и при износа на Други услуги, като основен принос имаше износът на Далекосъобщителни, компютърни и информационни услуги (ръст от 26,3 %). Общият дефицит на доходните статии се увеличи с 0,6 пр.</w:t>
      </w:r>
      <w:r w:rsidR="00021BCC">
        <w:rPr>
          <w:color w:val="000000" w:themeColor="text1"/>
        </w:rPr>
        <w:t xml:space="preserve"> </w:t>
      </w:r>
      <w:r w:rsidRPr="00D112F5">
        <w:rPr>
          <w:color w:val="000000" w:themeColor="text1"/>
        </w:rPr>
        <w:t xml:space="preserve">п. до 2,5 % от прогнозния БВП. Привлечените преки чуждестранни инвестиции бяха в размер на 1,8 млрд. евро или 2,7 % от прогнозния БВП. Към края на ноември </w:t>
      </w:r>
      <w:r w:rsidR="007226E7">
        <w:rPr>
          <w:color w:val="000000" w:themeColor="text1"/>
        </w:rPr>
        <w:t xml:space="preserve">брутният </w:t>
      </w:r>
      <w:r w:rsidRPr="00D112F5">
        <w:rPr>
          <w:color w:val="000000" w:themeColor="text1"/>
        </w:rPr>
        <w:t>външ</w:t>
      </w:r>
      <w:r w:rsidR="00736830">
        <w:rPr>
          <w:color w:val="000000" w:themeColor="text1"/>
        </w:rPr>
        <w:t>е</w:t>
      </w:r>
      <w:r w:rsidRPr="00D112F5">
        <w:rPr>
          <w:color w:val="000000" w:themeColor="text1"/>
        </w:rPr>
        <w:t>н дълг на страната бе 62</w:t>
      </w:r>
      <w:r w:rsidR="001D127E">
        <w:rPr>
          <w:color w:val="000000" w:themeColor="text1"/>
        </w:rPr>
        <w:t>,9</w:t>
      </w:r>
      <w:r w:rsidRPr="00D112F5">
        <w:rPr>
          <w:color w:val="000000" w:themeColor="text1"/>
        </w:rPr>
        <w:t> % от БВП.</w:t>
      </w:r>
    </w:p>
    <w:p w14:paraId="70214E9E" w14:textId="3EE7D6E5" w:rsidR="00ED2E7D" w:rsidRPr="00D112F5" w:rsidRDefault="00ED2E7D" w:rsidP="00ED2E7D">
      <w:pPr>
        <w:spacing w:after="210"/>
        <w:jc w:val="both"/>
        <w:rPr>
          <w:color w:val="000000" w:themeColor="text1"/>
        </w:rPr>
      </w:pPr>
      <w:r w:rsidRPr="00D112F5">
        <w:rPr>
          <w:color w:val="000000" w:themeColor="text1"/>
        </w:rPr>
        <w:t>Брутните международни валутни резерви на страната продължиха да осигуряват стабилното функциониране на Паричния съвет, като пазарната им стойност към края на 2021 г. възлезе на 34,6 млрд. евро.</w:t>
      </w:r>
      <w:r>
        <w:rPr>
          <w:color w:val="000000" w:themeColor="text1"/>
        </w:rPr>
        <w:t xml:space="preserve"> </w:t>
      </w:r>
      <w:r w:rsidRPr="00D112F5">
        <w:rPr>
          <w:color w:val="000000" w:themeColor="text1"/>
        </w:rPr>
        <w:t xml:space="preserve">Годишният растеж на кредита за частния сектор следваше тенденция на ускорение от началото на годината. Тя бе по-съществена след първото тримесечие, когато нарастването бе 4,6 %, след като през април 2020 г. частният кредит започна да се забавя в резултат от пандемията. Годишният темп на нарастване на кредита за частния сектор се повиши до 8,7 % в края на 2021 г. За тази динамика допринесе </w:t>
      </w:r>
      <w:r>
        <w:rPr>
          <w:color w:val="000000" w:themeColor="text1"/>
        </w:rPr>
        <w:t xml:space="preserve">основно </w:t>
      </w:r>
      <w:r w:rsidRPr="00D112F5">
        <w:rPr>
          <w:color w:val="000000" w:themeColor="text1"/>
        </w:rPr>
        <w:t>относително</w:t>
      </w:r>
      <w:r w:rsidR="002B7F0D">
        <w:rPr>
          <w:color w:val="000000" w:themeColor="text1"/>
        </w:rPr>
        <w:t>то</w:t>
      </w:r>
      <w:r w:rsidRPr="00D112F5">
        <w:rPr>
          <w:color w:val="000000" w:themeColor="text1"/>
        </w:rPr>
        <w:t xml:space="preserve"> високо търсене на </w:t>
      </w:r>
      <w:r>
        <w:rPr>
          <w:color w:val="000000" w:themeColor="text1"/>
        </w:rPr>
        <w:t>кредити от</w:t>
      </w:r>
      <w:r w:rsidRPr="00D112F5">
        <w:rPr>
          <w:color w:val="000000" w:themeColor="text1"/>
        </w:rPr>
        <w:t xml:space="preserve"> домакинствата, и в по-малка степен </w:t>
      </w:r>
      <w:r w:rsidR="002B7F0D">
        <w:rPr>
          <w:color w:val="000000" w:themeColor="text1"/>
        </w:rPr>
        <w:t xml:space="preserve">- </w:t>
      </w:r>
      <w:r w:rsidRPr="00D112F5">
        <w:rPr>
          <w:color w:val="000000" w:themeColor="text1"/>
        </w:rPr>
        <w:t>търсенето на кредит от фирмите.</w:t>
      </w:r>
    </w:p>
    <w:p w14:paraId="48D20819" w14:textId="433C1848" w:rsidR="00ED2E7D" w:rsidRPr="00D112F5" w:rsidRDefault="00ED2E7D" w:rsidP="00ED2E7D">
      <w:pPr>
        <w:spacing w:after="210"/>
        <w:jc w:val="both"/>
        <w:rPr>
          <w:color w:val="000000" w:themeColor="text1"/>
        </w:rPr>
      </w:pPr>
      <w:r w:rsidRPr="00D112F5">
        <w:rPr>
          <w:color w:val="000000" w:themeColor="text1"/>
        </w:rPr>
        <w:t xml:space="preserve">Към края на декември кредитите за домакинства се увеличиха с 13,4 % спрямо година по-рано, при ускорение едновременно и на потребителските и на жилищните кредити. </w:t>
      </w:r>
      <w:r w:rsidRPr="00D112F5">
        <w:rPr>
          <w:color w:val="000000" w:themeColor="text1"/>
        </w:rPr>
        <w:lastRenderedPageBreak/>
        <w:t xml:space="preserve">Потребителските кредити се увеличиха с 11,1 % спрямо края на 2020 г. (5 % годишен ръст в края на 2020 г.), а темпът на растеж на жилищните кредити достигна нов връх от 17,6 % при 11,6 % в края на 2020 г. </w:t>
      </w:r>
      <w:r w:rsidR="00B450E3">
        <w:rPr>
          <w:color w:val="000000" w:themeColor="text1"/>
        </w:rPr>
        <w:t>По-високото</w:t>
      </w:r>
      <w:r w:rsidRPr="00D112F5">
        <w:rPr>
          <w:color w:val="000000" w:themeColor="text1"/>
        </w:rPr>
        <w:t xml:space="preserve"> търсене на кредити от страна на домакинствата, освен с увеличението на доходите, ниските лихвени проценти и нарастващите цени на жилищата, може да се свърже и с нарастващи инфлационни очаквания. Годишният растеж на кредитите за нефинансови предприятия през ноември възлезе на 4,6 % при 3 % в края на 2020 г.</w:t>
      </w:r>
    </w:p>
    <w:p w14:paraId="3C8D74EF" w14:textId="77777777" w:rsidR="00ED2E7D" w:rsidRPr="00250195" w:rsidRDefault="00ED2E7D" w:rsidP="00ED2E7D">
      <w:pPr>
        <w:spacing w:before="240" w:after="120"/>
        <w:jc w:val="both"/>
        <w:rPr>
          <w:color w:val="000000" w:themeColor="text1"/>
        </w:rPr>
      </w:pPr>
      <w:r w:rsidRPr="00250195">
        <w:rPr>
          <w:b/>
          <w:color w:val="000000" w:themeColor="text1"/>
        </w:rPr>
        <w:t>Фискални развития през 202</w:t>
      </w:r>
      <w:r w:rsidRPr="00ED2E7D">
        <w:rPr>
          <w:b/>
          <w:color w:val="000000" w:themeColor="text1"/>
          <w:lang w:val="ru-RU"/>
        </w:rPr>
        <w:t>1</w:t>
      </w:r>
      <w:r w:rsidRPr="00250195">
        <w:rPr>
          <w:b/>
          <w:color w:val="000000" w:themeColor="text1"/>
        </w:rPr>
        <w:t xml:space="preserve"> г</w:t>
      </w:r>
      <w:r w:rsidRPr="00250195">
        <w:rPr>
          <w:color w:val="000000" w:themeColor="text1"/>
        </w:rPr>
        <w:t>.</w:t>
      </w:r>
    </w:p>
    <w:p w14:paraId="19CBC41A" w14:textId="3F935062" w:rsidR="00ED2E7D" w:rsidRDefault="00ED2E7D" w:rsidP="00ED2E7D">
      <w:pPr>
        <w:spacing w:after="210"/>
        <w:jc w:val="both"/>
        <w:rPr>
          <w:color w:val="000000" w:themeColor="text1"/>
        </w:rPr>
      </w:pPr>
      <w:r w:rsidRPr="00250195">
        <w:rPr>
          <w:color w:val="000000" w:themeColor="text1"/>
        </w:rPr>
        <w:t>Редица фактори с трудно прогн</w:t>
      </w:r>
      <w:r w:rsidR="009805B5">
        <w:rPr>
          <w:color w:val="000000" w:themeColor="text1"/>
        </w:rPr>
        <w:t>о</w:t>
      </w:r>
      <w:r w:rsidRPr="00250195">
        <w:rPr>
          <w:color w:val="000000" w:themeColor="text1"/>
        </w:rPr>
        <w:t xml:space="preserve">зируемо развитие доминираха върху фискалните развития през 2021 г. От една страна, с одобрението за прилагане на ваксини срещу </w:t>
      </w:r>
      <w:r w:rsidRPr="00250195">
        <w:rPr>
          <w:color w:val="000000" w:themeColor="text1"/>
          <w:lang w:val="en-US"/>
        </w:rPr>
        <w:t>COVID</w:t>
      </w:r>
      <w:r w:rsidRPr="00ED2E7D">
        <w:rPr>
          <w:color w:val="000000" w:themeColor="text1"/>
          <w:lang w:val="ru-RU"/>
        </w:rPr>
        <w:t>-19</w:t>
      </w:r>
      <w:r w:rsidRPr="00250195">
        <w:rPr>
          <w:color w:val="000000" w:themeColor="text1"/>
        </w:rPr>
        <w:t xml:space="preserve"> в края на 2020 г.</w:t>
      </w:r>
      <w:r w:rsidR="009805B5">
        <w:rPr>
          <w:color w:val="000000" w:themeColor="text1"/>
        </w:rPr>
        <w:t>,</w:t>
      </w:r>
      <w:r w:rsidRPr="00250195">
        <w:rPr>
          <w:color w:val="000000" w:themeColor="text1"/>
        </w:rPr>
        <w:t xml:space="preserve"> се очакваше медицинските рискове свързан</w:t>
      </w:r>
      <w:r w:rsidR="002B7F0D">
        <w:rPr>
          <w:color w:val="000000" w:themeColor="text1"/>
        </w:rPr>
        <w:t>и</w:t>
      </w:r>
      <w:r w:rsidRPr="00250195">
        <w:rPr>
          <w:color w:val="000000" w:themeColor="text1"/>
        </w:rPr>
        <w:t xml:space="preserve"> с пандемията да бъдат овладени през 2021 г. и поради тази причина на етапа на планиране ресурсите за обезпечаване на мерките за борба с пандемията бяха разчетени с по-кратък хоризонт на прилагане. От друга страна</w:t>
      </w:r>
      <w:r w:rsidR="00900A0D">
        <w:rPr>
          <w:color w:val="000000" w:themeColor="text1"/>
        </w:rPr>
        <w:t>,</w:t>
      </w:r>
      <w:r w:rsidRPr="00250195">
        <w:rPr>
          <w:color w:val="000000" w:themeColor="text1"/>
        </w:rPr>
        <w:t xml:space="preserve"> към предизвикателствата по отношение на разпространението на С</w:t>
      </w:r>
      <w:r w:rsidRPr="00250195">
        <w:rPr>
          <w:color w:val="000000" w:themeColor="text1"/>
          <w:lang w:val="en-US"/>
        </w:rPr>
        <w:t>OVID</w:t>
      </w:r>
      <w:r w:rsidRPr="00ED2E7D">
        <w:rPr>
          <w:color w:val="000000" w:themeColor="text1"/>
          <w:lang w:val="ru-RU"/>
        </w:rPr>
        <w:t>-19</w:t>
      </w:r>
      <w:r w:rsidRPr="00250195">
        <w:rPr>
          <w:color w:val="000000" w:themeColor="text1"/>
        </w:rPr>
        <w:t xml:space="preserve"> и негативните ефекти от пандемията върху икономиката и уязвимите групи от населението се добави и нов фактор със силно изразено влияние върху икономиката – нарастващите цени на енергоносителите и безпрецедентния скок на цената на електрическата енерги</w:t>
      </w:r>
      <w:r>
        <w:rPr>
          <w:color w:val="000000" w:themeColor="text1"/>
        </w:rPr>
        <w:t>я на енергийните борси в региона и в цяла Европа, кой</w:t>
      </w:r>
      <w:r w:rsidRPr="00250195">
        <w:rPr>
          <w:color w:val="000000" w:themeColor="text1"/>
        </w:rPr>
        <w:t xml:space="preserve">то започна да се проявява след месец юли и набра сила през последното тримесечие на 2021 г. </w:t>
      </w:r>
      <w:r>
        <w:rPr>
          <w:color w:val="000000" w:themeColor="text1"/>
        </w:rPr>
        <w:t>Всички тези развития бяха на фона на политическа нестабилност след проведените редовни парламентарни избори през месец април и последвалите два неуспешни цикъла за формиране на правителство и управляващо мнозинство в парламента. Тази напрегната политическа ситуация доведе до провеждането на два пъти на извънредни парламентарни избори, като едва през месец декември бе сформирана нова управленска коалиция, която излъчи нов редовен кабинет.</w:t>
      </w:r>
    </w:p>
    <w:p w14:paraId="392ED3AA" w14:textId="09B0E377" w:rsidR="00ED2E7D" w:rsidRDefault="00ED2E7D" w:rsidP="00ED2E7D">
      <w:pPr>
        <w:spacing w:after="210"/>
        <w:jc w:val="both"/>
        <w:rPr>
          <w:color w:val="000000" w:themeColor="text1"/>
        </w:rPr>
      </w:pPr>
      <w:r>
        <w:rPr>
          <w:color w:val="000000" w:themeColor="text1"/>
        </w:rPr>
        <w:t xml:space="preserve">Всички тези фактори </w:t>
      </w:r>
      <w:r w:rsidR="002A7C62">
        <w:rPr>
          <w:color w:val="000000" w:themeColor="text1"/>
        </w:rPr>
        <w:t>оказаха влияние</w:t>
      </w:r>
      <w:r>
        <w:rPr>
          <w:color w:val="000000" w:themeColor="text1"/>
        </w:rPr>
        <w:t xml:space="preserve"> върху бюджетните развития през годината, като до голяма степен рисковете</w:t>
      </w:r>
      <w:r w:rsidR="002A7C62">
        <w:rPr>
          <w:color w:val="000000" w:themeColor="text1"/>
        </w:rPr>
        <w:t>,</w:t>
      </w:r>
      <w:r>
        <w:rPr>
          <w:color w:val="000000" w:themeColor="text1"/>
        </w:rPr>
        <w:t xml:space="preserve"> породени от тях</w:t>
      </w:r>
      <w:r w:rsidR="002A7C62">
        <w:rPr>
          <w:color w:val="000000" w:themeColor="text1"/>
        </w:rPr>
        <w:t>,</w:t>
      </w:r>
      <w:r>
        <w:rPr>
          <w:color w:val="000000" w:themeColor="text1"/>
        </w:rPr>
        <w:t xml:space="preserve"> доминираха бюджетното изпълнение. В средата на годината се очерта необходимост от обезпечаване на допълнителни ресурси за удължаване и допълване на мерките за борба с пандемията, ко</w:t>
      </w:r>
      <w:r w:rsidR="002A7C62">
        <w:rPr>
          <w:color w:val="000000" w:themeColor="text1"/>
        </w:rPr>
        <w:t>е</w:t>
      </w:r>
      <w:r>
        <w:rPr>
          <w:color w:val="000000" w:themeColor="text1"/>
        </w:rPr>
        <w:t xml:space="preserve">то наложи актуализация на бюджетната рамка за годината. С одобрения ЗИД на ЗДБРБ за 2021 г. (ДВ, бр. 77 от 16.09.2021 г.) </w:t>
      </w:r>
      <w:r w:rsidR="002A7C62">
        <w:rPr>
          <w:color w:val="000000" w:themeColor="text1"/>
        </w:rPr>
        <w:t>с</w:t>
      </w:r>
      <w:r>
        <w:rPr>
          <w:color w:val="000000" w:themeColor="text1"/>
        </w:rPr>
        <w:t>е  обезпеч</w:t>
      </w:r>
      <w:r w:rsidR="002A7C62">
        <w:rPr>
          <w:color w:val="000000" w:themeColor="text1"/>
        </w:rPr>
        <w:t>иха</w:t>
      </w:r>
      <w:r>
        <w:rPr>
          <w:color w:val="000000" w:themeColor="text1"/>
        </w:rPr>
        <w:t xml:space="preserve"> допълнителни ресурси за удължаване на повечето действащи мерки за борба с пандемията и допълването им с нови такива до края на 2021 </w:t>
      </w:r>
      <w:r w:rsidR="009805B5">
        <w:rPr>
          <w:color w:val="000000" w:themeColor="text1"/>
        </w:rPr>
        <w:t xml:space="preserve">г. за сметка на ревизираните </w:t>
      </w:r>
      <w:r>
        <w:rPr>
          <w:color w:val="000000" w:themeColor="text1"/>
        </w:rPr>
        <w:t xml:space="preserve">по-високи разчети в частта на приходите. По този начин в актуализираните разчети бе предвидено дефицитът по КФП за 2021 г. да не надвиши 4,6 млрд. лв. (3,6 на сто от прогнозния БВП), което </w:t>
      </w:r>
      <w:r w:rsidR="008E62EB">
        <w:rPr>
          <w:color w:val="000000" w:themeColor="text1"/>
        </w:rPr>
        <w:t>бе</w:t>
      </w:r>
      <w:r>
        <w:rPr>
          <w:color w:val="000000" w:themeColor="text1"/>
        </w:rPr>
        <w:t xml:space="preserve"> подобрение с 0,3 млрд. лв. спрямо първоначалните разчети към ЗДБРБ за 2021 г. от есента на 2020 г. </w:t>
      </w:r>
    </w:p>
    <w:p w14:paraId="547AFFC4" w14:textId="468BAD00" w:rsidR="00ED2E7D" w:rsidRPr="00F03E8D" w:rsidRDefault="00ED2E7D" w:rsidP="00ED2E7D">
      <w:pPr>
        <w:spacing w:after="210"/>
        <w:jc w:val="both"/>
        <w:rPr>
          <w:color w:val="000000" w:themeColor="text1"/>
        </w:rPr>
      </w:pPr>
      <w:r w:rsidRPr="00F03E8D">
        <w:rPr>
          <w:color w:val="000000" w:themeColor="text1"/>
        </w:rPr>
        <w:t>На база на предварителни данни за размера на разходите за 2021 г. по мерките, свързани с усилията за ограничаване и овладяване на пандемията от COVID-19, както и социалните и икономическите мерки за намаляване на последствията за населението и бизнеса</w:t>
      </w:r>
      <w:r w:rsidR="00320F27">
        <w:rPr>
          <w:color w:val="000000" w:themeColor="text1"/>
        </w:rPr>
        <w:t>,</w:t>
      </w:r>
      <w:r w:rsidRPr="00F03E8D">
        <w:rPr>
          <w:color w:val="000000" w:themeColor="text1"/>
        </w:rPr>
        <w:t xml:space="preserve"> може да се обобщи, че по линия на националния бюджет са мобилизирани безпрецедентни по размер ресурси. Предварителните данни за 2021 г. сочат, че в хода на извънредната епидемична обстановка, действала през цялата година без прекъсване</w:t>
      </w:r>
      <w:r>
        <w:rPr>
          <w:color w:val="000000" w:themeColor="text1"/>
        </w:rPr>
        <w:t>,</w:t>
      </w:r>
      <w:r w:rsidRPr="00F03E8D">
        <w:rPr>
          <w:color w:val="000000" w:themeColor="text1"/>
        </w:rPr>
        <w:t xml:space="preserve"> са одобрени мерки и фискални стимули </w:t>
      </w:r>
      <w:r>
        <w:rPr>
          <w:color w:val="000000" w:themeColor="text1"/>
        </w:rPr>
        <w:t xml:space="preserve">по линия на националния бюджет </w:t>
      </w:r>
      <w:r w:rsidRPr="00F03E8D">
        <w:rPr>
          <w:color w:val="000000" w:themeColor="text1"/>
        </w:rPr>
        <w:t xml:space="preserve">за овладяване на пандемията от COVID-19 и </w:t>
      </w:r>
      <w:r w:rsidRPr="009805B5">
        <w:rPr>
          <w:color w:val="000000" w:themeColor="text1"/>
        </w:rPr>
        <w:t xml:space="preserve">последствията от нея, </w:t>
      </w:r>
      <w:r w:rsidR="00BA5A07">
        <w:rPr>
          <w:color w:val="000000" w:themeColor="text1"/>
        </w:rPr>
        <w:t>в размер на около 6,7 млрд. лв.</w:t>
      </w:r>
      <w:r w:rsidRPr="008954A1">
        <w:rPr>
          <w:color w:val="000000" w:themeColor="text1"/>
        </w:rPr>
        <w:t>,</w:t>
      </w:r>
      <w:r w:rsidRPr="009805B5">
        <w:rPr>
          <w:color w:val="000000" w:themeColor="text1"/>
        </w:rPr>
        <w:t xml:space="preserve"> което представлява 5,1 % о</w:t>
      </w:r>
      <w:r w:rsidR="00BA5A07">
        <w:rPr>
          <w:color w:val="000000" w:themeColor="text1"/>
        </w:rPr>
        <w:t>т прогнозния БВП.</w:t>
      </w:r>
      <w:r w:rsidRPr="009805B5">
        <w:rPr>
          <w:color w:val="000000" w:themeColor="text1"/>
        </w:rPr>
        <w:t xml:space="preserve"> Ресурсът за 2021</w:t>
      </w:r>
      <w:r w:rsidR="00320F27" w:rsidRPr="009805B5">
        <w:rPr>
          <w:color w:val="000000" w:themeColor="text1"/>
        </w:rPr>
        <w:t> </w:t>
      </w:r>
      <w:r w:rsidRPr="009805B5">
        <w:rPr>
          <w:color w:val="000000" w:themeColor="text1"/>
        </w:rPr>
        <w:t>г. значително надвишава този за 2020 г., когато от националния бюджет бяха изразход</w:t>
      </w:r>
      <w:r w:rsidR="00320F27" w:rsidRPr="009805B5">
        <w:rPr>
          <w:color w:val="000000" w:themeColor="text1"/>
        </w:rPr>
        <w:t>е</w:t>
      </w:r>
      <w:r w:rsidRPr="009805B5">
        <w:rPr>
          <w:color w:val="000000" w:themeColor="text1"/>
        </w:rPr>
        <w:t>ни 3,8 млрд. лв. за мерки срещу пандемията (3,2</w:t>
      </w:r>
      <w:r w:rsidR="00320F27" w:rsidRPr="009805B5">
        <w:rPr>
          <w:color w:val="000000" w:themeColor="text1"/>
        </w:rPr>
        <w:t xml:space="preserve"> </w:t>
      </w:r>
      <w:r w:rsidRPr="009805B5">
        <w:rPr>
          <w:color w:val="000000" w:themeColor="text1"/>
        </w:rPr>
        <w:t>% от БВП).</w:t>
      </w:r>
    </w:p>
    <w:p w14:paraId="0DB2E855" w14:textId="04290407" w:rsidR="00ED2E7D" w:rsidRDefault="00ED2E7D" w:rsidP="00ED2E7D">
      <w:pPr>
        <w:spacing w:after="210"/>
        <w:jc w:val="both"/>
        <w:rPr>
          <w:color w:val="000000" w:themeColor="text1"/>
        </w:rPr>
      </w:pPr>
      <w:r>
        <w:rPr>
          <w:color w:val="000000" w:themeColor="text1"/>
        </w:rPr>
        <w:t>При изготвянето на разчетите по ЗИД на ЗДБРБ за 2021 г. през юли и началото на август Министерството на финансите все още не разполагаше с анализ на промените в тенденциите по отношение на цените на електрическата енергия, поради което в актуализацията на бюджета не бяха предвидени конкретни механизми за компенсиране на бизнеса. Внезапното покачване на цените на електрическата енергия, търгувана на Българската независима енергийна борса</w:t>
      </w:r>
      <w:r w:rsidR="005D6D54">
        <w:rPr>
          <w:color w:val="000000" w:themeColor="text1"/>
        </w:rPr>
        <w:t>,</w:t>
      </w:r>
      <w:r>
        <w:rPr>
          <w:color w:val="000000" w:themeColor="text1"/>
        </w:rPr>
        <w:t xml:space="preserve"> засегна всички потребители извън регулирания пазар. Началото на шоковото поскъпване на цените започна в средата на месец юли и се затвърди през август и </w:t>
      </w:r>
      <w:r>
        <w:rPr>
          <w:color w:val="000000" w:themeColor="text1"/>
        </w:rPr>
        <w:lastRenderedPageBreak/>
        <w:t>септември. Високите цени на електроенергията създадоха внезапен шок за бизнеса и породиха рискове от потискане на растежа</w:t>
      </w:r>
      <w:r w:rsidR="00561574">
        <w:rPr>
          <w:color w:val="000000" w:themeColor="text1"/>
        </w:rPr>
        <w:t xml:space="preserve"> </w:t>
      </w:r>
      <w:r w:rsidR="00320F27">
        <w:rPr>
          <w:color w:val="000000" w:themeColor="text1"/>
        </w:rPr>
        <w:t>–</w:t>
      </w:r>
      <w:r w:rsidR="00561574">
        <w:rPr>
          <w:color w:val="000000" w:themeColor="text1"/>
        </w:rPr>
        <w:t xml:space="preserve"> </w:t>
      </w:r>
      <w:r w:rsidR="00320F27">
        <w:rPr>
          <w:color w:val="000000" w:themeColor="text1"/>
        </w:rPr>
        <w:t xml:space="preserve">бяха </w:t>
      </w:r>
      <w:r w:rsidR="00561574">
        <w:rPr>
          <w:color w:val="000000" w:themeColor="text1"/>
        </w:rPr>
        <w:t>предприе</w:t>
      </w:r>
      <w:r w:rsidR="00320F27">
        <w:rPr>
          <w:color w:val="000000" w:themeColor="text1"/>
        </w:rPr>
        <w:t>ти</w:t>
      </w:r>
      <w:r w:rsidR="00561574">
        <w:rPr>
          <w:color w:val="000000" w:themeColor="text1"/>
        </w:rPr>
        <w:t xml:space="preserve"> </w:t>
      </w:r>
      <w:r>
        <w:rPr>
          <w:color w:val="000000" w:themeColor="text1"/>
        </w:rPr>
        <w:t xml:space="preserve">мерки за свиване на производството и ограничаване на разходите </w:t>
      </w:r>
      <w:r w:rsidR="00561574">
        <w:rPr>
          <w:color w:val="000000" w:themeColor="text1"/>
        </w:rPr>
        <w:t xml:space="preserve">от страна на </w:t>
      </w:r>
      <w:r>
        <w:rPr>
          <w:color w:val="000000" w:themeColor="text1"/>
        </w:rPr>
        <w:t>производителите</w:t>
      </w:r>
      <w:r w:rsidR="00561574">
        <w:rPr>
          <w:color w:val="000000" w:themeColor="text1"/>
        </w:rPr>
        <w:t>,</w:t>
      </w:r>
      <w:r>
        <w:rPr>
          <w:color w:val="000000" w:themeColor="text1"/>
        </w:rPr>
        <w:t xml:space="preserve"> за да запазят своята конкурентна позиция на пазара. В тази връзка служебното правителство и встъпилото в длъжност през декември редовно правителство предприеха незабавни действия за подпомагане на бизнеса, като одобриха</w:t>
      </w:r>
      <w:r>
        <w:t xml:space="preserve"> </w:t>
      </w:r>
      <w:r w:rsidRPr="00574146">
        <w:t>Програма за компенсиране на небитовите крайни клиенти на електрическа енергия (РМС №</w:t>
      </w:r>
      <w:r w:rsidR="006E40B1">
        <w:t xml:space="preserve"> </w:t>
      </w:r>
      <w:r w:rsidRPr="00574146">
        <w:t>739; РМС №</w:t>
      </w:r>
      <w:r w:rsidR="006E40B1">
        <w:t xml:space="preserve"> </w:t>
      </w:r>
      <w:r w:rsidRPr="00574146">
        <w:t>771; РМС №</w:t>
      </w:r>
      <w:r w:rsidR="006E40B1">
        <w:t xml:space="preserve"> </w:t>
      </w:r>
      <w:r w:rsidRPr="00574146">
        <w:t>885; ПМС №</w:t>
      </w:r>
      <w:r w:rsidR="006E40B1">
        <w:t xml:space="preserve"> </w:t>
      </w:r>
      <w:r w:rsidRPr="00574146">
        <w:t>476), както и Програма за компенсиране на операторите на електропреносната и на електроразпределителната мрежи за закупуване на количества електрическа енергия, потреб</w:t>
      </w:r>
      <w:r w:rsidR="005D6D54">
        <w:t>е</w:t>
      </w:r>
      <w:r w:rsidRPr="00574146">
        <w:t>на за технологични разходи (ПМС №</w:t>
      </w:r>
      <w:r w:rsidR="006E40B1">
        <w:t xml:space="preserve"> </w:t>
      </w:r>
      <w:r w:rsidRPr="00574146">
        <w:t>476)</w:t>
      </w:r>
      <w:r>
        <w:t>. Предвижда се програмите за компенсиране на небитовите потребители на електрическа енергия да бъдат доразвити и променени, като те ще продължат да се прилагат и през първото тримесечие на 2022 г.</w:t>
      </w:r>
      <w:r>
        <w:rPr>
          <w:color w:val="000000" w:themeColor="text1"/>
        </w:rPr>
        <w:t xml:space="preserve">  Общият размер на разходите за 2021 г., обезпечени за изпълнение на посочените програми по бюджета на Министерството на енергетиката е 1,3 млрд. лв. (</w:t>
      </w:r>
      <w:r w:rsidR="00561574" w:rsidRPr="00561574">
        <w:rPr>
          <w:color w:val="000000" w:themeColor="text1"/>
        </w:rPr>
        <w:t xml:space="preserve">включително 0,45 млрд. лв. разходи за изпълнение на </w:t>
      </w:r>
      <w:r w:rsidR="00561574">
        <w:rPr>
          <w:color w:val="000000" w:themeColor="text1"/>
        </w:rPr>
        <w:t>п</w:t>
      </w:r>
      <w:r w:rsidR="00561574" w:rsidRPr="00561574">
        <w:rPr>
          <w:color w:val="000000" w:themeColor="text1"/>
        </w:rPr>
        <w:t>рограми за компенсиране на високите цени на електроенергията за бизнеса през първото тримесечие на 2022 г. в изпълнение на Решение на Народното събрание за одобряване на допълнителни разходи и трансфери по държавния бюджет за 2021 г. за сметка на преизпълнението на данъчните приходи</w:t>
      </w:r>
      <w:r>
        <w:rPr>
          <w:color w:val="000000" w:themeColor="text1"/>
        </w:rPr>
        <w:t xml:space="preserve">). </w:t>
      </w:r>
    </w:p>
    <w:p w14:paraId="2387CE76" w14:textId="7EACBA29" w:rsidR="00ED2E7D" w:rsidRDefault="00ED2E7D" w:rsidP="00ED2E7D">
      <w:pPr>
        <w:spacing w:after="210"/>
        <w:jc w:val="both"/>
        <w:rPr>
          <w:color w:val="000000" w:themeColor="text1"/>
        </w:rPr>
      </w:pPr>
      <w:r>
        <w:rPr>
          <w:color w:val="000000" w:themeColor="text1"/>
        </w:rPr>
        <w:t>Първите месеци на годината преминаха очаквано под знака на нова вълна на пандемията и необходимост от налагане на ограничителни мерки, целящи овладяване на разпр</w:t>
      </w:r>
      <w:r w:rsidR="00BC2A4A">
        <w:rPr>
          <w:color w:val="000000" w:themeColor="text1"/>
        </w:rPr>
        <w:t>о</w:t>
      </w:r>
      <w:r>
        <w:rPr>
          <w:color w:val="000000" w:themeColor="text1"/>
        </w:rPr>
        <w:t xml:space="preserve">странението на заразата и избягване на претоварване на здравната система. Това наложи </w:t>
      </w:r>
      <w:r w:rsidR="009805B5">
        <w:rPr>
          <w:color w:val="000000" w:themeColor="text1"/>
        </w:rPr>
        <w:t>предвидените</w:t>
      </w:r>
      <w:r>
        <w:rPr>
          <w:color w:val="000000" w:themeColor="text1"/>
        </w:rPr>
        <w:t xml:space="preserve"> в ЗДБРБ за 2021 г. средства за прилагане на мерки за борба с пандемията да започнат да се усвояват още от самото начало на годината, което заедно с някои еднократни разходи, свързани с инфраструктурни проекти и </w:t>
      </w:r>
      <w:r w:rsidRPr="00250195">
        <w:rPr>
          <w:color w:val="000000" w:themeColor="text1"/>
        </w:rPr>
        <w:t xml:space="preserve"> </w:t>
      </w:r>
      <w:r>
        <w:rPr>
          <w:color w:val="000000" w:themeColor="text1"/>
        </w:rPr>
        <w:t>разходи по проекти на Министерството на отбраната доведе до значителен ръст на разходите през първото тримесечие на годината. Значителен принос за отчетения ръст на разходите за първото тримесечие имат и разходите за пенсии, които</w:t>
      </w:r>
      <w:r w:rsidR="00BC2A4A">
        <w:rPr>
          <w:color w:val="000000" w:themeColor="text1"/>
        </w:rPr>
        <w:t>,</w:t>
      </w:r>
      <w:r>
        <w:rPr>
          <w:color w:val="000000" w:themeColor="text1"/>
        </w:rPr>
        <w:t xml:space="preserve"> от една страна</w:t>
      </w:r>
      <w:r w:rsidR="00BC2A4A">
        <w:rPr>
          <w:color w:val="000000" w:themeColor="text1"/>
        </w:rPr>
        <w:t>,</w:t>
      </w:r>
      <w:r>
        <w:rPr>
          <w:color w:val="000000" w:themeColor="text1"/>
        </w:rPr>
        <w:t xml:space="preserve"> бяха увеличени поради изплащането на добавка към пенсиите на всички пенсионери в изпълнение на мярката за подкрепа на уязвимите групи от населението в условията на пандемия от </w:t>
      </w:r>
      <w:r>
        <w:rPr>
          <w:color w:val="000000" w:themeColor="text1"/>
          <w:lang w:val="en-US"/>
        </w:rPr>
        <w:t>COVID</w:t>
      </w:r>
      <w:r w:rsidRPr="00ED2E7D">
        <w:rPr>
          <w:color w:val="000000" w:themeColor="text1"/>
          <w:lang w:val="ru-RU"/>
        </w:rPr>
        <w:t xml:space="preserve">-19, </w:t>
      </w:r>
      <w:r>
        <w:rPr>
          <w:color w:val="000000" w:themeColor="text1"/>
        </w:rPr>
        <w:t>и от друга – поради увеличението на размера на минима</w:t>
      </w:r>
      <w:r w:rsidR="006E40B1">
        <w:rPr>
          <w:color w:val="000000" w:themeColor="text1"/>
        </w:rPr>
        <w:t xml:space="preserve">лната и максималната пенсия от </w:t>
      </w:r>
      <w:r>
        <w:rPr>
          <w:color w:val="000000" w:themeColor="text1"/>
        </w:rPr>
        <w:t>1 януари 2021 г. със ЗДБРБ за 2021 г. Въпреки това параметрите по изпълнението на приходите очертаха продълж</w:t>
      </w:r>
      <w:r w:rsidR="004E6A73">
        <w:rPr>
          <w:color w:val="000000" w:themeColor="text1"/>
        </w:rPr>
        <w:t>аване</w:t>
      </w:r>
      <w:r>
        <w:rPr>
          <w:color w:val="000000" w:themeColor="text1"/>
        </w:rPr>
        <w:t xml:space="preserve"> на тенденцията на по-интензивно възстановяване, започнала през второто полугодие на 2020 г., с което бюджетното салдо остана относително стабилно до полугодието, когато бе отчетено минимално превишение на приходите над разходите по КФП в размер на 0,1 на сто от прогнозния БВП.</w:t>
      </w:r>
    </w:p>
    <w:p w14:paraId="2C084695" w14:textId="0F2AD0A6" w:rsidR="00ED2E7D" w:rsidRPr="00EC7D10" w:rsidRDefault="00ED2E7D" w:rsidP="00ED2E7D">
      <w:pPr>
        <w:spacing w:after="210"/>
        <w:jc w:val="both"/>
        <w:rPr>
          <w:color w:val="000000" w:themeColor="text1"/>
        </w:rPr>
      </w:pPr>
      <w:r>
        <w:rPr>
          <w:color w:val="000000" w:themeColor="text1"/>
        </w:rPr>
        <w:t>През месец юли бе извършен анализ на възможностите за удължаване и допълване на действащите до този момент мерки за намаляване на негативните ефекти от пандемията върху икономиката, защита на уязвимите групи от обществото и подкрепа на персонала на първа линия в борбата с пандемията в контекста на все по-реалните рискове за нова силна вълна на пандемията през есента. Отчитайки почти пълното изразходване на заложените в ЗДБРБ за 2021 г. ресурси за борба с пандемията още към полугодието и ниското ниво на ваксинационно покритие в страната бе идентифицирана н</w:t>
      </w:r>
      <w:r w:rsidR="00426387">
        <w:rPr>
          <w:color w:val="000000" w:themeColor="text1"/>
        </w:rPr>
        <w:t>еобходимост</w:t>
      </w:r>
      <w:r>
        <w:rPr>
          <w:color w:val="000000" w:themeColor="text1"/>
        </w:rPr>
        <w:t xml:space="preserve"> от обезпечаване на допълнителен ресурс за финансиране на такива мерки до края на годината. </w:t>
      </w:r>
      <w:r w:rsidRPr="00EC7D10">
        <w:rPr>
          <w:color w:val="000000" w:themeColor="text1"/>
        </w:rPr>
        <w:t>Прегледът на параметрите по бюджетното изпълнение към полугодието и подобрените очаквания при голяма част от макр</w:t>
      </w:r>
      <w:r>
        <w:rPr>
          <w:color w:val="000000" w:themeColor="text1"/>
        </w:rPr>
        <w:t>оикономическите индикатори дадоха</w:t>
      </w:r>
      <w:r w:rsidRPr="00EC7D10">
        <w:rPr>
          <w:color w:val="000000" w:themeColor="text1"/>
        </w:rPr>
        <w:t xml:space="preserve"> основание да се очаква, че преизпълнението на приходите в годишен план може да </w:t>
      </w:r>
      <w:r>
        <w:rPr>
          <w:color w:val="000000" w:themeColor="text1"/>
        </w:rPr>
        <w:t>обезпечи адекватни на идентифицираните рискове ресурси</w:t>
      </w:r>
      <w:r w:rsidR="00426387">
        <w:rPr>
          <w:color w:val="000000" w:themeColor="text1"/>
        </w:rPr>
        <w:t>,</w:t>
      </w:r>
      <w:r w:rsidRPr="00EC7D10">
        <w:rPr>
          <w:color w:val="000000" w:themeColor="text1"/>
        </w:rPr>
        <w:t xml:space="preserve"> без това да доведе до влошаване на бюджетната позиция на касова основа спрямо първоначално заложените целеви стойности.</w:t>
      </w:r>
      <w:r>
        <w:rPr>
          <w:color w:val="000000" w:themeColor="text1"/>
        </w:rPr>
        <w:t xml:space="preserve"> На тази база бе изготвен законопроект за изменение и допълнение на ЗДБРБ за 2021</w:t>
      </w:r>
      <w:r w:rsidR="004E6A73">
        <w:rPr>
          <w:color w:val="000000" w:themeColor="text1"/>
        </w:rPr>
        <w:t xml:space="preserve"> </w:t>
      </w:r>
      <w:r>
        <w:rPr>
          <w:color w:val="000000" w:themeColor="text1"/>
        </w:rPr>
        <w:t>г., който се основаваше на търсен</w:t>
      </w:r>
      <w:r w:rsidRPr="00EC7D10">
        <w:rPr>
          <w:color w:val="000000" w:themeColor="text1"/>
        </w:rPr>
        <w:t xml:space="preserve"> баланс между необходимостта от осигуряване на допълнителни средства за приоритетни и неотложни политики и възможностите на приходната част на бюджета да осигури тяхното финансиране. </w:t>
      </w:r>
      <w:r>
        <w:rPr>
          <w:color w:val="000000" w:themeColor="text1"/>
        </w:rPr>
        <w:t>Актуализираните разчети бяха окончателно одобрени от Народното събрание през месец септември, като по време на обсъжданията и гласуването на текстовете бяха промен</w:t>
      </w:r>
      <w:r w:rsidR="004E6A73">
        <w:rPr>
          <w:color w:val="000000" w:themeColor="text1"/>
        </w:rPr>
        <w:t>ени</w:t>
      </w:r>
      <w:r>
        <w:rPr>
          <w:color w:val="000000" w:themeColor="text1"/>
        </w:rPr>
        <w:t xml:space="preserve"> и </w:t>
      </w:r>
      <w:r>
        <w:rPr>
          <w:color w:val="000000" w:themeColor="text1"/>
        </w:rPr>
        <w:lastRenderedPageBreak/>
        <w:t xml:space="preserve">допълнени отделните направления на разходите на база на предложения на народни представители. </w:t>
      </w:r>
    </w:p>
    <w:p w14:paraId="54888111" w14:textId="21FA6278" w:rsidR="00ED2E7D" w:rsidRPr="00EA6784" w:rsidRDefault="00ED2E7D" w:rsidP="00ED2E7D">
      <w:pPr>
        <w:spacing w:after="210"/>
        <w:jc w:val="both"/>
        <w:rPr>
          <w:color w:val="000000" w:themeColor="text1"/>
        </w:rPr>
      </w:pPr>
      <w:r w:rsidRPr="00EA6784">
        <w:rPr>
          <w:color w:val="000000" w:themeColor="text1"/>
        </w:rPr>
        <w:t>През последното тримесечие на годината към предизвикателствата, свързани с мерките за борба с пандемията</w:t>
      </w:r>
      <w:r w:rsidR="004E6A73">
        <w:rPr>
          <w:color w:val="000000" w:themeColor="text1"/>
        </w:rPr>
        <w:t>,</w:t>
      </w:r>
      <w:r w:rsidRPr="00EA6784">
        <w:rPr>
          <w:color w:val="000000" w:themeColor="text1"/>
        </w:rPr>
        <w:t xml:space="preserve"> се добавиха и </w:t>
      </w:r>
      <w:r>
        <w:rPr>
          <w:color w:val="000000" w:themeColor="text1"/>
        </w:rPr>
        <w:t>нови, свързани с шоковото поскъпване на цените на електроенергията през периода септември-</w:t>
      </w:r>
      <w:r w:rsidR="00426387">
        <w:rPr>
          <w:color w:val="000000" w:themeColor="text1"/>
        </w:rPr>
        <w:t>декември</w:t>
      </w:r>
      <w:r>
        <w:rPr>
          <w:color w:val="000000" w:themeColor="text1"/>
        </w:rPr>
        <w:t xml:space="preserve">. </w:t>
      </w:r>
      <w:r w:rsidR="00CE2852">
        <w:rPr>
          <w:color w:val="000000" w:themeColor="text1"/>
        </w:rPr>
        <w:t>Това</w:t>
      </w:r>
      <w:r>
        <w:rPr>
          <w:color w:val="000000" w:themeColor="text1"/>
        </w:rPr>
        <w:t xml:space="preserve"> наложи</w:t>
      </w:r>
      <w:r w:rsidR="00426387">
        <w:rPr>
          <w:color w:val="000000" w:themeColor="text1"/>
        </w:rPr>
        <w:t>,</w:t>
      </w:r>
      <w:r>
        <w:rPr>
          <w:color w:val="000000" w:themeColor="text1"/>
        </w:rPr>
        <w:t xml:space="preserve"> от една страна</w:t>
      </w:r>
      <w:r w:rsidR="00426387">
        <w:rPr>
          <w:color w:val="000000" w:themeColor="text1"/>
        </w:rPr>
        <w:t>,</w:t>
      </w:r>
      <w:r>
        <w:rPr>
          <w:color w:val="000000" w:themeColor="text1"/>
        </w:rPr>
        <w:t xml:space="preserve">  приоритизиран</w:t>
      </w:r>
      <w:r w:rsidR="00CE2852">
        <w:rPr>
          <w:color w:val="000000" w:themeColor="text1"/>
        </w:rPr>
        <w:t>е</w:t>
      </w:r>
      <w:r>
        <w:rPr>
          <w:color w:val="000000" w:themeColor="text1"/>
        </w:rPr>
        <w:t xml:space="preserve"> </w:t>
      </w:r>
      <w:r w:rsidR="00CE2852">
        <w:rPr>
          <w:color w:val="000000" w:themeColor="text1"/>
        </w:rPr>
        <w:t xml:space="preserve">на </w:t>
      </w:r>
      <w:r>
        <w:rPr>
          <w:color w:val="000000" w:themeColor="text1"/>
        </w:rPr>
        <w:t>разходите в отделните политики до края на годината</w:t>
      </w:r>
      <w:r w:rsidR="00CE2852">
        <w:rPr>
          <w:color w:val="000000" w:themeColor="text1"/>
        </w:rPr>
        <w:t xml:space="preserve"> </w:t>
      </w:r>
      <w:r>
        <w:rPr>
          <w:color w:val="000000" w:themeColor="text1"/>
        </w:rPr>
        <w:t>чрез преструктуриране на разходи</w:t>
      </w:r>
      <w:r w:rsidR="00CE2852">
        <w:rPr>
          <w:color w:val="000000" w:themeColor="text1"/>
        </w:rPr>
        <w:t>те</w:t>
      </w:r>
      <w:r>
        <w:rPr>
          <w:color w:val="000000" w:themeColor="text1"/>
        </w:rPr>
        <w:t xml:space="preserve"> по държавния бюджет </w:t>
      </w:r>
      <w:r w:rsidR="00CE2852">
        <w:rPr>
          <w:color w:val="000000" w:themeColor="text1"/>
        </w:rPr>
        <w:t>за</w:t>
      </w:r>
      <w:r>
        <w:rPr>
          <w:color w:val="000000" w:themeColor="text1"/>
        </w:rPr>
        <w:t xml:space="preserve"> обезпеч</w:t>
      </w:r>
      <w:r w:rsidR="00CE2852">
        <w:rPr>
          <w:color w:val="000000" w:themeColor="text1"/>
        </w:rPr>
        <w:t>аване на</w:t>
      </w:r>
      <w:r>
        <w:rPr>
          <w:color w:val="000000" w:themeColor="text1"/>
        </w:rPr>
        <w:t xml:space="preserve"> допълнителен ресурс за финансиране на мерки </w:t>
      </w:r>
      <w:r w:rsidR="00CE2852">
        <w:rPr>
          <w:color w:val="000000" w:themeColor="text1"/>
        </w:rPr>
        <w:t>з</w:t>
      </w:r>
      <w:r>
        <w:rPr>
          <w:color w:val="000000" w:themeColor="text1"/>
        </w:rPr>
        <w:t xml:space="preserve">а овладяване на ситуацията, породена от поскъпването на електричеството. От друга </w:t>
      </w:r>
      <w:r w:rsidR="00CE2852">
        <w:rPr>
          <w:color w:val="000000" w:themeColor="text1"/>
        </w:rPr>
        <w:t xml:space="preserve">страна, </w:t>
      </w:r>
      <w:r>
        <w:rPr>
          <w:color w:val="000000" w:themeColor="text1"/>
        </w:rPr>
        <w:t xml:space="preserve">новото редовно правителство изготви предложение за одобряване на допълнителни разходи и трансфери по държавния бюджет за 2021 г. за сметка на прогнозирано преизпълнение на актуализираните разчети за приходите от данъци по държавния бюджет, като допълнителните разходи бяха насочени за обезпечаване на изплащането на добавки към пенсиите за първите шест месеца на 2022 г., както и за продължаване на програмата за компенсиране на потребителите на електрическа енергия за високите цени на електричеството през първото тримесечие на 2022 г. </w:t>
      </w:r>
    </w:p>
    <w:p w14:paraId="13CC5932" w14:textId="77777777" w:rsidR="00ED2E7D" w:rsidRPr="004E6A73" w:rsidRDefault="00ED2E7D" w:rsidP="00ED2E7D">
      <w:pPr>
        <w:spacing w:before="360"/>
        <w:jc w:val="both"/>
        <w:rPr>
          <w:b/>
          <w:color w:val="000000" w:themeColor="text1"/>
          <w:u w:val="single"/>
        </w:rPr>
      </w:pPr>
      <w:r w:rsidRPr="004E6A73">
        <w:rPr>
          <w:b/>
          <w:color w:val="000000" w:themeColor="text1"/>
          <w:u w:val="single"/>
        </w:rPr>
        <w:t>Бюджетна позиция</w:t>
      </w:r>
    </w:p>
    <w:p w14:paraId="21869BD9" w14:textId="6C9CFC87" w:rsidR="00ED2E7D" w:rsidRPr="007340F5" w:rsidRDefault="00ED2E7D" w:rsidP="00ED2E7D">
      <w:pPr>
        <w:spacing w:before="120" w:after="210"/>
        <w:jc w:val="both"/>
        <w:rPr>
          <w:color w:val="000000" w:themeColor="text1"/>
        </w:rPr>
      </w:pPr>
      <w:r w:rsidRPr="007340F5">
        <w:rPr>
          <w:color w:val="000000" w:themeColor="text1"/>
        </w:rPr>
        <w:t>На база на данните от месечните отчети за касовото изпълнение на бюджетите на първостепенните разпоредители с бюджет салдото по консолидираната фискална програма за 202</w:t>
      </w:r>
      <w:r>
        <w:rPr>
          <w:color w:val="000000" w:themeColor="text1"/>
        </w:rPr>
        <w:t>1</w:t>
      </w:r>
      <w:r w:rsidRPr="007340F5">
        <w:rPr>
          <w:color w:val="000000" w:themeColor="text1"/>
        </w:rPr>
        <w:t xml:space="preserve"> г. е</w:t>
      </w:r>
      <w:r>
        <w:rPr>
          <w:color w:val="000000" w:themeColor="text1"/>
        </w:rPr>
        <w:t xml:space="preserve"> отрицателно в размер на 3 910,4</w:t>
      </w:r>
      <w:r w:rsidRPr="007340F5">
        <w:rPr>
          <w:color w:val="000000" w:themeColor="text1"/>
        </w:rPr>
        <w:t xml:space="preserve"> млн. лв. (3,0 % от прогнозния БВП). Спрямо заложената цел с актуализираните разчети към ЗДБРБ за 202</w:t>
      </w:r>
      <w:r>
        <w:rPr>
          <w:color w:val="000000" w:themeColor="text1"/>
        </w:rPr>
        <w:t>1</w:t>
      </w:r>
      <w:r w:rsidRPr="007340F5">
        <w:rPr>
          <w:color w:val="000000" w:themeColor="text1"/>
        </w:rPr>
        <w:t xml:space="preserve"> г. бюджетното салдо по КФП о</w:t>
      </w:r>
      <w:r>
        <w:rPr>
          <w:color w:val="000000" w:themeColor="text1"/>
        </w:rPr>
        <w:t>тчита номинално подобрение с 0,7</w:t>
      </w:r>
      <w:r w:rsidRPr="007340F5">
        <w:rPr>
          <w:color w:val="000000" w:themeColor="text1"/>
        </w:rPr>
        <w:t xml:space="preserve"> млрд. лева. Бюджетното салдо по КФП за годината на касова основа съответства на предвидения ограничител във фискалното правило по чл. 27, ал. 4 </w:t>
      </w:r>
      <w:r w:rsidR="00253103">
        <w:rPr>
          <w:color w:val="000000" w:themeColor="text1"/>
        </w:rPr>
        <w:t>от</w:t>
      </w:r>
      <w:r w:rsidRPr="007340F5">
        <w:rPr>
          <w:color w:val="000000" w:themeColor="text1"/>
        </w:rPr>
        <w:t xml:space="preserve"> ЗПФ.</w:t>
      </w:r>
    </w:p>
    <w:p w14:paraId="44158EA7" w14:textId="416D30BB" w:rsidR="00ED2E7D" w:rsidRPr="007340F5" w:rsidRDefault="00ED2E7D" w:rsidP="00ED2E7D">
      <w:pPr>
        <w:spacing w:after="210"/>
        <w:jc w:val="both"/>
        <w:rPr>
          <w:color w:val="000000" w:themeColor="text1"/>
        </w:rPr>
      </w:pPr>
      <w:r w:rsidRPr="007340F5">
        <w:rPr>
          <w:color w:val="000000" w:themeColor="text1"/>
        </w:rPr>
        <w:t>Заложените в ЗДБРБ за 202</w:t>
      </w:r>
      <w:r>
        <w:rPr>
          <w:color w:val="000000" w:themeColor="text1"/>
        </w:rPr>
        <w:t>1</w:t>
      </w:r>
      <w:r w:rsidRPr="007340F5">
        <w:rPr>
          <w:color w:val="000000" w:themeColor="text1"/>
        </w:rPr>
        <w:t xml:space="preserve"> г. ограничители по отношение на държавния дълг са спазени. В номинално изражение държавният дълг за годината възлиза</w:t>
      </w:r>
      <w:r>
        <w:rPr>
          <w:color w:val="000000" w:themeColor="text1"/>
        </w:rPr>
        <w:t xml:space="preserve"> </w:t>
      </w:r>
      <w:r w:rsidRPr="00C11470">
        <w:rPr>
          <w:color w:val="000000" w:themeColor="text1"/>
        </w:rPr>
        <w:t>на 31,2 млрд. лв. (2</w:t>
      </w:r>
      <w:r w:rsidR="00C11470" w:rsidRPr="00BC7778">
        <w:rPr>
          <w:color w:val="000000" w:themeColor="text1"/>
          <w:lang w:val="ru-RU"/>
        </w:rPr>
        <w:t>3</w:t>
      </w:r>
      <w:r w:rsidRPr="00C11470">
        <w:rPr>
          <w:color w:val="000000" w:themeColor="text1"/>
        </w:rPr>
        <w:t>,</w:t>
      </w:r>
      <w:r w:rsidR="00C11470" w:rsidRPr="00BC7778">
        <w:rPr>
          <w:color w:val="000000" w:themeColor="text1"/>
          <w:lang w:val="ru-RU"/>
        </w:rPr>
        <w:t>9</w:t>
      </w:r>
      <w:r w:rsidR="004E6A73" w:rsidRPr="00C11470">
        <w:rPr>
          <w:color w:val="000000" w:themeColor="text1"/>
        </w:rPr>
        <w:t xml:space="preserve"> </w:t>
      </w:r>
      <w:r w:rsidRPr="00C11470">
        <w:rPr>
          <w:color w:val="000000" w:themeColor="text1"/>
        </w:rPr>
        <w:t>% от</w:t>
      </w:r>
      <w:r w:rsidRPr="007340F5">
        <w:rPr>
          <w:color w:val="000000" w:themeColor="text1"/>
        </w:rPr>
        <w:t xml:space="preserve"> прогнозния БВП), като индикаторът държавен дълг отнесен към БВП е значително под предвидения в националните фискални правила праг от 60 % от БВП.</w:t>
      </w:r>
    </w:p>
    <w:p w14:paraId="0A0E66B3" w14:textId="77777777" w:rsidR="00ED2E7D" w:rsidRPr="00DB3FAA" w:rsidRDefault="00ED2E7D" w:rsidP="00ED2E7D">
      <w:pPr>
        <w:spacing w:before="360"/>
        <w:jc w:val="both"/>
        <w:rPr>
          <w:b/>
          <w:color w:val="000000" w:themeColor="text1"/>
          <w:u w:val="single"/>
        </w:rPr>
      </w:pPr>
      <w:r w:rsidRPr="00DB3FAA">
        <w:rPr>
          <w:b/>
          <w:color w:val="000000" w:themeColor="text1"/>
          <w:u w:val="single"/>
        </w:rPr>
        <w:t>Основни акценти във връзка с текущото наблюдение на изпълнението на консолидираната фискална програма за 2021 г.</w:t>
      </w:r>
    </w:p>
    <w:p w14:paraId="6586A62F" w14:textId="77777777" w:rsidR="00ED2E7D" w:rsidRPr="00DB3FAA" w:rsidRDefault="00ED2E7D" w:rsidP="00ED2E7D">
      <w:pPr>
        <w:spacing w:before="120" w:after="210"/>
        <w:jc w:val="both"/>
        <w:rPr>
          <w:color w:val="000000" w:themeColor="text1"/>
        </w:rPr>
      </w:pPr>
      <w:r w:rsidRPr="00DB3FAA">
        <w:rPr>
          <w:color w:val="000000" w:themeColor="text1"/>
        </w:rPr>
        <w:t>През 2021 г. продължи да действа активираната година по-рано Обща предпазна клауза на Пакта за стабилност и растеж, която позволява на държавите-членки да предприемат мерки за справяне с разпространението на COVID-19, като се отклонят от фискалните правила, които обикновено се прилагат в рамките на европейската фискална рамка. По този начин бе дадена възможност за гъвкавост на националните правителства да предприемат мерки в условията на извънредно положение, което предполага значително увеличаване на публичните разходи на фона на очаквано неизпълнение на приходите и съответно изисква временно разхлабване. Ситуацията в момента попада в дефиницията за извънредно обстоятелство съгласно чл. 9 от Регламент (ЕО) на Съвета от 7 юли 1997 г.</w:t>
      </w:r>
    </w:p>
    <w:p w14:paraId="79A24C03" w14:textId="41A051E6" w:rsidR="00ED2E7D" w:rsidRPr="007C115F" w:rsidRDefault="00ED2E7D" w:rsidP="00ED2E7D">
      <w:pPr>
        <w:spacing w:after="120"/>
        <w:jc w:val="both"/>
        <w:rPr>
          <w:color w:val="000000" w:themeColor="text1"/>
        </w:rPr>
      </w:pPr>
      <w:r w:rsidRPr="00DB3FAA">
        <w:rPr>
          <w:color w:val="000000" w:themeColor="text1"/>
        </w:rPr>
        <w:t>От страна на приходите се наблюдава</w:t>
      </w:r>
      <w:r w:rsidR="00CB0153">
        <w:rPr>
          <w:color w:val="000000" w:themeColor="text1"/>
        </w:rPr>
        <w:t>ш</w:t>
      </w:r>
      <w:r w:rsidRPr="00DB3FAA">
        <w:rPr>
          <w:color w:val="000000" w:themeColor="text1"/>
        </w:rPr>
        <w:t xml:space="preserve">е интензивно нарастване на постъпленията при всички основни приходни групи – данъчни и осигурителни приходи, неданъчни приходи и постъпления от помощи и дарения, където постъпват грантовете от ЕС. Тази тенденция бе особено изразена през месеците от април до декември, като </w:t>
      </w:r>
      <w:r>
        <w:rPr>
          <w:color w:val="000000" w:themeColor="text1"/>
        </w:rPr>
        <w:t>в годишен план основните приходни показатели отчитат двуцифрен ръст спрямо предходната година. Общо приходите, помощите и даренията по КФП нараснаха с над 8,0 млрд. лв. (18,1 на сто) спрямо предходната година, като основен двигател бяха данъчно-осигурителните постъпления, които формират над 5,0 млрд. лв. от отчетеното увеличение. Още към средата на годината а</w:t>
      </w:r>
      <w:r w:rsidRPr="007C115F">
        <w:rPr>
          <w:color w:val="000000" w:themeColor="text1"/>
        </w:rPr>
        <w:t>нализът на изпълнението на п</w:t>
      </w:r>
      <w:r>
        <w:rPr>
          <w:color w:val="000000" w:themeColor="text1"/>
        </w:rPr>
        <w:t>араметрите по приходите очерта</w:t>
      </w:r>
      <w:r w:rsidRPr="007C115F">
        <w:rPr>
          <w:color w:val="000000" w:themeColor="text1"/>
        </w:rPr>
        <w:t xml:space="preserve"> значително подобрение при основните данъци и осигурителни вноски в годишен план спрямо заложените показатели в ЗДБРБ за 2021 г. Причините за това </w:t>
      </w:r>
      <w:r>
        <w:rPr>
          <w:color w:val="000000" w:themeColor="text1"/>
        </w:rPr>
        <w:t>бяха</w:t>
      </w:r>
      <w:r w:rsidRPr="007C115F">
        <w:rPr>
          <w:color w:val="000000" w:themeColor="text1"/>
        </w:rPr>
        <w:t xml:space="preserve">, от една страна, подобрението при голяма част от </w:t>
      </w:r>
      <w:r w:rsidRPr="007C115F">
        <w:rPr>
          <w:color w:val="000000" w:themeColor="text1"/>
        </w:rPr>
        <w:lastRenderedPageBreak/>
        <w:t>макроикономическите индикатори спрямо прогнозите от есента на 2020 г., кое</w:t>
      </w:r>
      <w:r>
        <w:rPr>
          <w:color w:val="000000" w:themeColor="text1"/>
        </w:rPr>
        <w:t>то б</w:t>
      </w:r>
      <w:r w:rsidRPr="007C115F">
        <w:rPr>
          <w:color w:val="000000" w:themeColor="text1"/>
        </w:rPr>
        <w:t>е потвър</w:t>
      </w:r>
      <w:r>
        <w:rPr>
          <w:color w:val="000000" w:themeColor="text1"/>
        </w:rPr>
        <w:t>дено</w:t>
      </w:r>
      <w:r w:rsidRPr="007C115F">
        <w:rPr>
          <w:color w:val="000000" w:themeColor="text1"/>
        </w:rPr>
        <w:t xml:space="preserve"> и от актуализираната макроикономическа прогноза на Министерството на финансите</w:t>
      </w:r>
      <w:r>
        <w:rPr>
          <w:color w:val="000000" w:themeColor="text1"/>
        </w:rPr>
        <w:t xml:space="preserve"> от юли 2021 г.</w:t>
      </w:r>
      <w:r w:rsidRPr="007C115F">
        <w:rPr>
          <w:color w:val="000000" w:themeColor="text1"/>
        </w:rPr>
        <w:t xml:space="preserve">, и от друга - усилията на приходните администрации за повишаване на събираемостта на приходите и борба с данъчните престъпления, контрабандата, недекларираните доходи и други. </w:t>
      </w:r>
      <w:r>
        <w:rPr>
          <w:color w:val="000000" w:themeColor="text1"/>
        </w:rPr>
        <w:t>През втората половина на годината продължи да се наблюдава</w:t>
      </w:r>
      <w:r w:rsidRPr="007C115F">
        <w:rPr>
          <w:color w:val="000000" w:themeColor="text1"/>
        </w:rPr>
        <w:t xml:space="preserve"> положителното развитие при вътрешното потребление, вноса, износа, ръста на компенсациите на наетите и други ключови индикатори, които имат положително влияние върху приходната част на бюджета</w:t>
      </w:r>
      <w:r>
        <w:rPr>
          <w:color w:val="000000" w:themeColor="text1"/>
        </w:rPr>
        <w:t>. Към тези фактори се добави и шоковото поскъпване на цените на електрическата енергия, регистрирано на регионалните борси в цяла Ев</w:t>
      </w:r>
      <w:r w:rsidR="00CB0153">
        <w:rPr>
          <w:color w:val="000000" w:themeColor="text1"/>
        </w:rPr>
        <w:t>ропа, както и значителното покач</w:t>
      </w:r>
      <w:r>
        <w:rPr>
          <w:color w:val="000000" w:themeColor="text1"/>
        </w:rPr>
        <w:t>ване на цената на природния газ</w:t>
      </w:r>
      <w:r>
        <w:rPr>
          <w:sz w:val="28"/>
          <w:szCs w:val="28"/>
        </w:rPr>
        <w:t>. Р</w:t>
      </w:r>
      <w:r w:rsidRPr="007C115F">
        <w:rPr>
          <w:color w:val="000000" w:themeColor="text1"/>
        </w:rPr>
        <w:t>ъст</w:t>
      </w:r>
      <w:r>
        <w:rPr>
          <w:color w:val="000000" w:themeColor="text1"/>
        </w:rPr>
        <w:t>ът</w:t>
      </w:r>
      <w:r w:rsidRPr="007C115F">
        <w:rPr>
          <w:color w:val="000000" w:themeColor="text1"/>
        </w:rPr>
        <w:t xml:space="preserve"> на цените на основни енергоносители</w:t>
      </w:r>
      <w:r>
        <w:rPr>
          <w:color w:val="000000" w:themeColor="text1"/>
        </w:rPr>
        <w:t xml:space="preserve"> надвиши допусканията в макрорамката и се отрази най-вече в нарастване при приходите</w:t>
      </w:r>
      <w:r w:rsidR="000B358F">
        <w:rPr>
          <w:color w:val="000000" w:themeColor="text1"/>
        </w:rPr>
        <w:t xml:space="preserve"> от</w:t>
      </w:r>
      <w:r>
        <w:rPr>
          <w:color w:val="000000" w:themeColor="text1"/>
        </w:rPr>
        <w:t xml:space="preserve"> ДДС.</w:t>
      </w:r>
      <w:r w:rsidRPr="007C115F">
        <w:rPr>
          <w:color w:val="000000" w:themeColor="text1"/>
        </w:rPr>
        <w:t xml:space="preserve">  </w:t>
      </w:r>
    </w:p>
    <w:p w14:paraId="624B015B" w14:textId="11D67CB1" w:rsidR="00ED2E7D" w:rsidRDefault="00ED2E7D" w:rsidP="00ED2E7D">
      <w:pPr>
        <w:spacing w:after="210"/>
        <w:jc w:val="both"/>
        <w:rPr>
          <w:color w:val="4F81BD" w:themeColor="accent1"/>
        </w:rPr>
      </w:pPr>
      <w:r w:rsidRPr="0079796F">
        <w:t>Параметрите по разходите надвишават актуализ</w:t>
      </w:r>
      <w:r w:rsidR="00AE40FD">
        <w:t>и</w:t>
      </w:r>
      <w:r w:rsidRPr="0079796F">
        <w:t xml:space="preserve">раните годишни разчети към ЗДБРБ за 2021 г., като изпълнението спрямо плана за годината представлява 102,0 на сто. Превишението на разчета към ЗДБРБ за 2021 г. се дължи основно на одобрените от Народното събрание допълнителни разходи по реда на чл. 26, ал. 10 </w:t>
      </w:r>
      <w:r w:rsidR="004E6A73">
        <w:t>от</w:t>
      </w:r>
      <w:r w:rsidRPr="0079796F">
        <w:t xml:space="preserve"> Закона за публичнит</w:t>
      </w:r>
      <w:r>
        <w:t>е финанси, с което бяха утвърдени</w:t>
      </w:r>
      <w:r w:rsidRPr="0079796F">
        <w:t xml:space="preserve"> допълнителни разходи и трансфери по държавния бюджет в общ размер на 1,2 млрд. лв. за сметка на преизпълнение на данъчните приходи.</w:t>
      </w:r>
      <w:r>
        <w:t xml:space="preserve"> Този допълнителен ресурс бе насочен за мерки за подкрепа на възрастните хора поради продължаващата пандемия от </w:t>
      </w:r>
      <w:r>
        <w:rPr>
          <w:lang w:val="en-US"/>
        </w:rPr>
        <w:t>COVID</w:t>
      </w:r>
      <w:r w:rsidRPr="00ED2E7D">
        <w:rPr>
          <w:lang w:val="ru-RU"/>
        </w:rPr>
        <w:t>-19</w:t>
      </w:r>
      <w:r>
        <w:t xml:space="preserve"> и за мерки за компенсиране на бизнеса поради високите цени на електрическата енергия и природния газ. По този начин бяха допълнени вече одобрените мерки с актуализацията на бюджета от септември </w:t>
      </w:r>
      <w:r w:rsidR="00007902">
        <w:t>2021</w:t>
      </w:r>
      <w:r>
        <w:t xml:space="preserve"> г., които обезпечиха ресурс за мерки за борба с пандемията чрез подкрепа на бизнеса и продължаване подпомагането на най-уязвимата група на пенсионерите през последното тримесечие на годината. Не на последно място с актуализацията на бюджета бяха одобрени и промени в Кодекса за социално осигуряване, които въведоха трайна норма, чрез която пенсиите на всички пенсионери бяха служебно преизчислени от НОИ при промяна на процента за всяка година осигурителен стаж без превръщане в пенсионната формулата от 1,2 на 1,35, считано от 25 декември 2021 г. От тази дата бе увеличен и минималният месечен размер на пенсията за осигурителен стаж и възраст от 300 лева на 370 лева., което представлява увеличение с над 23 на сто. През цялата година продължиха да се изпълняват, при условията на действаща извънредна епидемична обстановка, и всички останали мерки за намаляване на негативните последствия от пандемията, в т.ч. мерки за подпомагане на бизнеса, подкрепа на пенсионерите и разбира се на персонала на първа линия в борбата с пандемията, закупуване на медикаменти и ваксини и т.н. За реализирането на всички тези мерки бяха мобилизирани съществени по размер фискални стимули, които значително надвишават отчетените за 2020 г.</w:t>
      </w:r>
    </w:p>
    <w:p w14:paraId="727FDA0B" w14:textId="0CE349E8" w:rsidR="00ED2E7D" w:rsidRPr="00BA083C" w:rsidRDefault="00ED2E7D" w:rsidP="00ED2E7D">
      <w:pPr>
        <w:spacing w:after="120"/>
        <w:jc w:val="both"/>
      </w:pPr>
      <w:r w:rsidRPr="0079796F">
        <w:t xml:space="preserve">Съпоставено с предходната година се отчита номинален ръст на разходите в размер на </w:t>
      </w:r>
      <w:r w:rsidR="00F84620">
        <w:t>8</w:t>
      </w:r>
      <w:r w:rsidRPr="0079796F">
        <w:t>,</w:t>
      </w:r>
      <w:r w:rsidR="00F84620">
        <w:t>4</w:t>
      </w:r>
      <w:r w:rsidRPr="0079796F">
        <w:t xml:space="preserve"> млрд. лв., като основните направления п</w:t>
      </w:r>
      <w:r w:rsidR="00007902">
        <w:t>о</w:t>
      </w:r>
      <w:r w:rsidRPr="0079796F">
        <w:t xml:space="preserve"> които разходите нарастват най-значително са социалните разходи, разходите за субсидии, здравноосигурителните плащания и други.  </w:t>
      </w:r>
      <w:r>
        <w:rPr>
          <w:rFonts w:eastAsia="Calibri"/>
        </w:rPr>
        <w:t xml:space="preserve">Разгледани по икономически елементи, най-значително нарастване се отчита при социалните и здравноосигурителните разходи. В частта на разходите за пенсии са изразходени 1,7 млрд. лв. за добавки към пенсиите на всички пенсионери (в размер на 50 лева за месеците от януари до септември и 120 лева за месеците от октомври до декември). </w:t>
      </w:r>
      <w:r w:rsidRPr="00BA083C">
        <w:t xml:space="preserve">Освен това, в изпълнение на </w:t>
      </w:r>
      <w:r>
        <w:t>Решение на Народното събрание от 23.12.2021 г. за одобряване на допълнителни разходи и трансфери по държавния бюджет за 2021 г. за сметка на преизпълнение на данъчните приходи за 2021 г. (ДВ, бр. 110 от 24.12.2021 г.)</w:t>
      </w:r>
      <w:r w:rsidRPr="00BA083C">
        <w:t xml:space="preserve"> бяха обезпечени 750 млн. лв. за изплащане на добавки към пенсиите на всички пенсионери в размер на 60 лева за първите </w:t>
      </w:r>
      <w:r w:rsidR="005F33B6">
        <w:t>шест</w:t>
      </w:r>
      <w:r w:rsidRPr="00BA083C">
        <w:t xml:space="preserve"> месеца на 2022 г. Наред с това, влияние върху разходите за пенсии оказа и увеличението на размера на минималната пенсия за осигурителен стаж и възраст и на максималния размер на пенсията от началото на годината, базов ефект от увеличението на пенсиите през юли 2020 г., както и увеличението от месец юли 2021 година. Във връзка с посочените фактори разходите за пенсии отчитат номинален ръст спрямо 2020 г. от 3,1 млрд. лева.</w:t>
      </w:r>
    </w:p>
    <w:p w14:paraId="2DDCDDF8" w14:textId="77777777" w:rsidR="00ED2E7D" w:rsidRPr="00BA083C" w:rsidRDefault="00ED2E7D" w:rsidP="00ED2E7D">
      <w:pPr>
        <w:spacing w:after="120"/>
        <w:jc w:val="both"/>
      </w:pPr>
      <w:r w:rsidRPr="00BA083C">
        <w:lastRenderedPageBreak/>
        <w:t xml:space="preserve">В частта на здравноосигурителните разходи се отчита нарастване с 0,6 млрд. лв., свързано с по-високите разходи за борба с пандемията и въведените механизми за финансиране на здравните заведения по време на действието на извънредна епидемична обстановка: разходи за медикаменти, тестове, консумативи и предпазни средства, средства за подкрепа на персонала на първа линия в борбата с COVID-19, заплащане на изпълнителите на медицинска помощ за поставяне на ваксини срещу COVID-19, месечна добавка към възнагражденията на лекарите в размер на 600 лв., на специалисти от професионално направление „Здравни грижи“ в размер на 360 лв. и на санитари в размер на 120 лв. и други. </w:t>
      </w:r>
    </w:p>
    <w:p w14:paraId="0D3C443F" w14:textId="36CC9352" w:rsidR="00ED2E7D" w:rsidRPr="0079796F" w:rsidRDefault="00ED2E7D" w:rsidP="00ED2E7D">
      <w:pPr>
        <w:spacing w:after="210"/>
        <w:jc w:val="both"/>
      </w:pPr>
      <w:r w:rsidRPr="00BA083C">
        <w:t>Значителен номинален ръст от близо 2,7 млрд. лв. се отчита и при разходите за субсидии за нефинансови предприятия, за което допринасят основно плащанията по Програма за компенсиране на небитовите крайни клиенти на електрическа енергия, разходите на Фонд „Сигурност на елект</w:t>
      </w:r>
      <w:r w:rsidR="00AE40FD">
        <w:t>р</w:t>
      </w:r>
      <w:r w:rsidRPr="00BA083C">
        <w:t>оенергийната система“, плащанията по мярката „60/40“, мярката „80/20“, мярката „Запази ме“, мярката „Подкрепа чрез оборотен капитал за малки и средни предприятия, засегнати от временните противоепидемични мерки“, администрирана от НАП, и други. През 2021 г. се изпълнява Програма за компенсиране на небитовите крайни клиенти на електрическа енергия (РМС №</w:t>
      </w:r>
      <w:r w:rsidR="00810993">
        <w:t xml:space="preserve"> </w:t>
      </w:r>
      <w:r w:rsidRPr="00BA083C">
        <w:t>739; РМС №</w:t>
      </w:r>
      <w:r w:rsidR="00810993">
        <w:t xml:space="preserve"> </w:t>
      </w:r>
      <w:r w:rsidRPr="00BA083C">
        <w:t>771; РМС №</w:t>
      </w:r>
      <w:r w:rsidR="00810993">
        <w:t xml:space="preserve"> </w:t>
      </w:r>
      <w:r w:rsidRPr="00BA083C">
        <w:t>885; ПМС №</w:t>
      </w:r>
      <w:r w:rsidR="00810993">
        <w:t xml:space="preserve"> </w:t>
      </w:r>
      <w:r w:rsidRPr="00BA083C">
        <w:t>476), както и Програма за компенсиране на операторите на електропреносната и на електро</w:t>
      </w:r>
      <w:r w:rsidR="009B6F89" w:rsidRPr="00580EB5">
        <w:t>-</w:t>
      </w:r>
      <w:r w:rsidRPr="00BA083C">
        <w:t>разпределителната мрежи за закупуване на количества електрическа енергия, потребена за технологични разходи (ПМС №</w:t>
      </w:r>
      <w:r w:rsidR="00810993">
        <w:t xml:space="preserve"> </w:t>
      </w:r>
      <w:r w:rsidRPr="00BA083C">
        <w:t>476), като се предвижда да продължат да се прилагат до март 2022 г. Възможно е  програмите да бъдат преработени и допълнени. В тази връзка обезпечените средства за изплащане на компенсации към бизнеса и операторите поради резкия скок на цените на електроенергията до края на 2021 г. са в общ размер на над 1,3 млрд. лв., вкл. 0,45 млрд. лв. в изпълнение на Решение на Народното събрание за одобряване на допълнителни разходи и трансфери по държавния бюджет за 2021 г. за сметка на преизпълнението на</w:t>
      </w:r>
      <w:r w:rsidR="00EF7A71">
        <w:t xml:space="preserve"> данъчните приходи</w:t>
      </w:r>
      <w:r w:rsidRPr="00BA083C">
        <w:t>, за плащания през първото тримесечие на 2022 година. Ръст спрямо 2020 г. се отчита и в частта на предоставените субсидии за болнична помощ, където разходите нарастват с около 0,2 млрд. лева</w:t>
      </w:r>
      <w:r w:rsidR="00EF7A71">
        <w:t>.</w:t>
      </w:r>
    </w:p>
    <w:bookmarkEnd w:id="0"/>
    <w:p w14:paraId="3035BA0A" w14:textId="77777777" w:rsidR="00246AFE" w:rsidRPr="0047066D" w:rsidRDefault="00246AFE" w:rsidP="00246AFE">
      <w:pPr>
        <w:keepNext/>
        <w:keepLines/>
        <w:spacing w:before="40"/>
        <w:jc w:val="both"/>
        <w:outlineLvl w:val="2"/>
        <w:rPr>
          <w:rFonts w:eastAsiaTheme="majorEastAsia" w:cstheme="majorBidi"/>
          <w:b/>
          <w:u w:val="single"/>
          <w:lang w:eastAsia="bg-BG"/>
        </w:rPr>
      </w:pPr>
      <w:r w:rsidRPr="0047066D">
        <w:rPr>
          <w:rFonts w:eastAsiaTheme="majorEastAsia" w:cstheme="majorBidi"/>
          <w:b/>
          <w:u w:val="single"/>
          <w:lang w:eastAsia="bg-BG"/>
        </w:rPr>
        <w:t>Информация за ефектите в приходите и разходите от мерките за борба с COVID-19 и преодоляване на социално-икономическите последствия от пандемията</w:t>
      </w:r>
    </w:p>
    <w:p w14:paraId="182ED033" w14:textId="77777777" w:rsidR="00246AFE" w:rsidRPr="0047066D" w:rsidRDefault="00246AFE" w:rsidP="00246AFE">
      <w:pPr>
        <w:rPr>
          <w:color w:val="548DD4" w:themeColor="text2" w:themeTint="99"/>
          <w:lang w:eastAsia="bg-BG"/>
        </w:rPr>
      </w:pPr>
    </w:p>
    <w:p w14:paraId="56F601B4" w14:textId="77777777" w:rsidR="00246AFE" w:rsidRPr="0047066D" w:rsidRDefault="00246AFE" w:rsidP="00246AFE">
      <w:pPr>
        <w:spacing w:after="120"/>
        <w:ind w:right="-43"/>
        <w:jc w:val="both"/>
        <w:rPr>
          <w:b/>
          <w:i/>
          <w:lang w:eastAsia="bg-BG"/>
        </w:rPr>
      </w:pPr>
      <w:r w:rsidRPr="0047066D">
        <w:rPr>
          <w:b/>
          <w:i/>
          <w:lang w:eastAsia="bg-BG"/>
        </w:rPr>
        <w:t xml:space="preserve">Мерки в частта на приходите           </w:t>
      </w:r>
    </w:p>
    <w:p w14:paraId="36AC33AD" w14:textId="6DA4C28F" w:rsidR="00246AFE" w:rsidRPr="0047066D" w:rsidRDefault="00246AFE" w:rsidP="00246AFE">
      <w:pPr>
        <w:spacing w:after="120"/>
        <w:ind w:right="-43"/>
        <w:jc w:val="both"/>
        <w:rPr>
          <w:lang w:eastAsia="bg-BG"/>
        </w:rPr>
      </w:pPr>
      <w:r w:rsidRPr="0047066D">
        <w:rPr>
          <w:lang w:eastAsia="bg-BG"/>
        </w:rPr>
        <w:t>В условията на действаща извънредна епидемична обстановка във връзка с разпространението на COVID-19</w:t>
      </w:r>
      <w:r w:rsidRPr="0047066D">
        <w:rPr>
          <w:lang w:val="ru-RU" w:eastAsia="bg-BG"/>
        </w:rPr>
        <w:t>,</w:t>
      </w:r>
      <w:r w:rsidRPr="0047066D">
        <w:rPr>
          <w:lang w:eastAsia="bg-BG"/>
        </w:rPr>
        <w:t xml:space="preserve"> през цялата 2021 г. продължи прилагането на приетите през предходната година</w:t>
      </w:r>
      <w:r w:rsidRPr="0047066D">
        <w:rPr>
          <w:lang w:val="ru-RU" w:eastAsia="bg-BG"/>
        </w:rPr>
        <w:t xml:space="preserve"> </w:t>
      </w:r>
      <w:r w:rsidRPr="0047066D">
        <w:rPr>
          <w:lang w:eastAsia="bg-BG"/>
        </w:rPr>
        <w:t>мерки, свързани с прилагане на намалена ставка за ДДС на определ</w:t>
      </w:r>
      <w:r w:rsidR="003A589C">
        <w:rPr>
          <w:lang w:eastAsia="bg-BG"/>
        </w:rPr>
        <w:t>ени стоки и услуги от 20% на 9%</w:t>
      </w:r>
      <w:r w:rsidRPr="0047066D">
        <w:rPr>
          <w:lang w:eastAsia="bg-BG"/>
        </w:rPr>
        <w:t xml:space="preserve">, прилагане на освобождаване от облагане с мита и ДДС върху вноса на стоки от медицински </w:t>
      </w:r>
      <w:r w:rsidRPr="003A589C">
        <w:rPr>
          <w:lang w:eastAsia="bg-BG"/>
        </w:rPr>
        <w:t xml:space="preserve">характер и увеличаване на размера на данъчните облекчения за деца </w:t>
      </w:r>
      <w:r w:rsidR="003A589C" w:rsidRPr="003A589C">
        <w:rPr>
          <w:lang w:eastAsia="bg-BG"/>
        </w:rPr>
        <w:t xml:space="preserve">(чл. 22в и чл. 22г от ЗДДФЛ) </w:t>
      </w:r>
      <w:r w:rsidRPr="003A589C">
        <w:rPr>
          <w:lang w:eastAsia="bg-BG"/>
        </w:rPr>
        <w:t>за придобитите през 2021 г. доходи.</w:t>
      </w:r>
      <w:r w:rsidR="00D306E9">
        <w:rPr>
          <w:lang w:eastAsia="bg-BG"/>
        </w:rPr>
        <w:t xml:space="preserve"> </w:t>
      </w:r>
      <w:r w:rsidRPr="0047066D">
        <w:rPr>
          <w:lang w:eastAsia="bg-BG"/>
        </w:rPr>
        <w:t>С промени в ЗДДС (обн. ДВ, бр. 107 от 18.12.2020 г.) беше прието облагане с нулева ставка на доставките на ваксини срещу COVID-19 и услугите, пряко свързани с тези ваксини, както и на медицински изделия за инвитро диагностика на COVID-19 и услугите, пряко свързани с тези изделия, с място на изпълнение на територията на страната. Това данъчно третиране се прилага и по отношение на вътреобщностните придобивания с място на изпълнение на територията на страната на тези стоки. Облекченията са с временен характер и ще се прилагат до 31.12.2022 година.</w:t>
      </w:r>
    </w:p>
    <w:p w14:paraId="07475329" w14:textId="3135493D" w:rsidR="00246AFE" w:rsidRDefault="00246AFE" w:rsidP="00246AFE">
      <w:pPr>
        <w:spacing w:after="120"/>
        <w:ind w:right="-43"/>
        <w:jc w:val="both"/>
        <w:rPr>
          <w:color w:val="000000" w:themeColor="text1"/>
          <w:lang w:eastAsia="bg-BG"/>
        </w:rPr>
      </w:pPr>
      <w:r w:rsidRPr="0047066D">
        <w:rPr>
          <w:color w:val="000000" w:themeColor="text1"/>
          <w:lang w:eastAsia="bg-BG"/>
        </w:rPr>
        <w:t xml:space="preserve">По прогнозни данни на приходните агенции ефектът от действието на мерките през изминалата 2021 г. се оценява на </w:t>
      </w:r>
      <w:r w:rsidR="00A759DB" w:rsidRPr="00A759DB">
        <w:rPr>
          <w:b/>
          <w:color w:val="000000" w:themeColor="text1"/>
          <w:lang w:eastAsia="bg-BG"/>
        </w:rPr>
        <w:t>0</w:t>
      </w:r>
      <w:r w:rsidRPr="00A759DB">
        <w:rPr>
          <w:b/>
          <w:color w:val="000000" w:themeColor="text1"/>
          <w:lang w:eastAsia="bg-BG"/>
        </w:rPr>
        <w:t>,</w:t>
      </w:r>
      <w:r w:rsidR="00A759DB" w:rsidRPr="00A759DB">
        <w:rPr>
          <w:b/>
          <w:color w:val="000000" w:themeColor="text1"/>
          <w:lang w:eastAsia="bg-BG"/>
        </w:rPr>
        <w:t>3</w:t>
      </w:r>
      <w:r w:rsidRPr="0047066D">
        <w:rPr>
          <w:color w:val="000000" w:themeColor="text1"/>
          <w:lang w:eastAsia="bg-BG"/>
        </w:rPr>
        <w:t xml:space="preserve"> </w:t>
      </w:r>
      <w:r w:rsidRPr="0047066D">
        <w:rPr>
          <w:b/>
          <w:color w:val="000000" w:themeColor="text1"/>
          <w:lang w:eastAsia="bg-BG"/>
        </w:rPr>
        <w:t>мл</w:t>
      </w:r>
      <w:r w:rsidR="002C0992">
        <w:rPr>
          <w:b/>
          <w:color w:val="000000" w:themeColor="text1"/>
          <w:lang w:eastAsia="bg-BG"/>
        </w:rPr>
        <w:t>рд</w:t>
      </w:r>
      <w:r w:rsidRPr="0047066D">
        <w:rPr>
          <w:b/>
          <w:color w:val="000000" w:themeColor="text1"/>
          <w:lang w:eastAsia="bg-BG"/>
        </w:rPr>
        <w:t>. лв</w:t>
      </w:r>
      <w:r w:rsidRPr="0047066D">
        <w:rPr>
          <w:color w:val="000000" w:themeColor="text1"/>
          <w:lang w:eastAsia="bg-BG"/>
        </w:rPr>
        <w:t>. по-малко данъчни приходи.</w:t>
      </w:r>
    </w:p>
    <w:p w14:paraId="564E012B" w14:textId="77777777" w:rsidR="00246AFE" w:rsidRPr="0047066D" w:rsidRDefault="00246AFE" w:rsidP="00246AFE">
      <w:pPr>
        <w:spacing w:before="240" w:after="120"/>
        <w:ind w:right="-45"/>
        <w:jc w:val="both"/>
        <w:rPr>
          <w:b/>
          <w:i/>
          <w:lang w:val="ru-RU" w:eastAsia="bg-BG"/>
        </w:rPr>
      </w:pPr>
      <w:r w:rsidRPr="0047066D">
        <w:rPr>
          <w:b/>
          <w:i/>
          <w:lang w:eastAsia="bg-BG"/>
        </w:rPr>
        <w:t>Мерки в частта на разходите</w:t>
      </w:r>
    </w:p>
    <w:p w14:paraId="098FAE15" w14:textId="266EB14A" w:rsidR="00246AFE" w:rsidRPr="0047066D" w:rsidRDefault="00246AFE" w:rsidP="00246AFE">
      <w:pPr>
        <w:spacing w:before="240"/>
        <w:jc w:val="both"/>
        <w:rPr>
          <w:color w:val="4BACC6" w:themeColor="accent5"/>
          <w:lang w:eastAsia="bg-BG"/>
        </w:rPr>
      </w:pPr>
      <w:r w:rsidRPr="0047066D">
        <w:rPr>
          <w:lang w:eastAsia="bg-BG"/>
        </w:rPr>
        <w:t xml:space="preserve">Основен фокус на разходните политики през 2021 г. бяха </w:t>
      </w:r>
      <w:r w:rsidRPr="0047066D">
        <w:rPr>
          <w:b/>
          <w:lang w:eastAsia="bg-BG"/>
        </w:rPr>
        <w:t>мерките за ограничаване на разпространението на COVID-19, подкрепа на здравната система и заетите на първа линия в борбата с пандемията, както и социално-икономическите мерки за намаляване на негативните последствия за най-засегнатите групи от населението и сектори на икономиката.</w:t>
      </w:r>
      <w:r w:rsidRPr="0047066D">
        <w:rPr>
          <w:lang w:eastAsia="bg-BG"/>
        </w:rPr>
        <w:t xml:space="preserve"> По данни от първостепенните разпоредители с бюджет</w:t>
      </w:r>
      <w:r w:rsidRPr="0047066D">
        <w:rPr>
          <w:lang w:val="ru-RU" w:eastAsia="bg-BG"/>
        </w:rPr>
        <w:t xml:space="preserve"> </w:t>
      </w:r>
      <w:r w:rsidRPr="0047066D">
        <w:rPr>
          <w:lang w:eastAsia="bg-BG"/>
        </w:rPr>
        <w:t xml:space="preserve">и общините разходите </w:t>
      </w:r>
      <w:r w:rsidRPr="0047066D">
        <w:rPr>
          <w:lang w:eastAsia="bg-BG"/>
        </w:rPr>
        <w:lastRenderedPageBreak/>
        <w:t>във връзка с мерките за  предотвратяване на разпространението на COVID-19 и лечението му, в т. ч. мерки за подкрепа на бизнеса, мерки за подкрепа на домакинствата, мерки на органите на държавно управление, натоварени с дейности по овладяването на пандемията и последствията от COVID-19 за 2021 г. по линия на националния бюджет са в размер на</w:t>
      </w:r>
      <w:r w:rsidRPr="0047066D">
        <w:rPr>
          <w:lang w:val="ru-RU" w:eastAsia="bg-BG"/>
        </w:rPr>
        <w:t xml:space="preserve"> </w:t>
      </w:r>
      <w:r w:rsidRPr="0047066D">
        <w:rPr>
          <w:lang w:eastAsia="bg-BG"/>
        </w:rPr>
        <w:t xml:space="preserve">около </w:t>
      </w:r>
      <w:r w:rsidR="00D306E9">
        <w:rPr>
          <w:b/>
          <w:lang w:eastAsia="bg-BG"/>
        </w:rPr>
        <w:t>6,4</w:t>
      </w:r>
      <w:r w:rsidRPr="0047066D">
        <w:rPr>
          <w:b/>
          <w:lang w:eastAsia="bg-BG"/>
        </w:rPr>
        <w:t xml:space="preserve"> млрд. лева. </w:t>
      </w:r>
    </w:p>
    <w:p w14:paraId="68161ED6" w14:textId="37601D5C" w:rsidR="00246AFE" w:rsidRPr="0047066D" w:rsidRDefault="00246AFE" w:rsidP="00246AFE">
      <w:pPr>
        <w:spacing w:before="240"/>
        <w:jc w:val="both"/>
        <w:rPr>
          <w:color w:val="000000" w:themeColor="text1"/>
          <w:lang w:eastAsia="bg-BG"/>
        </w:rPr>
      </w:pPr>
      <w:r w:rsidRPr="0047066D">
        <w:rPr>
          <w:lang w:eastAsia="bg-BG"/>
        </w:rPr>
        <w:t xml:space="preserve">В частта на </w:t>
      </w:r>
      <w:r w:rsidRPr="0047066D">
        <w:rPr>
          <w:b/>
          <w:lang w:eastAsia="bg-BG"/>
        </w:rPr>
        <w:t>мерките за подкрепа на домакинствата</w:t>
      </w:r>
      <w:r w:rsidRPr="0047066D">
        <w:rPr>
          <w:lang w:eastAsia="bg-BG"/>
        </w:rPr>
        <w:t xml:space="preserve"> са изразходвани </w:t>
      </w:r>
      <w:r w:rsidRPr="0047066D">
        <w:rPr>
          <w:b/>
          <w:lang w:eastAsia="bg-BG"/>
        </w:rPr>
        <w:t xml:space="preserve">3 </w:t>
      </w:r>
      <w:r w:rsidR="00E561D3">
        <w:rPr>
          <w:b/>
          <w:lang w:eastAsia="bg-BG"/>
        </w:rPr>
        <w:t>267,2</w:t>
      </w:r>
      <w:r w:rsidRPr="0047066D">
        <w:rPr>
          <w:b/>
          <w:lang w:eastAsia="bg-BG"/>
        </w:rPr>
        <w:t xml:space="preserve"> млн. лв</w:t>
      </w:r>
      <w:r w:rsidR="00E561D3">
        <w:rPr>
          <w:b/>
          <w:lang w:eastAsia="bg-BG"/>
        </w:rPr>
        <w:t>.</w:t>
      </w:r>
      <w:r w:rsidRPr="0047066D">
        <w:rPr>
          <w:lang w:eastAsia="bg-BG"/>
        </w:rPr>
        <w:t xml:space="preserve"> От тях с най-голям дял са разходите по мерките, одобрени от правителството като част от социално-икономическия пакет в отговор на епидемичната криза за подкрепа на пенсионерите, които са част от уязвимите от разпространението на COVID-19 групи</w:t>
      </w:r>
      <w:r w:rsidRPr="0047066D">
        <w:rPr>
          <w:lang w:val="ru-RU" w:eastAsia="bg-BG"/>
        </w:rPr>
        <w:t>,</w:t>
      </w:r>
      <w:r w:rsidRPr="0047066D" w:rsidDel="001D46CB">
        <w:rPr>
          <w:lang w:eastAsia="bg-BG"/>
        </w:rPr>
        <w:t xml:space="preserve"> </w:t>
      </w:r>
      <w:r w:rsidRPr="0047066D">
        <w:rPr>
          <w:lang w:eastAsia="bg-BG"/>
        </w:rPr>
        <w:t xml:space="preserve">за еднократно изплащане на допълнителни суми към пенсиите на всички пенсионери. В изпълнение на параграф 6, ал. 1 и 2 от преходните и заключителни разпоредби на ЗБДОО за 2021 г., ПМС № 84 от 11 март 2021 г., ПМС № 168 от 22 април 2021  г., ПМС № 192 от 27 май 2021 г., ПМС № 204 от 23 юни 2021 г. и ПМС № 242 от 22 юли 2021 г., </w:t>
      </w:r>
      <w:r w:rsidRPr="0047066D">
        <w:rPr>
          <w:color w:val="000000" w:themeColor="text1"/>
          <w:lang w:eastAsia="bg-BG"/>
        </w:rPr>
        <w:t xml:space="preserve">за периода януари - декември са изплатени еднократни допълнителни суми към пенсиите на всички пенсионери, без оглед на размера на получаваната пенсия </w:t>
      </w:r>
      <w:r w:rsidRPr="0047066D">
        <w:rPr>
          <w:color w:val="000000" w:themeColor="text1"/>
          <w:lang w:val="ru-RU" w:eastAsia="bg-BG"/>
        </w:rPr>
        <w:t>(</w:t>
      </w:r>
      <w:r w:rsidRPr="0047066D">
        <w:rPr>
          <w:color w:val="000000" w:themeColor="text1"/>
          <w:lang w:eastAsia="bg-BG"/>
        </w:rPr>
        <w:t xml:space="preserve">50 лв. </w:t>
      </w:r>
      <w:r w:rsidRPr="0047066D">
        <w:rPr>
          <w:rFonts w:eastAsia="Calibri"/>
        </w:rPr>
        <w:t>за месеците от януари до септември и 120 лева за месеците октомври, ноември и декември</w:t>
      </w:r>
      <w:r w:rsidRPr="0047066D">
        <w:rPr>
          <w:color w:val="000000" w:themeColor="text1"/>
          <w:lang w:eastAsia="bg-BG"/>
        </w:rPr>
        <w:t xml:space="preserve"> 2021 г.</w:t>
      </w:r>
      <w:r w:rsidRPr="0047066D">
        <w:rPr>
          <w:color w:val="000000" w:themeColor="text1"/>
          <w:lang w:val="ru-RU" w:eastAsia="bg-BG"/>
        </w:rPr>
        <w:t>)</w:t>
      </w:r>
      <w:r w:rsidRPr="0047066D">
        <w:rPr>
          <w:color w:val="000000" w:themeColor="text1"/>
          <w:lang w:eastAsia="bg-BG"/>
        </w:rPr>
        <w:t xml:space="preserve"> в общ размер на 1 694,6 млн. лв. В допълнение и в изпълнение на Решение на Народното събрание от 23.12.2021 г. за одобряване на допълнителни разходи и трансфери по държавния бюджет за 2021 г. за сметка на преи</w:t>
      </w:r>
      <w:r w:rsidR="00A759DB">
        <w:rPr>
          <w:color w:val="000000" w:themeColor="text1"/>
          <w:lang w:eastAsia="bg-BG"/>
        </w:rPr>
        <w:t xml:space="preserve">зпълнение на данъчните приходи </w:t>
      </w:r>
      <w:r w:rsidRPr="0047066D">
        <w:rPr>
          <w:color w:val="000000" w:themeColor="text1"/>
          <w:lang w:eastAsia="bg-BG"/>
        </w:rPr>
        <w:t xml:space="preserve">(ДВ, бр. 110 от 24.12.2021 г.) към сметка за чужди средства на ДОО са изплатени </w:t>
      </w:r>
      <w:r w:rsidRPr="0047066D">
        <w:rPr>
          <w:lang w:eastAsia="bg-BG"/>
        </w:rPr>
        <w:t>750 млн. лв. за изплащане</w:t>
      </w:r>
      <w:r w:rsidRPr="0047066D">
        <w:rPr>
          <w:shd w:val="clear" w:color="auto" w:fill="FFFFFF"/>
          <w:lang w:eastAsia="bg-BG"/>
        </w:rPr>
        <w:t> допълнителни суми към пенсията или сбора от пенсиите заедно с добавките и компенсациите към тях на всеки пенсионер в размер на 60 лв. месечно</w:t>
      </w:r>
      <w:r w:rsidRPr="0047066D">
        <w:rPr>
          <w:lang w:eastAsia="bg-BG"/>
        </w:rPr>
        <w:t xml:space="preserve"> за </w:t>
      </w:r>
      <w:r w:rsidRPr="0047066D">
        <w:rPr>
          <w:color w:val="000000" w:themeColor="text1"/>
          <w:lang w:eastAsia="bg-BG"/>
        </w:rPr>
        <w:t>периода януари-юни 2022 г., които са отчетени като касов разход в бюджета на ДОО за 2021 г. Освен посочените суми, към сметка за чужди средства на ДОО са изплатени 100 млн. лв., които също са отчетени като касов разход по бюджета на ДОО за 2021 г. за изплащането на еднократна добавка от 75 лева към пенсиите на хората със завършен ваксинационен курс или поставена бустерна доза срещу COVID-19.  С това общият размер на разходите за изплащане на допълнителна сума към пенсиите, включително средствата за стимулиране на възрастните хора със завършен ваксинационен курс, отчетени в касовия отчет на ДОО за 2021 г. са в размер на 2 544,6 млн. лв.</w:t>
      </w:r>
    </w:p>
    <w:p w14:paraId="60C62B7E" w14:textId="77777777" w:rsidR="007A04D9" w:rsidRPr="0047066D" w:rsidRDefault="007A04D9" w:rsidP="007A04D9">
      <w:pPr>
        <w:spacing w:before="240" w:after="240"/>
        <w:jc w:val="both"/>
        <w:rPr>
          <w:lang w:val="ru-RU" w:eastAsia="bg-BG"/>
        </w:rPr>
      </w:pPr>
      <w:r w:rsidRPr="0047066D">
        <w:rPr>
          <w:color w:val="000000" w:themeColor="text1"/>
          <w:lang w:eastAsia="bg-BG"/>
        </w:rPr>
        <w:t xml:space="preserve">По мярката „Увеличаване на разходите за краткосрочни обезщетения и помощи“ </w:t>
      </w:r>
      <w:r w:rsidRPr="0047066D">
        <w:rPr>
          <w:lang w:eastAsia="bg-BG"/>
        </w:rPr>
        <w:t xml:space="preserve">от 01.01 до 31.12.2021 г. са изплатени </w:t>
      </w:r>
      <w:r w:rsidRPr="0047066D">
        <w:rPr>
          <w:color w:val="000000" w:themeColor="text1"/>
          <w:lang w:eastAsia="bg-BG"/>
        </w:rPr>
        <w:t>278,3 млн. лв.</w:t>
      </w:r>
      <w:r w:rsidRPr="0047066D">
        <w:rPr>
          <w:lang w:eastAsia="bg-BG"/>
        </w:rPr>
        <w:t xml:space="preserve"> от ДОО за парични обезщетения за безработица, възникнал поради по-големия брой регистрирани безработни лица, както за изплащане на парични обезщетения за временна неработоспособност на лица, заразили се с COVID</w:t>
      </w:r>
      <w:r w:rsidRPr="0047066D">
        <w:rPr>
          <w:lang w:val="ru-RU" w:eastAsia="bg-BG"/>
        </w:rPr>
        <w:t xml:space="preserve">-19 </w:t>
      </w:r>
      <w:r w:rsidRPr="0047066D">
        <w:rPr>
          <w:lang w:eastAsia="bg-BG"/>
        </w:rPr>
        <w:t>и на лица, карантинирани поради близък контакт със заразен с COVID</w:t>
      </w:r>
      <w:r w:rsidRPr="0047066D">
        <w:rPr>
          <w:lang w:val="ru-RU" w:eastAsia="bg-BG"/>
        </w:rPr>
        <w:t>-19.</w:t>
      </w:r>
    </w:p>
    <w:p w14:paraId="33A9F553" w14:textId="65FB0FCF" w:rsidR="00246AFE" w:rsidRPr="0047066D" w:rsidRDefault="00246AFE" w:rsidP="00246AFE">
      <w:pPr>
        <w:spacing w:before="240" w:after="240"/>
        <w:jc w:val="both"/>
        <w:rPr>
          <w:lang w:eastAsia="bg-BG"/>
        </w:rPr>
      </w:pPr>
      <w:r w:rsidRPr="0047066D">
        <w:rPr>
          <w:color w:val="000000" w:themeColor="text1"/>
          <w:lang w:eastAsia="bg-BG"/>
        </w:rPr>
        <w:t>По мярка „</w:t>
      </w:r>
      <w:r w:rsidRPr="0047066D">
        <w:rPr>
          <w:lang w:eastAsia="bg-BG"/>
        </w:rPr>
        <w:t xml:space="preserve">Реализиране на програми за заетост и мерки за обучение за подкрепа на безработните лица и работодателите“ са изплатени 205,3 </w:t>
      </w:r>
      <w:r w:rsidR="007A04D9">
        <w:rPr>
          <w:lang w:eastAsia="bg-BG"/>
        </w:rPr>
        <w:t>млн. лева.</w:t>
      </w:r>
      <w:r w:rsidRPr="0047066D">
        <w:rPr>
          <w:lang w:eastAsia="bg-BG"/>
        </w:rPr>
        <w:t xml:space="preserve"> </w:t>
      </w:r>
    </w:p>
    <w:p w14:paraId="064369B6" w14:textId="0CAC5322" w:rsidR="00246AFE" w:rsidRPr="0047066D" w:rsidRDefault="00246AFE" w:rsidP="00246AFE">
      <w:pPr>
        <w:spacing w:before="240"/>
        <w:jc w:val="both"/>
      </w:pPr>
      <w:r w:rsidRPr="0047066D">
        <w:t>За осигуряване на ваксини и лекарствени продукти в борбата с пандемията от COVID-19 са усв</w:t>
      </w:r>
      <w:r w:rsidR="00D306E9">
        <w:t>оени средства  в размер на 112,1</w:t>
      </w:r>
      <w:r w:rsidRPr="0047066D">
        <w:t xml:space="preserve"> млн. лв. в т. ч.: за закупуване на лекарствения продукт Vek</w:t>
      </w:r>
      <w:r w:rsidR="00B12B38">
        <w:t>lury (Ремдесивир) - 90,8 млн. лeва.</w:t>
      </w:r>
      <w:r w:rsidRPr="0047066D">
        <w:t xml:space="preserve"> </w:t>
      </w:r>
    </w:p>
    <w:p w14:paraId="633B2C3A" w14:textId="77777777" w:rsidR="00246AFE" w:rsidRPr="0047066D" w:rsidRDefault="00246AFE" w:rsidP="00246AFE">
      <w:pPr>
        <w:spacing w:before="240"/>
        <w:jc w:val="both"/>
      </w:pPr>
      <w:r w:rsidRPr="0047066D">
        <w:rPr>
          <w:bCs/>
        </w:rPr>
        <w:t xml:space="preserve">За подкрепа на семейства с деца до 14-годишна възраст, при които родителите не могат да извършват дистанционна работа от вкъщи и нямат възможност да ползват платен отпуск, </w:t>
      </w:r>
      <w:r w:rsidRPr="0047066D">
        <w:t>от Агенцията за социално подпомагане са изплатени месечни целеви помощи в общо в размер на 67,9 млн. лв.  Помощта е регламентирана с ПМС №218 от 17.08.2020 г. и ПМС №322 от 23.11.2020 г. за допълнение на Правилника за прилагане на Закона за социално подпомагане. За отчетния период са изплатени месечни целеви помощи за 12 555 средномесечен брой  семейства с деца до 14-годишна възраст.</w:t>
      </w:r>
    </w:p>
    <w:p w14:paraId="701CA75A" w14:textId="77777777" w:rsidR="00246AFE" w:rsidRPr="0047066D" w:rsidRDefault="00246AFE" w:rsidP="00246AFE">
      <w:pPr>
        <w:spacing w:before="240" w:after="120"/>
        <w:jc w:val="both"/>
        <w:rPr>
          <w:color w:val="4BACC6" w:themeColor="accent5"/>
          <w:lang w:eastAsia="bg-BG"/>
        </w:rPr>
      </w:pPr>
      <w:r w:rsidRPr="0047066D">
        <w:rPr>
          <w:lang w:eastAsia="bg-BG"/>
        </w:rPr>
        <w:t xml:space="preserve">За еднократна финансова подкрепа за хранителни продукти в размер на 120 лв. на пенсионери, на които пенсията или сборът от пенсиите заедно с добавките и компенсациите </w:t>
      </w:r>
      <w:r w:rsidRPr="0047066D">
        <w:rPr>
          <w:lang w:eastAsia="bg-BG"/>
        </w:rPr>
        <w:lastRenderedPageBreak/>
        <w:t>към тях е от 300,01 лв. до 369 лв. вкл., към 31.12.2021 г. е  изплатената сума е в размер на 48,2 млн. лв. за 401 336 пенсионери.</w:t>
      </w:r>
    </w:p>
    <w:p w14:paraId="164D1252" w14:textId="0F19AAA7" w:rsidR="00246AFE" w:rsidRPr="00B12B38" w:rsidRDefault="00246AFE" w:rsidP="00246AFE">
      <w:pPr>
        <w:spacing w:before="240"/>
        <w:jc w:val="both"/>
        <w:rPr>
          <w:color w:val="000000" w:themeColor="text1"/>
          <w:lang w:val="ru-RU"/>
        </w:rPr>
      </w:pPr>
      <w:r w:rsidRPr="0047066D">
        <w:rPr>
          <w:color w:val="000000" w:themeColor="text1"/>
        </w:rPr>
        <w:t xml:space="preserve">Към 31.12.2021 г. за </w:t>
      </w:r>
      <w:r w:rsidRPr="0047066D">
        <w:rPr>
          <w:b/>
          <w:color w:val="000000" w:themeColor="text1"/>
        </w:rPr>
        <w:t>мерки в подкрепа на бизнеса</w:t>
      </w:r>
      <w:r w:rsidRPr="0047066D">
        <w:rPr>
          <w:color w:val="000000" w:themeColor="text1"/>
        </w:rPr>
        <w:t xml:space="preserve"> </w:t>
      </w:r>
      <w:r w:rsidR="00941D89">
        <w:rPr>
          <w:b/>
          <w:color w:val="000000" w:themeColor="text1"/>
        </w:rPr>
        <w:t>са предоставени 1 289,</w:t>
      </w:r>
      <w:r w:rsidR="007A04D9" w:rsidRPr="007A04D9">
        <w:rPr>
          <w:b/>
          <w:color w:val="000000" w:themeColor="text1"/>
          <w:lang w:val="ru-RU"/>
        </w:rPr>
        <w:t>1</w:t>
      </w:r>
      <w:r w:rsidRPr="0047066D">
        <w:rPr>
          <w:color w:val="000000" w:themeColor="text1"/>
        </w:rPr>
        <w:t xml:space="preserve"> </w:t>
      </w:r>
      <w:r w:rsidR="00941D89">
        <w:rPr>
          <w:b/>
          <w:color w:val="000000" w:themeColor="text1"/>
        </w:rPr>
        <w:t>млн. лева.</w:t>
      </w:r>
    </w:p>
    <w:p w14:paraId="25C4998D" w14:textId="77777777" w:rsidR="00246AFE" w:rsidRPr="0047066D" w:rsidRDefault="00246AFE" w:rsidP="00246AFE">
      <w:pPr>
        <w:spacing w:before="240"/>
        <w:jc w:val="both"/>
      </w:pPr>
      <w:r w:rsidRPr="0047066D">
        <w:rPr>
          <w:color w:val="000000" w:themeColor="text1"/>
        </w:rPr>
        <w:t xml:space="preserve">Най-голям дял имат </w:t>
      </w:r>
      <w:r w:rsidRPr="0047066D">
        <w:t>извършените разходи по бюджета на НОИ</w:t>
      </w:r>
      <w:r w:rsidRPr="0047066D">
        <w:rPr>
          <w:color w:val="000000" w:themeColor="text1"/>
        </w:rPr>
        <w:t xml:space="preserve"> по</w:t>
      </w:r>
      <w:r w:rsidRPr="0047066D">
        <w:rPr>
          <w:b/>
        </w:rPr>
        <w:t xml:space="preserve"> мярката „60/40“</w:t>
      </w:r>
      <w:r w:rsidRPr="0047066D">
        <w:t xml:space="preserve"> към работодатели за запазване на заетостта на наетите от тях работници и служители в размер на 823,5 млн. лв.</w:t>
      </w:r>
      <w:bookmarkStart w:id="1" w:name="_Hlk40092230"/>
      <w:bookmarkEnd w:id="1"/>
      <w:r w:rsidRPr="0047066D">
        <w:t xml:space="preserve"> </w:t>
      </w:r>
    </w:p>
    <w:p w14:paraId="6FD8E295" w14:textId="24FA7D5C" w:rsidR="00246AFE" w:rsidRDefault="00246AFE" w:rsidP="00246AFE">
      <w:pPr>
        <w:spacing w:before="120" w:after="240"/>
        <w:jc w:val="both"/>
        <w:rPr>
          <w:lang w:eastAsia="bg-BG"/>
        </w:rPr>
      </w:pPr>
      <w:r w:rsidRPr="0047066D">
        <w:rPr>
          <w:lang w:eastAsia="bg-BG"/>
        </w:rPr>
        <w:t>За финансова подкрепа за български творци и артисти пряко засегнати от преустановяването на  масови мероприятия на територията на страната, включително културно-развлекателни са предоставени 88,9 млн. лв.</w:t>
      </w:r>
    </w:p>
    <w:p w14:paraId="38A8061E" w14:textId="35955C5B" w:rsidR="003000A1" w:rsidRPr="00B12B38" w:rsidRDefault="003000A1" w:rsidP="00246AFE">
      <w:pPr>
        <w:spacing w:before="120" w:after="240"/>
        <w:jc w:val="both"/>
        <w:rPr>
          <w:lang w:val="ru-RU" w:eastAsia="bg-BG"/>
        </w:rPr>
      </w:pPr>
      <w:r>
        <w:rPr>
          <w:lang w:eastAsia="bg-BG"/>
        </w:rPr>
        <w:t>От бюджета на ДФ „Земеделие“ са изплатени 72,7 млн. лв. за подпомагане на засегнатите от негативните ефекти на пандемията земеделски стопани.</w:t>
      </w:r>
    </w:p>
    <w:p w14:paraId="6E797167" w14:textId="63909A56" w:rsidR="00246AFE" w:rsidRPr="0047066D" w:rsidRDefault="00246AFE" w:rsidP="00246AFE">
      <w:pPr>
        <w:spacing w:after="240"/>
        <w:jc w:val="both"/>
        <w:rPr>
          <w:color w:val="000000" w:themeColor="text1"/>
          <w:lang w:eastAsia="bg-BG"/>
        </w:rPr>
      </w:pPr>
      <w:r w:rsidRPr="0047066D">
        <w:rPr>
          <w:color w:val="000000" w:themeColor="text1"/>
          <w:lang w:eastAsia="bg-BG"/>
        </w:rPr>
        <w:t xml:space="preserve">За </w:t>
      </w:r>
      <w:r w:rsidRPr="0047066D">
        <w:rPr>
          <w:b/>
          <w:color w:val="000000" w:themeColor="text1"/>
          <w:lang w:eastAsia="bg-BG"/>
        </w:rPr>
        <w:t>мерки за органите на държавното управление, натоварени с дейности по овладяване на пандемията и последствията от COVID-19</w:t>
      </w:r>
      <w:r w:rsidRPr="0047066D">
        <w:rPr>
          <w:color w:val="000000" w:themeColor="text1"/>
          <w:lang w:eastAsia="bg-BG"/>
        </w:rPr>
        <w:t xml:space="preserve"> са предоставени  </w:t>
      </w:r>
      <w:r w:rsidR="0090077B">
        <w:rPr>
          <w:b/>
          <w:color w:val="000000" w:themeColor="text1"/>
          <w:lang w:eastAsia="bg-BG"/>
        </w:rPr>
        <w:t>общо 1 844</w:t>
      </w:r>
      <w:r w:rsidRPr="0047066D">
        <w:rPr>
          <w:b/>
          <w:color w:val="000000" w:themeColor="text1"/>
          <w:lang w:eastAsia="bg-BG"/>
        </w:rPr>
        <w:t>,</w:t>
      </w:r>
      <w:r w:rsidR="0090077B">
        <w:rPr>
          <w:b/>
          <w:color w:val="000000" w:themeColor="text1"/>
          <w:lang w:eastAsia="bg-BG"/>
        </w:rPr>
        <w:t>2</w:t>
      </w:r>
      <w:r w:rsidRPr="0047066D">
        <w:rPr>
          <w:color w:val="000000" w:themeColor="text1"/>
          <w:lang w:eastAsia="bg-BG"/>
        </w:rPr>
        <w:t xml:space="preserve"> </w:t>
      </w:r>
      <w:r w:rsidRPr="0047066D">
        <w:rPr>
          <w:b/>
          <w:color w:val="000000" w:themeColor="text1"/>
          <w:lang w:eastAsia="bg-BG"/>
        </w:rPr>
        <w:t>млн. л</w:t>
      </w:r>
      <w:r w:rsidR="0090077B">
        <w:rPr>
          <w:b/>
          <w:color w:val="000000" w:themeColor="text1"/>
          <w:lang w:eastAsia="bg-BG"/>
        </w:rPr>
        <w:t>ева.</w:t>
      </w:r>
      <w:r w:rsidRPr="0047066D">
        <w:rPr>
          <w:color w:val="000000" w:themeColor="text1"/>
          <w:lang w:eastAsia="bg-BG"/>
        </w:rPr>
        <w:t xml:space="preserve"> </w:t>
      </w:r>
    </w:p>
    <w:p w14:paraId="2340CC67" w14:textId="63357891" w:rsidR="00212428" w:rsidRDefault="00212428" w:rsidP="00212428">
      <w:pPr>
        <w:jc w:val="both"/>
        <w:rPr>
          <w:lang w:eastAsia="bg-BG"/>
        </w:rPr>
      </w:pPr>
      <w:r w:rsidRPr="0047066D">
        <w:rPr>
          <w:color w:val="000000" w:themeColor="text1"/>
          <w:lang w:eastAsia="bg-BG"/>
        </w:rPr>
        <w:t>С</w:t>
      </w:r>
      <w:r w:rsidRPr="0047066D">
        <w:rPr>
          <w:lang w:eastAsia="bg-BG"/>
        </w:rPr>
        <w:t xml:space="preserve"> най-голям дял са</w:t>
      </w:r>
      <w:r w:rsidRPr="0047066D">
        <w:rPr>
          <w:color w:val="000000" w:themeColor="text1"/>
          <w:lang w:eastAsia="bg-BG"/>
        </w:rPr>
        <w:t xml:space="preserve"> </w:t>
      </w:r>
      <w:r>
        <w:rPr>
          <w:color w:val="000000" w:themeColor="text1"/>
          <w:lang w:eastAsia="bg-BG"/>
        </w:rPr>
        <w:t>с</w:t>
      </w:r>
      <w:r w:rsidR="00246AFE" w:rsidRPr="0047066D">
        <w:rPr>
          <w:lang w:eastAsia="bg-BG"/>
        </w:rPr>
        <w:t>редствата, осигурени от НЗОК на изпълнителите на медицинска помощ, на дентална помощ и на медико-диагностични дейности за работа при неблагоприятни условия във връзка с обявената епидемична обста</w:t>
      </w:r>
      <w:r>
        <w:rPr>
          <w:lang w:eastAsia="bg-BG"/>
        </w:rPr>
        <w:t>новка и лечението на COVID-19 -</w:t>
      </w:r>
      <w:r w:rsidR="00246AFE" w:rsidRPr="0047066D">
        <w:rPr>
          <w:lang w:eastAsia="bg-BG"/>
        </w:rPr>
        <w:t xml:space="preserve"> 725,5 млн.</w:t>
      </w:r>
      <w:r>
        <w:rPr>
          <w:lang w:eastAsia="bg-BG"/>
        </w:rPr>
        <w:t> </w:t>
      </w:r>
      <w:r w:rsidR="00246AFE" w:rsidRPr="0047066D">
        <w:rPr>
          <w:lang w:eastAsia="bg-BG"/>
        </w:rPr>
        <w:t xml:space="preserve">лв. </w:t>
      </w:r>
    </w:p>
    <w:p w14:paraId="3C6FB47B" w14:textId="75B4BB36" w:rsidR="00212428" w:rsidRPr="0047066D" w:rsidRDefault="00212428" w:rsidP="00212428">
      <w:pPr>
        <w:jc w:val="both"/>
        <w:rPr>
          <w:color w:val="000000" w:themeColor="text1"/>
          <w:lang w:val="ru-RU" w:eastAsia="bg-BG"/>
        </w:rPr>
      </w:pPr>
      <w:r>
        <w:rPr>
          <w:color w:val="000000" w:themeColor="text1"/>
          <w:lang w:eastAsia="bg-BG"/>
        </w:rPr>
        <w:t>Р</w:t>
      </w:r>
      <w:r w:rsidRPr="0047066D">
        <w:rPr>
          <w:lang w:eastAsia="bg-BG"/>
        </w:rPr>
        <w:t>азходите за подкрепа на персонала на първа линия, пряко ангажиран с дейности по предотвратяване раз</w:t>
      </w:r>
      <w:r>
        <w:rPr>
          <w:lang w:eastAsia="bg-BG"/>
        </w:rPr>
        <w:t>пространението на COVID-19  са в размер на 701,8</w:t>
      </w:r>
      <w:r w:rsidRPr="0047066D">
        <w:rPr>
          <w:lang w:eastAsia="bg-BG"/>
        </w:rPr>
        <w:t xml:space="preserve"> млн. лв.</w:t>
      </w:r>
      <w:r w:rsidRPr="0047066D">
        <w:rPr>
          <w:color w:val="000000"/>
          <w:lang w:eastAsia="bg-BG"/>
        </w:rPr>
        <w:t xml:space="preserve"> </w:t>
      </w:r>
    </w:p>
    <w:p w14:paraId="7CC0E9C4" w14:textId="0DBEF0F5" w:rsidR="00246AFE" w:rsidRPr="0047066D" w:rsidRDefault="00246AFE" w:rsidP="00246AFE">
      <w:pPr>
        <w:spacing w:before="240" w:after="240"/>
        <w:jc w:val="both"/>
        <w:rPr>
          <w:lang w:eastAsia="bg-BG"/>
        </w:rPr>
      </w:pPr>
      <w:r w:rsidRPr="0047066D">
        <w:rPr>
          <w:lang w:eastAsia="bg-BG"/>
        </w:rPr>
        <w:t>За подкрепа на медицинския персонал, който работи в условията на огромно напрежение  при извънредна епидемична обстановка чрез изплащане на постоянна месечна добавка към възнагражденията на лекарите (600 лв.), на специалисти от професионално направление „Здравни грижи“ (360 лв.) и на санитари (120 лв.) от държавния бюджет са усвоени 197,9 млн.</w:t>
      </w:r>
      <w:r w:rsidR="00E23876">
        <w:rPr>
          <w:lang w:val="en-US" w:eastAsia="bg-BG"/>
        </w:rPr>
        <w:t> </w:t>
      </w:r>
      <w:r w:rsidRPr="0047066D">
        <w:rPr>
          <w:lang w:eastAsia="bg-BG"/>
        </w:rPr>
        <w:t>лв.</w:t>
      </w:r>
    </w:p>
    <w:p w14:paraId="0FD4FB91" w14:textId="77777777" w:rsidR="00246AFE" w:rsidRPr="0047066D" w:rsidRDefault="00246AFE" w:rsidP="00246AFE">
      <w:pPr>
        <w:spacing w:before="240" w:after="240"/>
        <w:jc w:val="both"/>
        <w:rPr>
          <w:lang w:eastAsia="bg-BG"/>
        </w:rPr>
      </w:pPr>
      <w:r w:rsidRPr="00F84620">
        <w:rPr>
          <w:lang w:eastAsia="bg-BG"/>
        </w:rPr>
        <w:t>От общините са изразходвани средства за противоепидемични мерки в размер на 95,0 млн. лв.</w:t>
      </w:r>
    </w:p>
    <w:p w14:paraId="78C3AAC9" w14:textId="0D1AE367" w:rsidR="00246AFE" w:rsidRDefault="00246AFE" w:rsidP="00246AFE">
      <w:pPr>
        <w:spacing w:before="120" w:after="240"/>
        <w:jc w:val="both"/>
        <w:rPr>
          <w:lang w:eastAsia="bg-BG"/>
        </w:rPr>
      </w:pPr>
      <w:r w:rsidRPr="0047066D">
        <w:rPr>
          <w:lang w:eastAsia="bg-BG"/>
        </w:rPr>
        <w:t xml:space="preserve">За осигуряване на лични предпазни средства (маски, ръкавици, калцуни, предпазно облекло, защитни очила) за нуждите на държавната администрация и лечебните заведения, както и дезинфектанти, дезинфекция на работните помещения, термометри за измерване от разстояние, консумативи, реактиви, медикаменти, PCR </w:t>
      </w:r>
      <w:r w:rsidR="0090077B">
        <w:rPr>
          <w:lang w:eastAsia="bg-BG"/>
        </w:rPr>
        <w:t>тестове и др. са изразходвани 92,7</w:t>
      </w:r>
      <w:r w:rsidRPr="0047066D">
        <w:rPr>
          <w:lang w:eastAsia="bg-BG"/>
        </w:rPr>
        <w:t xml:space="preserve"> млн. лв.</w:t>
      </w:r>
    </w:p>
    <w:p w14:paraId="5B92947F" w14:textId="20DD15DB" w:rsidR="0090077B" w:rsidRDefault="0090077B" w:rsidP="00246AFE">
      <w:pPr>
        <w:spacing w:before="120" w:after="240"/>
        <w:jc w:val="both"/>
        <w:rPr>
          <w:lang w:eastAsia="bg-BG"/>
        </w:rPr>
      </w:pPr>
    </w:p>
    <w:p w14:paraId="5C9C42E1" w14:textId="3DB06631" w:rsidR="00A759DB" w:rsidRDefault="00A759DB" w:rsidP="00246AFE">
      <w:pPr>
        <w:spacing w:before="120" w:after="240"/>
        <w:jc w:val="both"/>
        <w:rPr>
          <w:lang w:eastAsia="bg-BG"/>
        </w:rPr>
      </w:pPr>
    </w:p>
    <w:p w14:paraId="334D2A83" w14:textId="749487C5" w:rsidR="00A759DB" w:rsidRDefault="00A759DB" w:rsidP="00246AFE">
      <w:pPr>
        <w:spacing w:before="120" w:after="240"/>
        <w:jc w:val="both"/>
        <w:rPr>
          <w:lang w:eastAsia="bg-BG"/>
        </w:rPr>
      </w:pPr>
    </w:p>
    <w:p w14:paraId="01298C6D" w14:textId="117E2520" w:rsidR="00A759DB" w:rsidRPr="00A6609F" w:rsidRDefault="00A759DB" w:rsidP="00A6609F">
      <w:pPr>
        <w:pStyle w:val="ListParagraph"/>
        <w:tabs>
          <w:tab w:val="left" w:pos="426"/>
          <w:tab w:val="left" w:pos="851"/>
        </w:tabs>
        <w:spacing w:line="240" w:lineRule="auto"/>
        <w:ind w:left="0"/>
        <w:jc w:val="center"/>
        <w:rPr>
          <w:rFonts w:ascii="Times New Roman" w:hAnsi="Times New Roman"/>
          <w:b/>
          <w:i/>
          <w:u w:val="single"/>
        </w:rPr>
      </w:pPr>
    </w:p>
    <w:p w14:paraId="57A5E35A" w14:textId="76FA5D9E" w:rsidR="0090077B" w:rsidRDefault="0090077B" w:rsidP="00246AFE">
      <w:pPr>
        <w:spacing w:before="120" w:after="240"/>
        <w:jc w:val="both"/>
        <w:rPr>
          <w:lang w:eastAsia="bg-BG"/>
        </w:rPr>
      </w:pPr>
    </w:p>
    <w:p w14:paraId="7DE65E19" w14:textId="2406C2B6" w:rsidR="00B12B38" w:rsidRDefault="00B12B38" w:rsidP="00246AFE">
      <w:pPr>
        <w:spacing w:before="120" w:after="240"/>
        <w:jc w:val="both"/>
        <w:rPr>
          <w:lang w:eastAsia="bg-BG"/>
        </w:rPr>
      </w:pPr>
    </w:p>
    <w:p w14:paraId="3268802F" w14:textId="77777777" w:rsidR="00B12B38" w:rsidRDefault="00B12B38" w:rsidP="00246AFE">
      <w:pPr>
        <w:spacing w:before="120" w:after="240"/>
        <w:jc w:val="both"/>
        <w:rPr>
          <w:lang w:eastAsia="bg-BG"/>
        </w:rPr>
      </w:pPr>
    </w:p>
    <w:p w14:paraId="19C86FA1" w14:textId="77777777" w:rsidR="0090077B" w:rsidRPr="0047066D" w:rsidRDefault="0090077B" w:rsidP="00246AFE">
      <w:pPr>
        <w:spacing w:before="120" w:after="240"/>
        <w:jc w:val="both"/>
        <w:rPr>
          <w:lang w:eastAsia="bg-BG"/>
        </w:rPr>
      </w:pPr>
    </w:p>
    <w:p w14:paraId="206678D9" w14:textId="77777777" w:rsidR="00A6609F" w:rsidRDefault="00A6609F" w:rsidP="00A6609F">
      <w:pPr>
        <w:pStyle w:val="ListParagraph"/>
        <w:tabs>
          <w:tab w:val="left" w:pos="426"/>
          <w:tab w:val="left" w:pos="851"/>
        </w:tabs>
        <w:spacing w:line="240" w:lineRule="auto"/>
        <w:ind w:left="0"/>
        <w:jc w:val="center"/>
        <w:rPr>
          <w:rFonts w:ascii="Times New Roman" w:hAnsi="Times New Roman"/>
          <w:b/>
          <w:i/>
          <w:u w:val="single"/>
        </w:rPr>
      </w:pPr>
    </w:p>
    <w:p w14:paraId="2F63059B" w14:textId="4F7CE5BE" w:rsidR="00A6609F" w:rsidRPr="00A6609F" w:rsidRDefault="00A6609F" w:rsidP="00CB0153">
      <w:pPr>
        <w:pStyle w:val="ListParagraph"/>
        <w:tabs>
          <w:tab w:val="left" w:pos="426"/>
          <w:tab w:val="left" w:pos="851"/>
        </w:tabs>
        <w:spacing w:after="0" w:line="240" w:lineRule="auto"/>
        <w:ind w:left="0"/>
        <w:jc w:val="center"/>
        <w:rPr>
          <w:rFonts w:ascii="Times New Roman" w:hAnsi="Times New Roman"/>
          <w:b/>
          <w:i/>
          <w:sz w:val="22"/>
          <w:szCs w:val="22"/>
          <w:u w:val="single"/>
        </w:rPr>
      </w:pPr>
      <w:r w:rsidRPr="00A6609F">
        <w:rPr>
          <w:rFonts w:ascii="Times New Roman" w:hAnsi="Times New Roman"/>
          <w:b/>
          <w:i/>
          <w:sz w:val="22"/>
          <w:szCs w:val="22"/>
          <w:u w:val="single"/>
        </w:rPr>
        <w:lastRenderedPageBreak/>
        <w:t xml:space="preserve">Информация за средствата, </w:t>
      </w:r>
      <w:r w:rsidR="00CB0153">
        <w:rPr>
          <w:rFonts w:ascii="Times New Roman" w:hAnsi="Times New Roman"/>
          <w:b/>
          <w:i/>
          <w:sz w:val="22"/>
          <w:szCs w:val="22"/>
          <w:u w:val="single"/>
        </w:rPr>
        <w:t>изразходени</w:t>
      </w:r>
      <w:r w:rsidRPr="00A6609F">
        <w:rPr>
          <w:rFonts w:ascii="Times New Roman" w:hAnsi="Times New Roman"/>
          <w:b/>
          <w:i/>
          <w:sz w:val="22"/>
          <w:szCs w:val="22"/>
          <w:u w:val="single"/>
        </w:rPr>
        <w:t xml:space="preserve"> </w:t>
      </w:r>
      <w:r w:rsidR="00CB0153">
        <w:rPr>
          <w:rFonts w:ascii="Times New Roman" w:hAnsi="Times New Roman"/>
          <w:b/>
          <w:i/>
          <w:sz w:val="22"/>
          <w:szCs w:val="22"/>
          <w:u w:val="single"/>
        </w:rPr>
        <w:t>за</w:t>
      </w:r>
      <w:r w:rsidRPr="00A6609F">
        <w:rPr>
          <w:rFonts w:ascii="Times New Roman" w:hAnsi="Times New Roman"/>
          <w:b/>
          <w:i/>
          <w:sz w:val="22"/>
          <w:szCs w:val="22"/>
          <w:u w:val="single"/>
        </w:rPr>
        <w:t xml:space="preserve"> мерките за борба с COVID-19 и преодоляване на социално-икономическите последствия от пандемията</w:t>
      </w:r>
    </w:p>
    <w:p w14:paraId="3E779ED4" w14:textId="576509F8" w:rsidR="00246AFE" w:rsidRDefault="00A6609F" w:rsidP="00CB0153">
      <w:pPr>
        <w:ind w:left="142" w:firstLine="708"/>
        <w:jc w:val="center"/>
      </w:pPr>
      <w:r w:rsidRPr="00A6609F">
        <w:rPr>
          <w:b/>
          <w:i/>
          <w:sz w:val="22"/>
          <w:szCs w:val="22"/>
          <w:u w:val="single"/>
        </w:rPr>
        <w:t>към 31.12. 2021 г.</w:t>
      </w:r>
      <w:r w:rsidR="00D306E9" w:rsidRPr="00A6609F">
        <w:rPr>
          <w:noProof/>
          <w:sz w:val="22"/>
          <w:szCs w:val="22"/>
          <w:lang w:eastAsia="bg-BG"/>
        </w:rPr>
        <w:drawing>
          <wp:inline distT="0" distB="0" distL="0" distR="0" wp14:anchorId="203EFA47" wp14:editId="4401D7AF">
            <wp:extent cx="6122504" cy="886422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2658" cy="8878923"/>
                    </a:xfrm>
                    <a:prstGeom prst="rect">
                      <a:avLst/>
                    </a:prstGeom>
                    <a:noFill/>
                    <a:ln>
                      <a:noFill/>
                    </a:ln>
                  </pic:spPr>
                </pic:pic>
              </a:graphicData>
            </a:graphic>
          </wp:inline>
        </w:drawing>
      </w:r>
    </w:p>
    <w:p w14:paraId="57CA3F71" w14:textId="4C756ECA" w:rsidR="00246AFE" w:rsidRDefault="00246AFE" w:rsidP="009C6F72">
      <w:pPr>
        <w:jc w:val="both"/>
        <w:rPr>
          <w:color w:val="0070C0"/>
        </w:rPr>
      </w:pPr>
    </w:p>
    <w:p w14:paraId="502811D9" w14:textId="7E6BCE24" w:rsidR="00246AFE" w:rsidRDefault="00246AFE" w:rsidP="009C6F72">
      <w:pPr>
        <w:jc w:val="both"/>
        <w:rPr>
          <w:color w:val="0070C0"/>
        </w:rPr>
      </w:pPr>
    </w:p>
    <w:p w14:paraId="180CAFCC" w14:textId="294024CE" w:rsidR="00E74802" w:rsidRPr="00A0423D" w:rsidRDefault="00E75C94" w:rsidP="00CE1902">
      <w:pPr>
        <w:pStyle w:val="Heading1"/>
        <w:numPr>
          <w:ilvl w:val="0"/>
          <w:numId w:val="10"/>
        </w:numPr>
        <w:tabs>
          <w:tab w:val="clear" w:pos="5430"/>
          <w:tab w:val="num" w:pos="532"/>
        </w:tabs>
        <w:ind w:left="532" w:right="-108"/>
        <w:jc w:val="both"/>
        <w:rPr>
          <w:sz w:val="24"/>
        </w:rPr>
      </w:pPr>
      <w:r w:rsidRPr="00A0423D">
        <w:rPr>
          <w:sz w:val="24"/>
        </w:rPr>
        <w:t>Основни показатели по консолидираната фискална програма</w:t>
      </w:r>
      <w:r w:rsidRPr="00A0423D">
        <w:rPr>
          <w:rStyle w:val="FootnoteReference"/>
          <w:sz w:val="24"/>
        </w:rPr>
        <w:footnoteReference w:id="4"/>
      </w:r>
      <w:r w:rsidRPr="00A0423D">
        <w:rPr>
          <w:sz w:val="24"/>
        </w:rPr>
        <w:t xml:space="preserve"> за 2021 г</w:t>
      </w:r>
      <w:r w:rsidR="00E74802" w:rsidRPr="00A0423D">
        <w:rPr>
          <w:sz w:val="24"/>
        </w:rPr>
        <w:t>.</w:t>
      </w:r>
    </w:p>
    <w:p w14:paraId="39C0EC4B" w14:textId="77777777" w:rsidR="00430A35" w:rsidRPr="00BA4AB9" w:rsidRDefault="00430A35" w:rsidP="00430A35">
      <w:pPr>
        <w:rPr>
          <w:color w:val="0070C0"/>
          <w:sz w:val="6"/>
          <w:szCs w:val="12"/>
        </w:rPr>
      </w:pPr>
    </w:p>
    <w:p w14:paraId="28B828C6" w14:textId="67E39779" w:rsidR="00A0423D" w:rsidRDefault="00A0423D" w:rsidP="00661BE3">
      <w:pPr>
        <w:jc w:val="both"/>
        <w:rPr>
          <w:color w:val="0070C0"/>
        </w:rPr>
      </w:pPr>
    </w:p>
    <w:p w14:paraId="07B205C0" w14:textId="77777777" w:rsidR="000B7CE5" w:rsidRDefault="000B7CE5" w:rsidP="000B7CE5">
      <w:pPr>
        <w:pStyle w:val="BodyText"/>
      </w:pPr>
      <w:r w:rsidRPr="00EA029B">
        <w:rPr>
          <w:b/>
        </w:rPr>
        <w:t>Постъпилите приходи, помощи и дарения по</w:t>
      </w:r>
      <w:r w:rsidRPr="00EA029B">
        <w:t xml:space="preserve"> </w:t>
      </w:r>
      <w:r w:rsidRPr="00EA029B">
        <w:rPr>
          <w:b/>
        </w:rPr>
        <w:t>КФП за 202</w:t>
      </w:r>
      <w:r>
        <w:rPr>
          <w:b/>
        </w:rPr>
        <w:t>1</w:t>
      </w:r>
      <w:r w:rsidRPr="00EA029B">
        <w:rPr>
          <w:b/>
        </w:rPr>
        <w:t xml:space="preserve"> г. </w:t>
      </w:r>
      <w:r w:rsidRPr="00EA029B">
        <w:t xml:space="preserve">представляват </w:t>
      </w:r>
      <w:r w:rsidRPr="00EA029B">
        <w:rPr>
          <w:b/>
        </w:rPr>
        <w:t xml:space="preserve">40,1 % от прогнозния БВП. </w:t>
      </w:r>
      <w:r w:rsidRPr="00EA029B">
        <w:t>За сравнение</w:t>
      </w:r>
      <w:r w:rsidRPr="00EA029B">
        <w:rPr>
          <w:b/>
        </w:rPr>
        <w:t xml:space="preserve">  </w:t>
      </w:r>
      <w:r w:rsidRPr="00EA029B">
        <w:t>през предходната година приходите и помощите</w:t>
      </w:r>
      <w:r w:rsidRPr="00EA029B">
        <w:rPr>
          <w:b/>
        </w:rPr>
        <w:t xml:space="preserve"> </w:t>
      </w:r>
      <w:r w:rsidRPr="00EA029B">
        <w:t xml:space="preserve">са </w:t>
      </w:r>
      <w:r w:rsidRPr="00EA029B">
        <w:rPr>
          <w:b/>
        </w:rPr>
        <w:t xml:space="preserve">36,9 % от </w:t>
      </w:r>
      <w:r w:rsidRPr="00F52C92">
        <w:rPr>
          <w:b/>
        </w:rPr>
        <w:t xml:space="preserve">БВП. </w:t>
      </w:r>
      <w:r w:rsidRPr="00F52C92">
        <w:t>Като</w:t>
      </w:r>
      <w:r w:rsidRPr="00F52C92">
        <w:rPr>
          <w:b/>
        </w:rPr>
        <w:t xml:space="preserve"> </w:t>
      </w:r>
      <w:r w:rsidRPr="00F52C92">
        <w:t>относителният дял в БВП, сравнено с 2020 г., се отчита ръст при всички елементи на приходите.</w:t>
      </w:r>
    </w:p>
    <w:p w14:paraId="5393565D" w14:textId="77777777" w:rsidR="000B7CE5" w:rsidRDefault="000B7CE5" w:rsidP="000B7CE5">
      <w:pPr>
        <w:pStyle w:val="BodyText"/>
        <w:rPr>
          <w:color w:val="0070C0"/>
        </w:rPr>
      </w:pPr>
    </w:p>
    <w:p w14:paraId="56650FCA" w14:textId="77777777" w:rsidR="000B7CE5" w:rsidRPr="00A0423D" w:rsidRDefault="000B7CE5" w:rsidP="000B7CE5">
      <w:pPr>
        <w:pStyle w:val="BodyText"/>
        <w:rPr>
          <w:bCs/>
          <w:color w:val="0070C0"/>
        </w:rPr>
      </w:pPr>
      <w:r>
        <w:rPr>
          <w:noProof/>
          <w:lang w:eastAsia="bg-BG"/>
        </w:rPr>
        <w:drawing>
          <wp:inline distT="0" distB="0" distL="0" distR="0" wp14:anchorId="4C1D0777" wp14:editId="08F5EF92">
            <wp:extent cx="6141720" cy="2369820"/>
            <wp:effectExtent l="0" t="0" r="11430" b="114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W w:w="10357" w:type="dxa"/>
        <w:tblLook w:val="04A0" w:firstRow="1" w:lastRow="0" w:firstColumn="1" w:lastColumn="0" w:noHBand="0" w:noVBand="1"/>
      </w:tblPr>
      <w:tblGrid>
        <w:gridCol w:w="10357"/>
      </w:tblGrid>
      <w:tr w:rsidR="000B7CE5" w:rsidRPr="00A0423D" w14:paraId="0623BF96" w14:textId="77777777" w:rsidTr="00E460C7">
        <w:tc>
          <w:tcPr>
            <w:tcW w:w="10357" w:type="dxa"/>
            <w:hideMark/>
          </w:tcPr>
          <w:p w14:paraId="7E1BA8B2" w14:textId="77777777" w:rsidR="000B7CE5" w:rsidRPr="00A0423D" w:rsidRDefault="000B7CE5" w:rsidP="00E460C7">
            <w:pPr>
              <w:jc w:val="both"/>
              <w:rPr>
                <w:color w:val="0070C0"/>
                <w:sz w:val="4"/>
                <w:szCs w:val="4"/>
                <w:lang w:val="en-US"/>
              </w:rPr>
            </w:pPr>
          </w:p>
        </w:tc>
      </w:tr>
    </w:tbl>
    <w:p w14:paraId="247987FB" w14:textId="77777777" w:rsidR="000B7CE5" w:rsidRPr="00EF7C84" w:rsidRDefault="000B7CE5" w:rsidP="000B7CE5">
      <w:pPr>
        <w:ind w:left="360"/>
        <w:jc w:val="both"/>
        <w:rPr>
          <w:sz w:val="18"/>
          <w:szCs w:val="18"/>
        </w:rPr>
      </w:pPr>
      <w:r w:rsidRPr="00EF7C84">
        <w:rPr>
          <w:sz w:val="18"/>
          <w:szCs w:val="18"/>
        </w:rPr>
        <w:t>*В частта на преките данъци са включени и други данъци</w:t>
      </w:r>
    </w:p>
    <w:p w14:paraId="65625B48" w14:textId="77777777" w:rsidR="000B7CE5" w:rsidRPr="00A0423D" w:rsidRDefault="000B7CE5" w:rsidP="000B7CE5">
      <w:pPr>
        <w:jc w:val="both"/>
        <w:rPr>
          <w:b/>
          <w:color w:val="0070C0"/>
          <w:sz w:val="16"/>
          <w:highlight w:val="yellow"/>
        </w:rPr>
      </w:pPr>
    </w:p>
    <w:p w14:paraId="0954D4B7" w14:textId="656AEAED" w:rsidR="000B7CE5" w:rsidRDefault="000B7CE5" w:rsidP="000B7CE5">
      <w:pPr>
        <w:jc w:val="both"/>
      </w:pPr>
      <w:r w:rsidRPr="00B21AD1">
        <w:rPr>
          <w:b/>
        </w:rPr>
        <w:t xml:space="preserve">Разходите по КФП за 2021 г. </w:t>
      </w:r>
      <w:r w:rsidRPr="00B21AD1">
        <w:t>(включително вноската на Република България в общия бюджет на ЕС)</w:t>
      </w:r>
      <w:r w:rsidRPr="00B21AD1">
        <w:rPr>
          <w:b/>
        </w:rPr>
        <w:t xml:space="preserve"> </w:t>
      </w:r>
      <w:r w:rsidRPr="003D2238">
        <w:t xml:space="preserve">представляват </w:t>
      </w:r>
      <w:r w:rsidRPr="003D2238">
        <w:rPr>
          <w:b/>
        </w:rPr>
        <w:t xml:space="preserve">43,1 % от прогнозния БВП </w:t>
      </w:r>
      <w:r w:rsidRPr="003D2238">
        <w:t xml:space="preserve">и отбелязват увеличение с 3,2 пр. п. спрямо отчетените за 2020 г. (39,9 % от БВП). </w:t>
      </w:r>
      <w:r w:rsidRPr="00000604">
        <w:t>Относителният дял в БВП на капиталовите разходи намалява с 1,</w:t>
      </w:r>
      <w:r w:rsidR="00A00984">
        <w:t>2</w:t>
      </w:r>
      <w:r w:rsidRPr="00000604">
        <w:t xml:space="preserve"> пр. п., сравнено с 2020 г</w:t>
      </w:r>
      <w:r w:rsidRPr="00162B28">
        <w:t xml:space="preserve">. </w:t>
      </w:r>
      <w:r w:rsidRPr="00162B28">
        <w:rPr>
          <w:rFonts w:eastAsia="Calibri"/>
        </w:rPr>
        <w:t xml:space="preserve">При съпоставката на капиталовите разходи с предходната година следва да се има предвид, </w:t>
      </w:r>
      <w:r>
        <w:rPr>
          <w:rFonts w:eastAsia="Calibri"/>
        </w:rPr>
        <w:t xml:space="preserve">че през </w:t>
      </w:r>
      <w:r w:rsidRPr="00162B28">
        <w:rPr>
          <w:rFonts w:eastAsia="Calibri"/>
        </w:rPr>
        <w:t xml:space="preserve">месец юли </w:t>
      </w:r>
      <w:r>
        <w:rPr>
          <w:rFonts w:eastAsia="Calibri"/>
        </w:rPr>
        <w:t xml:space="preserve">2021 г. е </w:t>
      </w:r>
      <w:r w:rsidRPr="00162B28">
        <w:rPr>
          <w:rFonts w:eastAsia="Calibri"/>
        </w:rPr>
        <w:t>отразена извършена трансакция по възстановяване на средства по държавния бюджет от сметката за чужди средства на МРРБ, която по същество представлява възстановен разход и се отразява в намаление на разходите на касова основа</w:t>
      </w:r>
      <w:r>
        <w:rPr>
          <w:rFonts w:eastAsia="Calibri"/>
        </w:rPr>
        <w:t xml:space="preserve">. </w:t>
      </w:r>
      <w:r w:rsidRPr="00000604">
        <w:t xml:space="preserve">Относителният дял в БВП на </w:t>
      </w:r>
      <w:r>
        <w:t>р</w:t>
      </w:r>
      <w:r w:rsidRPr="00933B8F">
        <w:t xml:space="preserve">азходите за издръжка </w:t>
      </w:r>
      <w:r w:rsidRPr="00000604">
        <w:t xml:space="preserve">намалява с </w:t>
      </w:r>
      <w:r>
        <w:t>0</w:t>
      </w:r>
      <w:r w:rsidRPr="00000604">
        <w:t>,</w:t>
      </w:r>
      <w:r w:rsidR="00A00984">
        <w:t>1</w:t>
      </w:r>
      <w:r>
        <w:t> </w:t>
      </w:r>
      <w:r w:rsidRPr="00000604">
        <w:t>пр. п., сравнено с 2020 г</w:t>
      </w:r>
      <w:r w:rsidRPr="00162B28">
        <w:t>.</w:t>
      </w:r>
      <w:r w:rsidR="00A00984">
        <w:t xml:space="preserve"> В същия размер (0,1 пр. п.) е и намалението при предоставените текущи и капиталови трансфери за чужбина.</w:t>
      </w:r>
      <w:r w:rsidRPr="00536960">
        <w:t xml:space="preserve"> Разходите за лихви, като относителен дял в БВП, са с еднакви стойности през 2020 и 2021 г., а при останалите разходи има нарастване в сравнение с отчетените в предходната година. </w:t>
      </w:r>
    </w:p>
    <w:p w14:paraId="1671381D" w14:textId="77777777" w:rsidR="000B7CE5" w:rsidRDefault="000B7CE5" w:rsidP="000B7CE5">
      <w:pPr>
        <w:jc w:val="both"/>
      </w:pPr>
    </w:p>
    <w:p w14:paraId="10827CE4" w14:textId="4443BE4E" w:rsidR="000B7CE5" w:rsidRDefault="003A589C" w:rsidP="000B7CE5">
      <w:pPr>
        <w:jc w:val="both"/>
      </w:pPr>
      <w:r>
        <w:rPr>
          <w:noProof/>
          <w:lang w:eastAsia="bg-BG"/>
        </w:rPr>
        <w:lastRenderedPageBreak/>
        <w:drawing>
          <wp:inline distT="0" distB="0" distL="0" distR="0" wp14:anchorId="75E89185" wp14:editId="68ADC350">
            <wp:extent cx="6420897" cy="2823210"/>
            <wp:effectExtent l="0" t="0" r="18415" b="152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8FDEDD3" w14:textId="77777777" w:rsidR="000B7CE5" w:rsidRPr="00A0423D" w:rsidRDefault="000B7CE5" w:rsidP="000B7CE5">
      <w:pPr>
        <w:ind w:firstLine="142"/>
        <w:jc w:val="both"/>
        <w:rPr>
          <w:color w:val="0070C0"/>
          <w:sz w:val="6"/>
          <w:szCs w:val="8"/>
        </w:rPr>
      </w:pPr>
      <w:bookmarkStart w:id="2" w:name="_MON_1608125583"/>
      <w:bookmarkStart w:id="3" w:name="_MON_1608125674"/>
      <w:bookmarkStart w:id="4" w:name="_MON_1608126274"/>
      <w:bookmarkStart w:id="5" w:name="_MON_1608124882"/>
      <w:bookmarkStart w:id="6" w:name="_MON_1608126650"/>
      <w:bookmarkStart w:id="7" w:name="_MON_1608126890"/>
      <w:bookmarkStart w:id="8" w:name="_MON_1608126952"/>
      <w:bookmarkStart w:id="9" w:name="_MON_1608127244"/>
      <w:bookmarkStart w:id="10" w:name="_MON_1608124980"/>
      <w:bookmarkStart w:id="11" w:name="_MON_1608125062"/>
      <w:bookmarkStart w:id="12" w:name="_MON_1608125088"/>
      <w:bookmarkStart w:id="13" w:name="_MON_1608125406"/>
      <w:bookmarkStart w:id="14" w:name="_MON_1609599545"/>
      <w:bookmarkStart w:id="15" w:name="_MON_1609599605"/>
      <w:bookmarkStart w:id="16" w:name="_MON_160812542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40999DEE" w14:textId="77777777" w:rsidR="000B7CE5" w:rsidRPr="00D360F1" w:rsidRDefault="000B7CE5" w:rsidP="000B7CE5">
      <w:pPr>
        <w:ind w:left="360"/>
        <w:jc w:val="both"/>
        <w:rPr>
          <w:sz w:val="16"/>
          <w:szCs w:val="16"/>
        </w:rPr>
      </w:pPr>
      <w:r w:rsidRPr="00D360F1">
        <w:rPr>
          <w:sz w:val="18"/>
          <w:szCs w:val="16"/>
        </w:rPr>
        <w:t>*</w:t>
      </w:r>
      <w:r w:rsidRPr="00D360F1">
        <w:rPr>
          <w:sz w:val="16"/>
          <w:szCs w:val="16"/>
        </w:rPr>
        <w:t xml:space="preserve"> </w:t>
      </w:r>
      <w:r w:rsidRPr="00D360F1">
        <w:rPr>
          <w:sz w:val="18"/>
          <w:szCs w:val="16"/>
        </w:rPr>
        <w:t>Вкл. нетния прираст на държавния резерв</w:t>
      </w:r>
    </w:p>
    <w:p w14:paraId="604C8B0D" w14:textId="77777777" w:rsidR="000B7CE5" w:rsidRDefault="000B7CE5" w:rsidP="000B7CE5">
      <w:pPr>
        <w:jc w:val="both"/>
        <w:rPr>
          <w:color w:val="0070C0"/>
        </w:rPr>
      </w:pPr>
    </w:p>
    <w:p w14:paraId="737F5885" w14:textId="77777777" w:rsidR="000B7CE5" w:rsidRPr="00152FE8" w:rsidRDefault="000B7CE5" w:rsidP="000B7CE5">
      <w:pPr>
        <w:jc w:val="both"/>
      </w:pPr>
      <w:r w:rsidRPr="00152FE8">
        <w:t>Изпълнението на основните показатели по консолидираната фискална програма за 2021 г. е представено в следната таблица:</w:t>
      </w:r>
    </w:p>
    <w:p w14:paraId="7773EE9C" w14:textId="77777777" w:rsidR="000B7CE5" w:rsidRPr="00BA4AB9" w:rsidRDefault="000B7CE5" w:rsidP="000B7CE5">
      <w:pPr>
        <w:jc w:val="both"/>
        <w:rPr>
          <w:color w:val="0070C0"/>
          <w:sz w:val="4"/>
          <w:szCs w:val="4"/>
        </w:rPr>
      </w:pPr>
    </w:p>
    <w:p w14:paraId="3595C019" w14:textId="77777777" w:rsidR="000B7CE5" w:rsidRPr="00152FE8" w:rsidRDefault="000B7CE5" w:rsidP="000B7CE5">
      <w:pPr>
        <w:spacing w:before="120"/>
        <w:rPr>
          <w:b/>
          <w:i/>
          <w:sz w:val="18"/>
          <w:szCs w:val="18"/>
        </w:rPr>
      </w:pPr>
      <w:r w:rsidRPr="00152FE8">
        <w:rPr>
          <w:b/>
          <w:i/>
          <w:sz w:val="22"/>
          <w:szCs w:val="22"/>
        </w:rPr>
        <w:t>Таблица</w:t>
      </w:r>
      <w:r w:rsidRPr="00152FE8">
        <w:rPr>
          <w:b/>
          <w:i/>
          <w:sz w:val="22"/>
          <w:szCs w:val="22"/>
          <w:vertAlign w:val="superscript"/>
        </w:rPr>
        <w:footnoteReference w:id="5"/>
      </w:r>
      <w:r w:rsidRPr="00152FE8">
        <w:rPr>
          <w:b/>
          <w:i/>
          <w:sz w:val="22"/>
          <w:szCs w:val="22"/>
        </w:rPr>
        <w:t xml:space="preserve"> №1</w:t>
      </w:r>
      <w:r w:rsidRPr="00152FE8">
        <w:rPr>
          <w:b/>
          <w:i/>
          <w:sz w:val="22"/>
          <w:szCs w:val="22"/>
        </w:rPr>
        <w:tab/>
      </w:r>
      <w:r w:rsidRPr="00152FE8">
        <w:rPr>
          <w:b/>
          <w:i/>
          <w:sz w:val="22"/>
          <w:szCs w:val="22"/>
        </w:rPr>
        <w:tab/>
      </w:r>
      <w:r w:rsidRPr="00152FE8">
        <w:rPr>
          <w:b/>
          <w:i/>
          <w:sz w:val="22"/>
          <w:szCs w:val="22"/>
        </w:rPr>
        <w:tab/>
      </w:r>
      <w:r w:rsidRPr="00152FE8">
        <w:rPr>
          <w:b/>
          <w:i/>
          <w:sz w:val="22"/>
          <w:szCs w:val="22"/>
        </w:rPr>
        <w:tab/>
      </w:r>
      <w:r w:rsidRPr="00152FE8">
        <w:rPr>
          <w:b/>
          <w:i/>
          <w:sz w:val="22"/>
          <w:szCs w:val="22"/>
        </w:rPr>
        <w:tab/>
      </w:r>
      <w:r w:rsidRPr="00152FE8">
        <w:rPr>
          <w:b/>
          <w:i/>
          <w:sz w:val="22"/>
          <w:szCs w:val="22"/>
        </w:rPr>
        <w:tab/>
      </w:r>
      <w:r w:rsidRPr="00152FE8">
        <w:rPr>
          <w:b/>
          <w:i/>
          <w:sz w:val="22"/>
          <w:szCs w:val="22"/>
        </w:rPr>
        <w:tab/>
      </w:r>
      <w:r w:rsidRPr="00152FE8">
        <w:rPr>
          <w:b/>
          <w:i/>
          <w:sz w:val="22"/>
          <w:szCs w:val="22"/>
        </w:rPr>
        <w:tab/>
      </w:r>
      <w:r w:rsidRPr="00152FE8">
        <w:rPr>
          <w:b/>
          <w:i/>
          <w:sz w:val="22"/>
          <w:szCs w:val="22"/>
        </w:rPr>
        <w:tab/>
      </w:r>
      <w:r w:rsidRPr="00152FE8">
        <w:rPr>
          <w:b/>
          <w:i/>
          <w:sz w:val="22"/>
          <w:szCs w:val="22"/>
        </w:rPr>
        <w:tab/>
      </w:r>
      <w:r w:rsidRPr="00152FE8">
        <w:rPr>
          <w:b/>
          <w:i/>
          <w:sz w:val="22"/>
          <w:szCs w:val="22"/>
        </w:rPr>
        <w:tab/>
      </w:r>
      <w:r w:rsidRPr="00152FE8">
        <w:rPr>
          <w:b/>
          <w:i/>
          <w:sz w:val="18"/>
          <w:szCs w:val="18"/>
        </w:rPr>
        <w:t>(млн. лв.)</w:t>
      </w:r>
    </w:p>
    <w:tbl>
      <w:tblPr>
        <w:tblW w:w="10093" w:type="dxa"/>
        <w:tblInd w:w="98" w:type="dxa"/>
        <w:tblLook w:val="04A0" w:firstRow="1" w:lastRow="0" w:firstColumn="1" w:lastColumn="0" w:noHBand="0" w:noVBand="1"/>
      </w:tblPr>
      <w:tblGrid>
        <w:gridCol w:w="4263"/>
        <w:gridCol w:w="992"/>
        <w:gridCol w:w="1087"/>
        <w:gridCol w:w="1252"/>
        <w:gridCol w:w="1199"/>
        <w:gridCol w:w="1300"/>
      </w:tblGrid>
      <w:tr w:rsidR="000B7CE5" w:rsidRPr="00BA4AB9" w14:paraId="7C51C630" w14:textId="77777777" w:rsidTr="00E460C7">
        <w:trPr>
          <w:trHeight w:val="270"/>
        </w:trPr>
        <w:tc>
          <w:tcPr>
            <w:tcW w:w="4263" w:type="dxa"/>
            <w:vMerge w:val="restart"/>
            <w:tcBorders>
              <w:top w:val="single" w:sz="8" w:space="0" w:color="auto"/>
              <w:left w:val="single" w:sz="8" w:space="0" w:color="auto"/>
              <w:bottom w:val="single" w:sz="4" w:space="0" w:color="000000"/>
              <w:right w:val="nil"/>
            </w:tcBorders>
            <w:shd w:val="clear" w:color="000000" w:fill="D9D9D9"/>
            <w:noWrap/>
            <w:vAlign w:val="bottom"/>
            <w:hideMark/>
          </w:tcPr>
          <w:p w14:paraId="4CF74870" w14:textId="77777777" w:rsidR="000B7CE5" w:rsidRPr="00442771" w:rsidRDefault="000B7CE5" w:rsidP="00E460C7">
            <w:pPr>
              <w:jc w:val="center"/>
              <w:rPr>
                <w:b/>
                <w:bCs/>
                <w:sz w:val="18"/>
                <w:szCs w:val="18"/>
              </w:rPr>
            </w:pPr>
            <w:r w:rsidRPr="00442771">
              <w:rPr>
                <w:b/>
                <w:bCs/>
                <w:sz w:val="18"/>
                <w:szCs w:val="18"/>
              </w:rPr>
              <w:t>ПОКАЗАТЕЛ</w:t>
            </w:r>
          </w:p>
        </w:tc>
        <w:tc>
          <w:tcPr>
            <w:tcW w:w="992" w:type="dxa"/>
            <w:tcBorders>
              <w:top w:val="single" w:sz="8" w:space="0" w:color="auto"/>
              <w:left w:val="single" w:sz="4" w:space="0" w:color="auto"/>
              <w:bottom w:val="nil"/>
              <w:right w:val="single" w:sz="4" w:space="0" w:color="auto"/>
            </w:tcBorders>
            <w:shd w:val="clear" w:color="000000" w:fill="D9D9D9"/>
            <w:noWrap/>
            <w:vAlign w:val="bottom"/>
            <w:hideMark/>
          </w:tcPr>
          <w:p w14:paraId="45A2C3DC" w14:textId="77777777" w:rsidR="000B7CE5" w:rsidRPr="00442771" w:rsidRDefault="000B7CE5" w:rsidP="00E460C7">
            <w:pPr>
              <w:jc w:val="center"/>
              <w:rPr>
                <w:b/>
                <w:bCs/>
                <w:sz w:val="18"/>
                <w:szCs w:val="18"/>
              </w:rPr>
            </w:pPr>
            <w:r w:rsidRPr="00442771">
              <w:rPr>
                <w:b/>
                <w:bCs/>
                <w:sz w:val="18"/>
                <w:szCs w:val="18"/>
              </w:rPr>
              <w:t>Разчет 20</w:t>
            </w:r>
            <w:r w:rsidRPr="00442771">
              <w:rPr>
                <w:b/>
                <w:bCs/>
                <w:sz w:val="18"/>
                <w:szCs w:val="18"/>
                <w:lang w:val="en-US"/>
              </w:rPr>
              <w:t>2</w:t>
            </w:r>
            <w:r w:rsidRPr="00442771">
              <w:rPr>
                <w:b/>
                <w:bCs/>
                <w:sz w:val="18"/>
                <w:szCs w:val="18"/>
              </w:rPr>
              <w:t>1 г.</w:t>
            </w:r>
            <w:r w:rsidRPr="00442771">
              <w:rPr>
                <w:rStyle w:val="FootnoteReference"/>
                <w:b/>
                <w:bCs/>
                <w:sz w:val="18"/>
                <w:szCs w:val="18"/>
              </w:rPr>
              <w:footnoteReference w:id="6"/>
            </w:r>
          </w:p>
        </w:tc>
        <w:tc>
          <w:tcPr>
            <w:tcW w:w="3538" w:type="dxa"/>
            <w:gridSpan w:val="3"/>
            <w:tcBorders>
              <w:top w:val="single" w:sz="8" w:space="0" w:color="auto"/>
              <w:left w:val="nil"/>
              <w:bottom w:val="single" w:sz="4" w:space="0" w:color="auto"/>
              <w:right w:val="single" w:sz="4" w:space="0" w:color="auto"/>
            </w:tcBorders>
            <w:shd w:val="clear" w:color="000000" w:fill="D9D9D9"/>
            <w:noWrap/>
            <w:vAlign w:val="center"/>
            <w:hideMark/>
          </w:tcPr>
          <w:p w14:paraId="10409A3A" w14:textId="77777777" w:rsidR="000B7CE5" w:rsidRPr="00442771" w:rsidRDefault="000B7CE5" w:rsidP="00E460C7">
            <w:pPr>
              <w:jc w:val="center"/>
              <w:rPr>
                <w:b/>
                <w:bCs/>
                <w:sz w:val="18"/>
                <w:szCs w:val="18"/>
              </w:rPr>
            </w:pPr>
            <w:r w:rsidRPr="00442771">
              <w:rPr>
                <w:b/>
                <w:bCs/>
                <w:sz w:val="18"/>
                <w:szCs w:val="18"/>
              </w:rPr>
              <w:t>Отчет за 20</w:t>
            </w:r>
            <w:r w:rsidRPr="00442771">
              <w:rPr>
                <w:b/>
                <w:bCs/>
                <w:sz w:val="18"/>
                <w:szCs w:val="18"/>
                <w:lang w:val="en-US"/>
              </w:rPr>
              <w:t>2</w:t>
            </w:r>
            <w:r w:rsidRPr="00442771">
              <w:rPr>
                <w:b/>
                <w:bCs/>
                <w:sz w:val="18"/>
                <w:szCs w:val="18"/>
              </w:rPr>
              <w:t>1 г.</w:t>
            </w:r>
          </w:p>
        </w:tc>
        <w:tc>
          <w:tcPr>
            <w:tcW w:w="1300" w:type="dxa"/>
            <w:tcBorders>
              <w:top w:val="single" w:sz="8" w:space="0" w:color="auto"/>
              <w:left w:val="nil"/>
              <w:bottom w:val="nil"/>
              <w:right w:val="single" w:sz="8" w:space="0" w:color="auto"/>
            </w:tcBorders>
            <w:shd w:val="clear" w:color="000000" w:fill="D9D9D9"/>
            <w:noWrap/>
            <w:vAlign w:val="bottom"/>
            <w:hideMark/>
          </w:tcPr>
          <w:p w14:paraId="19696B9B" w14:textId="77777777" w:rsidR="000B7CE5" w:rsidRPr="00442771" w:rsidRDefault="000B7CE5" w:rsidP="00E460C7">
            <w:pPr>
              <w:jc w:val="center"/>
              <w:rPr>
                <w:b/>
                <w:bCs/>
                <w:sz w:val="18"/>
                <w:szCs w:val="18"/>
              </w:rPr>
            </w:pPr>
            <w:r w:rsidRPr="00442771">
              <w:rPr>
                <w:b/>
                <w:bCs/>
                <w:sz w:val="18"/>
                <w:szCs w:val="18"/>
              </w:rPr>
              <w:t>Изпълнение</w:t>
            </w:r>
          </w:p>
        </w:tc>
      </w:tr>
      <w:tr w:rsidR="000B7CE5" w:rsidRPr="00BA4AB9" w14:paraId="23C1157A" w14:textId="77777777" w:rsidTr="00E460C7">
        <w:trPr>
          <w:trHeight w:val="255"/>
        </w:trPr>
        <w:tc>
          <w:tcPr>
            <w:tcW w:w="4263" w:type="dxa"/>
            <w:vMerge/>
            <w:tcBorders>
              <w:top w:val="single" w:sz="8" w:space="0" w:color="auto"/>
              <w:left w:val="single" w:sz="8" w:space="0" w:color="auto"/>
              <w:bottom w:val="single" w:sz="4" w:space="0" w:color="000000"/>
              <w:right w:val="nil"/>
            </w:tcBorders>
            <w:vAlign w:val="center"/>
            <w:hideMark/>
          </w:tcPr>
          <w:p w14:paraId="682D1812" w14:textId="77777777" w:rsidR="000B7CE5" w:rsidRPr="00442771" w:rsidRDefault="000B7CE5" w:rsidP="00E460C7">
            <w:pPr>
              <w:rPr>
                <w:b/>
                <w:bCs/>
                <w:sz w:val="18"/>
                <w:szCs w:val="18"/>
              </w:rPr>
            </w:pPr>
          </w:p>
        </w:tc>
        <w:tc>
          <w:tcPr>
            <w:tcW w:w="992" w:type="dxa"/>
            <w:tcBorders>
              <w:top w:val="nil"/>
              <w:left w:val="single" w:sz="4" w:space="0" w:color="auto"/>
              <w:bottom w:val="single" w:sz="4" w:space="0" w:color="auto"/>
              <w:right w:val="single" w:sz="4" w:space="0" w:color="auto"/>
            </w:tcBorders>
            <w:shd w:val="clear" w:color="000000" w:fill="D9D9D9"/>
            <w:noWrap/>
            <w:vAlign w:val="bottom"/>
            <w:hideMark/>
          </w:tcPr>
          <w:p w14:paraId="25015577" w14:textId="77777777" w:rsidR="000B7CE5" w:rsidRPr="00442771" w:rsidRDefault="000B7CE5" w:rsidP="00E460C7">
            <w:pPr>
              <w:jc w:val="center"/>
              <w:rPr>
                <w:b/>
                <w:bCs/>
                <w:sz w:val="18"/>
                <w:szCs w:val="18"/>
              </w:rPr>
            </w:pPr>
            <w:r w:rsidRPr="00442771">
              <w:rPr>
                <w:b/>
                <w:bCs/>
                <w:sz w:val="18"/>
                <w:szCs w:val="18"/>
              </w:rPr>
              <w:t xml:space="preserve"> КФП</w:t>
            </w:r>
          </w:p>
        </w:tc>
        <w:tc>
          <w:tcPr>
            <w:tcW w:w="1087" w:type="dxa"/>
            <w:tcBorders>
              <w:top w:val="nil"/>
              <w:left w:val="nil"/>
              <w:bottom w:val="single" w:sz="4" w:space="0" w:color="auto"/>
              <w:right w:val="single" w:sz="4" w:space="0" w:color="auto"/>
            </w:tcBorders>
            <w:shd w:val="clear" w:color="000000" w:fill="D9D9D9"/>
            <w:noWrap/>
            <w:vAlign w:val="bottom"/>
            <w:hideMark/>
          </w:tcPr>
          <w:p w14:paraId="3F38716D" w14:textId="77777777" w:rsidR="000B7CE5" w:rsidRPr="00442771" w:rsidRDefault="000B7CE5" w:rsidP="00E460C7">
            <w:pPr>
              <w:jc w:val="center"/>
              <w:rPr>
                <w:b/>
                <w:bCs/>
                <w:sz w:val="18"/>
                <w:szCs w:val="18"/>
              </w:rPr>
            </w:pPr>
            <w:r w:rsidRPr="00442771">
              <w:rPr>
                <w:b/>
                <w:bCs/>
                <w:sz w:val="18"/>
                <w:szCs w:val="18"/>
              </w:rPr>
              <w:t xml:space="preserve"> КФП</w:t>
            </w:r>
          </w:p>
        </w:tc>
        <w:tc>
          <w:tcPr>
            <w:tcW w:w="1252" w:type="dxa"/>
            <w:tcBorders>
              <w:top w:val="nil"/>
              <w:left w:val="nil"/>
              <w:bottom w:val="single" w:sz="4" w:space="0" w:color="auto"/>
              <w:right w:val="single" w:sz="4" w:space="0" w:color="auto"/>
            </w:tcBorders>
            <w:shd w:val="clear" w:color="000000" w:fill="D9D9D9"/>
            <w:noWrap/>
            <w:vAlign w:val="bottom"/>
            <w:hideMark/>
          </w:tcPr>
          <w:p w14:paraId="7364291A" w14:textId="77777777" w:rsidR="000B7CE5" w:rsidRPr="00442771" w:rsidRDefault="000B7CE5" w:rsidP="00E460C7">
            <w:pPr>
              <w:jc w:val="center"/>
              <w:rPr>
                <w:b/>
                <w:bCs/>
                <w:sz w:val="18"/>
                <w:szCs w:val="18"/>
              </w:rPr>
            </w:pPr>
            <w:r w:rsidRPr="00442771">
              <w:rPr>
                <w:b/>
                <w:bCs/>
                <w:sz w:val="18"/>
                <w:szCs w:val="18"/>
              </w:rPr>
              <w:t>Национален бюджет</w:t>
            </w:r>
          </w:p>
        </w:tc>
        <w:tc>
          <w:tcPr>
            <w:tcW w:w="1199" w:type="dxa"/>
            <w:tcBorders>
              <w:top w:val="nil"/>
              <w:left w:val="nil"/>
              <w:bottom w:val="single" w:sz="4" w:space="0" w:color="auto"/>
              <w:right w:val="single" w:sz="4" w:space="0" w:color="auto"/>
            </w:tcBorders>
            <w:shd w:val="clear" w:color="000000" w:fill="D9D9D9"/>
            <w:noWrap/>
            <w:vAlign w:val="bottom"/>
            <w:hideMark/>
          </w:tcPr>
          <w:p w14:paraId="6489C7B9" w14:textId="77777777" w:rsidR="000B7CE5" w:rsidRPr="00442771" w:rsidRDefault="000B7CE5" w:rsidP="00E460C7">
            <w:pPr>
              <w:jc w:val="center"/>
              <w:rPr>
                <w:b/>
                <w:bCs/>
                <w:sz w:val="18"/>
                <w:szCs w:val="18"/>
              </w:rPr>
            </w:pPr>
            <w:r w:rsidRPr="00442771">
              <w:rPr>
                <w:b/>
                <w:bCs/>
                <w:sz w:val="18"/>
                <w:szCs w:val="18"/>
              </w:rPr>
              <w:t>Европейски средства</w:t>
            </w:r>
          </w:p>
        </w:tc>
        <w:tc>
          <w:tcPr>
            <w:tcW w:w="1300" w:type="dxa"/>
            <w:tcBorders>
              <w:top w:val="nil"/>
              <w:left w:val="nil"/>
              <w:bottom w:val="single" w:sz="4" w:space="0" w:color="auto"/>
              <w:right w:val="single" w:sz="8" w:space="0" w:color="auto"/>
            </w:tcBorders>
            <w:shd w:val="clear" w:color="000000" w:fill="D9D9D9"/>
            <w:noWrap/>
            <w:vAlign w:val="bottom"/>
            <w:hideMark/>
          </w:tcPr>
          <w:p w14:paraId="14BFF906" w14:textId="77777777" w:rsidR="000B7CE5" w:rsidRPr="00442771" w:rsidRDefault="000B7CE5" w:rsidP="00E460C7">
            <w:pPr>
              <w:jc w:val="center"/>
              <w:rPr>
                <w:b/>
                <w:bCs/>
                <w:sz w:val="18"/>
                <w:szCs w:val="18"/>
              </w:rPr>
            </w:pPr>
            <w:r w:rsidRPr="00442771">
              <w:rPr>
                <w:b/>
                <w:bCs/>
                <w:sz w:val="18"/>
                <w:szCs w:val="18"/>
              </w:rPr>
              <w:t>спрямо разчет</w:t>
            </w:r>
          </w:p>
        </w:tc>
      </w:tr>
      <w:tr w:rsidR="000B7CE5" w:rsidRPr="00BA4AB9" w14:paraId="236B84F9" w14:textId="77777777" w:rsidTr="00E460C7">
        <w:trPr>
          <w:trHeight w:val="270"/>
        </w:trPr>
        <w:tc>
          <w:tcPr>
            <w:tcW w:w="4263" w:type="dxa"/>
            <w:tcBorders>
              <w:top w:val="nil"/>
              <w:left w:val="single" w:sz="8" w:space="0" w:color="auto"/>
              <w:bottom w:val="single" w:sz="8" w:space="0" w:color="auto"/>
              <w:right w:val="nil"/>
            </w:tcBorders>
            <w:shd w:val="clear" w:color="000000" w:fill="D9D9D9"/>
            <w:noWrap/>
            <w:vAlign w:val="bottom"/>
            <w:hideMark/>
          </w:tcPr>
          <w:p w14:paraId="4161A8EF" w14:textId="77777777" w:rsidR="000B7CE5" w:rsidRPr="00442771" w:rsidRDefault="000B7CE5" w:rsidP="00E460C7">
            <w:pPr>
              <w:jc w:val="center"/>
              <w:rPr>
                <w:sz w:val="18"/>
                <w:szCs w:val="18"/>
              </w:rPr>
            </w:pPr>
            <w:r w:rsidRPr="00442771">
              <w:rPr>
                <w:sz w:val="18"/>
                <w:szCs w:val="18"/>
              </w:rPr>
              <w:t>к.1</w:t>
            </w:r>
          </w:p>
        </w:tc>
        <w:tc>
          <w:tcPr>
            <w:tcW w:w="992" w:type="dxa"/>
            <w:tcBorders>
              <w:top w:val="nil"/>
              <w:left w:val="single" w:sz="4" w:space="0" w:color="auto"/>
              <w:bottom w:val="single" w:sz="8" w:space="0" w:color="auto"/>
              <w:right w:val="single" w:sz="4" w:space="0" w:color="auto"/>
            </w:tcBorders>
            <w:shd w:val="clear" w:color="000000" w:fill="D9D9D9"/>
            <w:noWrap/>
            <w:vAlign w:val="bottom"/>
            <w:hideMark/>
          </w:tcPr>
          <w:p w14:paraId="5A9ABAD4" w14:textId="77777777" w:rsidR="000B7CE5" w:rsidRPr="00442771" w:rsidRDefault="000B7CE5" w:rsidP="00E460C7">
            <w:pPr>
              <w:jc w:val="center"/>
              <w:rPr>
                <w:sz w:val="18"/>
                <w:szCs w:val="18"/>
              </w:rPr>
            </w:pPr>
            <w:r w:rsidRPr="00442771">
              <w:rPr>
                <w:sz w:val="18"/>
                <w:szCs w:val="18"/>
              </w:rPr>
              <w:t>к.2</w:t>
            </w:r>
          </w:p>
        </w:tc>
        <w:tc>
          <w:tcPr>
            <w:tcW w:w="1087" w:type="dxa"/>
            <w:tcBorders>
              <w:top w:val="nil"/>
              <w:left w:val="nil"/>
              <w:bottom w:val="single" w:sz="8" w:space="0" w:color="auto"/>
              <w:right w:val="single" w:sz="4" w:space="0" w:color="auto"/>
            </w:tcBorders>
            <w:shd w:val="clear" w:color="000000" w:fill="D9D9D9"/>
            <w:noWrap/>
            <w:vAlign w:val="bottom"/>
            <w:hideMark/>
          </w:tcPr>
          <w:p w14:paraId="7CFE4754" w14:textId="77777777" w:rsidR="000B7CE5" w:rsidRPr="00442771" w:rsidRDefault="000B7CE5" w:rsidP="00E460C7">
            <w:pPr>
              <w:jc w:val="center"/>
              <w:rPr>
                <w:sz w:val="18"/>
                <w:szCs w:val="18"/>
              </w:rPr>
            </w:pPr>
            <w:r w:rsidRPr="00442771">
              <w:rPr>
                <w:sz w:val="18"/>
                <w:szCs w:val="18"/>
              </w:rPr>
              <w:t>к.3=к.4+к.5</w:t>
            </w:r>
          </w:p>
        </w:tc>
        <w:tc>
          <w:tcPr>
            <w:tcW w:w="1252" w:type="dxa"/>
            <w:tcBorders>
              <w:top w:val="nil"/>
              <w:left w:val="nil"/>
              <w:bottom w:val="single" w:sz="8" w:space="0" w:color="auto"/>
              <w:right w:val="single" w:sz="4" w:space="0" w:color="auto"/>
            </w:tcBorders>
            <w:shd w:val="clear" w:color="000000" w:fill="D9D9D9"/>
            <w:noWrap/>
            <w:vAlign w:val="bottom"/>
            <w:hideMark/>
          </w:tcPr>
          <w:p w14:paraId="42036C6F" w14:textId="77777777" w:rsidR="000B7CE5" w:rsidRPr="00442771" w:rsidRDefault="000B7CE5" w:rsidP="00E460C7">
            <w:pPr>
              <w:jc w:val="center"/>
              <w:rPr>
                <w:sz w:val="18"/>
                <w:szCs w:val="18"/>
              </w:rPr>
            </w:pPr>
            <w:r w:rsidRPr="00442771">
              <w:rPr>
                <w:sz w:val="18"/>
                <w:szCs w:val="18"/>
              </w:rPr>
              <w:t>к.4</w:t>
            </w:r>
          </w:p>
        </w:tc>
        <w:tc>
          <w:tcPr>
            <w:tcW w:w="1199" w:type="dxa"/>
            <w:tcBorders>
              <w:top w:val="nil"/>
              <w:left w:val="nil"/>
              <w:bottom w:val="single" w:sz="8" w:space="0" w:color="auto"/>
              <w:right w:val="single" w:sz="4" w:space="0" w:color="auto"/>
            </w:tcBorders>
            <w:shd w:val="clear" w:color="000000" w:fill="D9D9D9"/>
            <w:noWrap/>
            <w:vAlign w:val="bottom"/>
            <w:hideMark/>
          </w:tcPr>
          <w:p w14:paraId="1863AF2D" w14:textId="77777777" w:rsidR="000B7CE5" w:rsidRPr="00442771" w:rsidRDefault="000B7CE5" w:rsidP="00E460C7">
            <w:pPr>
              <w:jc w:val="center"/>
              <w:rPr>
                <w:sz w:val="18"/>
                <w:szCs w:val="18"/>
              </w:rPr>
            </w:pPr>
            <w:r w:rsidRPr="00442771">
              <w:rPr>
                <w:sz w:val="18"/>
                <w:szCs w:val="18"/>
              </w:rPr>
              <w:t>к.5</w:t>
            </w:r>
          </w:p>
        </w:tc>
        <w:tc>
          <w:tcPr>
            <w:tcW w:w="1300" w:type="dxa"/>
            <w:tcBorders>
              <w:top w:val="nil"/>
              <w:left w:val="nil"/>
              <w:bottom w:val="single" w:sz="8" w:space="0" w:color="auto"/>
              <w:right w:val="single" w:sz="8" w:space="0" w:color="auto"/>
            </w:tcBorders>
            <w:shd w:val="clear" w:color="000000" w:fill="D9D9D9"/>
            <w:noWrap/>
            <w:vAlign w:val="bottom"/>
            <w:hideMark/>
          </w:tcPr>
          <w:p w14:paraId="43440473" w14:textId="77777777" w:rsidR="000B7CE5" w:rsidRPr="00442771" w:rsidRDefault="000B7CE5" w:rsidP="00E460C7">
            <w:pPr>
              <w:jc w:val="center"/>
              <w:rPr>
                <w:sz w:val="18"/>
                <w:szCs w:val="18"/>
              </w:rPr>
            </w:pPr>
            <w:r w:rsidRPr="00442771">
              <w:rPr>
                <w:sz w:val="18"/>
                <w:szCs w:val="18"/>
              </w:rPr>
              <w:t>к.6=к.3:к.2</w:t>
            </w:r>
          </w:p>
        </w:tc>
      </w:tr>
      <w:tr w:rsidR="000B7CE5" w:rsidRPr="00BA4AB9" w14:paraId="670F2F80" w14:textId="77777777" w:rsidTr="00E460C7">
        <w:trPr>
          <w:trHeight w:val="255"/>
        </w:trPr>
        <w:tc>
          <w:tcPr>
            <w:tcW w:w="4263" w:type="dxa"/>
            <w:tcBorders>
              <w:top w:val="nil"/>
              <w:left w:val="single" w:sz="8" w:space="0" w:color="auto"/>
              <w:bottom w:val="nil"/>
              <w:right w:val="nil"/>
            </w:tcBorders>
            <w:shd w:val="clear" w:color="auto" w:fill="auto"/>
            <w:noWrap/>
            <w:vAlign w:val="bottom"/>
            <w:hideMark/>
          </w:tcPr>
          <w:p w14:paraId="6ED90C16" w14:textId="77777777" w:rsidR="000B7CE5" w:rsidRPr="00D34529" w:rsidRDefault="000B7CE5" w:rsidP="00E460C7">
            <w:pPr>
              <w:rPr>
                <w:b/>
                <w:bCs/>
                <w:sz w:val="18"/>
                <w:szCs w:val="18"/>
              </w:rPr>
            </w:pPr>
            <w:r w:rsidRPr="00D34529">
              <w:rPr>
                <w:b/>
                <w:bCs/>
                <w:sz w:val="18"/>
                <w:szCs w:val="18"/>
              </w:rPr>
              <w:t>ПРИХОДИ, ПОМОЩИ И ДАРЕНИЯ</w:t>
            </w:r>
          </w:p>
        </w:tc>
        <w:tc>
          <w:tcPr>
            <w:tcW w:w="992" w:type="dxa"/>
            <w:tcBorders>
              <w:top w:val="nil"/>
              <w:left w:val="nil"/>
              <w:bottom w:val="nil"/>
              <w:right w:val="nil"/>
            </w:tcBorders>
            <w:shd w:val="clear" w:color="auto" w:fill="auto"/>
            <w:noWrap/>
            <w:vAlign w:val="bottom"/>
            <w:hideMark/>
          </w:tcPr>
          <w:p w14:paraId="17B19AB6" w14:textId="77777777" w:rsidR="000B7CE5" w:rsidRPr="00286955" w:rsidRDefault="000B7CE5" w:rsidP="00E460C7">
            <w:pPr>
              <w:jc w:val="right"/>
              <w:rPr>
                <w:b/>
                <w:bCs/>
                <w:color w:val="0070C0"/>
                <w:sz w:val="18"/>
                <w:szCs w:val="18"/>
              </w:rPr>
            </w:pPr>
            <w:r w:rsidRPr="00286955">
              <w:rPr>
                <w:b/>
                <w:bCs/>
                <w:sz w:val="18"/>
                <w:szCs w:val="18"/>
              </w:rPr>
              <w:t>50 568,2</w:t>
            </w:r>
          </w:p>
        </w:tc>
        <w:tc>
          <w:tcPr>
            <w:tcW w:w="1087" w:type="dxa"/>
            <w:tcBorders>
              <w:top w:val="nil"/>
              <w:left w:val="nil"/>
              <w:bottom w:val="nil"/>
              <w:right w:val="nil"/>
            </w:tcBorders>
            <w:shd w:val="clear" w:color="auto" w:fill="auto"/>
            <w:noWrap/>
            <w:vAlign w:val="bottom"/>
            <w:hideMark/>
          </w:tcPr>
          <w:p w14:paraId="1388EF31" w14:textId="77777777" w:rsidR="000B7CE5" w:rsidRPr="00286955" w:rsidRDefault="000B7CE5" w:rsidP="00E460C7">
            <w:pPr>
              <w:jc w:val="right"/>
              <w:rPr>
                <w:b/>
                <w:bCs/>
                <w:color w:val="0070C0"/>
                <w:sz w:val="18"/>
                <w:szCs w:val="18"/>
              </w:rPr>
            </w:pPr>
            <w:r w:rsidRPr="00286955">
              <w:rPr>
                <w:b/>
                <w:bCs/>
                <w:sz w:val="18"/>
                <w:szCs w:val="18"/>
              </w:rPr>
              <w:t>52 340,1</w:t>
            </w:r>
          </w:p>
        </w:tc>
        <w:tc>
          <w:tcPr>
            <w:tcW w:w="1252" w:type="dxa"/>
            <w:tcBorders>
              <w:top w:val="nil"/>
              <w:left w:val="nil"/>
              <w:bottom w:val="nil"/>
              <w:right w:val="nil"/>
            </w:tcBorders>
            <w:shd w:val="clear" w:color="auto" w:fill="auto"/>
            <w:noWrap/>
            <w:vAlign w:val="bottom"/>
            <w:hideMark/>
          </w:tcPr>
          <w:p w14:paraId="074CF1B0" w14:textId="77777777" w:rsidR="000B7CE5" w:rsidRPr="00286955" w:rsidRDefault="000B7CE5" w:rsidP="00E460C7">
            <w:pPr>
              <w:jc w:val="right"/>
              <w:rPr>
                <w:b/>
                <w:bCs/>
                <w:color w:val="0070C0"/>
                <w:sz w:val="18"/>
                <w:szCs w:val="18"/>
              </w:rPr>
            </w:pPr>
            <w:r w:rsidRPr="00286955">
              <w:rPr>
                <w:b/>
                <w:bCs/>
                <w:sz w:val="18"/>
                <w:szCs w:val="18"/>
              </w:rPr>
              <w:t>49 426,6</w:t>
            </w:r>
          </w:p>
        </w:tc>
        <w:tc>
          <w:tcPr>
            <w:tcW w:w="1199" w:type="dxa"/>
            <w:tcBorders>
              <w:top w:val="nil"/>
              <w:left w:val="nil"/>
              <w:bottom w:val="nil"/>
              <w:right w:val="nil"/>
            </w:tcBorders>
            <w:shd w:val="clear" w:color="auto" w:fill="auto"/>
            <w:noWrap/>
            <w:vAlign w:val="bottom"/>
            <w:hideMark/>
          </w:tcPr>
          <w:p w14:paraId="2DE099F9" w14:textId="77777777" w:rsidR="000B7CE5" w:rsidRPr="00286955" w:rsidRDefault="000B7CE5" w:rsidP="00E460C7">
            <w:pPr>
              <w:jc w:val="right"/>
              <w:rPr>
                <w:b/>
                <w:bCs/>
                <w:color w:val="0070C0"/>
                <w:sz w:val="18"/>
                <w:szCs w:val="18"/>
              </w:rPr>
            </w:pPr>
            <w:r w:rsidRPr="00286955">
              <w:rPr>
                <w:b/>
                <w:bCs/>
                <w:sz w:val="18"/>
                <w:szCs w:val="18"/>
              </w:rPr>
              <w:t>2 913,5</w:t>
            </w:r>
          </w:p>
        </w:tc>
        <w:tc>
          <w:tcPr>
            <w:tcW w:w="1300" w:type="dxa"/>
            <w:tcBorders>
              <w:top w:val="nil"/>
              <w:left w:val="nil"/>
              <w:bottom w:val="nil"/>
              <w:right w:val="single" w:sz="8" w:space="0" w:color="auto"/>
            </w:tcBorders>
            <w:shd w:val="clear" w:color="auto" w:fill="auto"/>
            <w:noWrap/>
            <w:vAlign w:val="bottom"/>
            <w:hideMark/>
          </w:tcPr>
          <w:p w14:paraId="1C7F9F4E" w14:textId="77777777" w:rsidR="000B7CE5" w:rsidRPr="00286955" w:rsidRDefault="000B7CE5" w:rsidP="00E460C7">
            <w:pPr>
              <w:jc w:val="right"/>
              <w:rPr>
                <w:b/>
                <w:bCs/>
                <w:color w:val="0070C0"/>
                <w:sz w:val="18"/>
                <w:szCs w:val="18"/>
              </w:rPr>
            </w:pPr>
            <w:r w:rsidRPr="00286955">
              <w:rPr>
                <w:b/>
                <w:bCs/>
                <w:sz w:val="18"/>
                <w:szCs w:val="18"/>
              </w:rPr>
              <w:t>103,5%</w:t>
            </w:r>
          </w:p>
        </w:tc>
      </w:tr>
      <w:tr w:rsidR="000B7CE5" w:rsidRPr="00BA4AB9" w14:paraId="24895171" w14:textId="77777777" w:rsidTr="00E460C7">
        <w:trPr>
          <w:trHeight w:val="255"/>
        </w:trPr>
        <w:tc>
          <w:tcPr>
            <w:tcW w:w="4263" w:type="dxa"/>
            <w:tcBorders>
              <w:top w:val="nil"/>
              <w:left w:val="single" w:sz="8" w:space="0" w:color="auto"/>
              <w:bottom w:val="nil"/>
              <w:right w:val="nil"/>
            </w:tcBorders>
            <w:shd w:val="clear" w:color="auto" w:fill="auto"/>
            <w:noWrap/>
            <w:vAlign w:val="bottom"/>
            <w:hideMark/>
          </w:tcPr>
          <w:p w14:paraId="4C9E3C3B" w14:textId="77777777" w:rsidR="000B7CE5" w:rsidRPr="00D34529" w:rsidRDefault="000B7CE5" w:rsidP="00E460C7">
            <w:pPr>
              <w:rPr>
                <w:sz w:val="18"/>
                <w:szCs w:val="18"/>
              </w:rPr>
            </w:pPr>
            <w:r w:rsidRPr="00D34529">
              <w:rPr>
                <w:sz w:val="18"/>
                <w:szCs w:val="18"/>
              </w:rPr>
              <w:t xml:space="preserve">  Данъчни приходи</w:t>
            </w:r>
          </w:p>
        </w:tc>
        <w:tc>
          <w:tcPr>
            <w:tcW w:w="992" w:type="dxa"/>
            <w:tcBorders>
              <w:top w:val="nil"/>
              <w:left w:val="nil"/>
              <w:bottom w:val="nil"/>
              <w:right w:val="nil"/>
            </w:tcBorders>
            <w:shd w:val="clear" w:color="auto" w:fill="auto"/>
            <w:noWrap/>
            <w:vAlign w:val="bottom"/>
            <w:hideMark/>
          </w:tcPr>
          <w:p w14:paraId="6D799180" w14:textId="77777777" w:rsidR="000B7CE5" w:rsidRPr="00286955" w:rsidRDefault="000B7CE5" w:rsidP="00E460C7">
            <w:pPr>
              <w:jc w:val="right"/>
              <w:rPr>
                <w:color w:val="0070C0"/>
                <w:sz w:val="18"/>
                <w:szCs w:val="18"/>
              </w:rPr>
            </w:pPr>
            <w:r w:rsidRPr="00286955">
              <w:rPr>
                <w:sz w:val="18"/>
                <w:szCs w:val="18"/>
              </w:rPr>
              <w:t>39 425,6</w:t>
            </w:r>
          </w:p>
        </w:tc>
        <w:tc>
          <w:tcPr>
            <w:tcW w:w="1087" w:type="dxa"/>
            <w:tcBorders>
              <w:top w:val="nil"/>
              <w:left w:val="nil"/>
              <w:bottom w:val="nil"/>
              <w:right w:val="nil"/>
            </w:tcBorders>
            <w:shd w:val="clear" w:color="auto" w:fill="auto"/>
            <w:noWrap/>
            <w:vAlign w:val="bottom"/>
            <w:hideMark/>
          </w:tcPr>
          <w:p w14:paraId="6BCFD52E" w14:textId="77777777" w:rsidR="000B7CE5" w:rsidRPr="00286955" w:rsidRDefault="000B7CE5" w:rsidP="00E460C7">
            <w:pPr>
              <w:jc w:val="right"/>
              <w:rPr>
                <w:color w:val="0070C0"/>
                <w:sz w:val="18"/>
                <w:szCs w:val="18"/>
              </w:rPr>
            </w:pPr>
            <w:r w:rsidRPr="00286955">
              <w:rPr>
                <w:sz w:val="18"/>
                <w:szCs w:val="18"/>
              </w:rPr>
              <w:t>40 876,3</w:t>
            </w:r>
          </w:p>
        </w:tc>
        <w:tc>
          <w:tcPr>
            <w:tcW w:w="1252" w:type="dxa"/>
            <w:tcBorders>
              <w:top w:val="nil"/>
              <w:left w:val="nil"/>
              <w:bottom w:val="nil"/>
              <w:right w:val="nil"/>
            </w:tcBorders>
            <w:shd w:val="clear" w:color="auto" w:fill="auto"/>
            <w:noWrap/>
            <w:vAlign w:val="bottom"/>
            <w:hideMark/>
          </w:tcPr>
          <w:p w14:paraId="1F324551" w14:textId="77777777" w:rsidR="000B7CE5" w:rsidRPr="00286955" w:rsidRDefault="000B7CE5" w:rsidP="00E460C7">
            <w:pPr>
              <w:jc w:val="right"/>
              <w:rPr>
                <w:color w:val="0070C0"/>
                <w:sz w:val="18"/>
                <w:szCs w:val="18"/>
              </w:rPr>
            </w:pPr>
            <w:r w:rsidRPr="00286955">
              <w:rPr>
                <w:sz w:val="18"/>
                <w:szCs w:val="18"/>
              </w:rPr>
              <w:t>40 876,3</w:t>
            </w:r>
          </w:p>
        </w:tc>
        <w:tc>
          <w:tcPr>
            <w:tcW w:w="1199" w:type="dxa"/>
            <w:tcBorders>
              <w:top w:val="nil"/>
              <w:left w:val="nil"/>
              <w:bottom w:val="nil"/>
              <w:right w:val="nil"/>
            </w:tcBorders>
            <w:shd w:val="clear" w:color="auto" w:fill="auto"/>
            <w:noWrap/>
            <w:vAlign w:val="bottom"/>
            <w:hideMark/>
          </w:tcPr>
          <w:p w14:paraId="6699F4CA" w14:textId="77777777" w:rsidR="000B7CE5" w:rsidRPr="00286955" w:rsidRDefault="000B7CE5" w:rsidP="00E460C7">
            <w:pPr>
              <w:jc w:val="right"/>
              <w:rPr>
                <w:color w:val="0070C0"/>
                <w:sz w:val="18"/>
                <w:szCs w:val="18"/>
              </w:rPr>
            </w:pPr>
          </w:p>
        </w:tc>
        <w:tc>
          <w:tcPr>
            <w:tcW w:w="1300" w:type="dxa"/>
            <w:tcBorders>
              <w:top w:val="nil"/>
              <w:left w:val="nil"/>
              <w:bottom w:val="nil"/>
              <w:right w:val="single" w:sz="8" w:space="0" w:color="auto"/>
            </w:tcBorders>
            <w:shd w:val="clear" w:color="auto" w:fill="auto"/>
            <w:noWrap/>
            <w:vAlign w:val="bottom"/>
            <w:hideMark/>
          </w:tcPr>
          <w:p w14:paraId="3B50C459" w14:textId="77777777" w:rsidR="000B7CE5" w:rsidRPr="00286955" w:rsidRDefault="000B7CE5" w:rsidP="00E460C7">
            <w:pPr>
              <w:jc w:val="right"/>
              <w:rPr>
                <w:color w:val="0070C0"/>
                <w:sz w:val="18"/>
                <w:szCs w:val="18"/>
              </w:rPr>
            </w:pPr>
            <w:r w:rsidRPr="00286955">
              <w:rPr>
                <w:sz w:val="18"/>
                <w:szCs w:val="18"/>
              </w:rPr>
              <w:t>103,7%</w:t>
            </w:r>
          </w:p>
        </w:tc>
      </w:tr>
      <w:tr w:rsidR="000B7CE5" w:rsidRPr="00BA4AB9" w14:paraId="13D01A3E" w14:textId="77777777" w:rsidTr="00E460C7">
        <w:trPr>
          <w:trHeight w:val="255"/>
        </w:trPr>
        <w:tc>
          <w:tcPr>
            <w:tcW w:w="4263" w:type="dxa"/>
            <w:tcBorders>
              <w:top w:val="nil"/>
              <w:left w:val="single" w:sz="8" w:space="0" w:color="auto"/>
              <w:bottom w:val="nil"/>
              <w:right w:val="nil"/>
            </w:tcBorders>
            <w:shd w:val="clear" w:color="auto" w:fill="auto"/>
            <w:noWrap/>
            <w:vAlign w:val="bottom"/>
            <w:hideMark/>
          </w:tcPr>
          <w:p w14:paraId="43061DFD" w14:textId="77777777" w:rsidR="000B7CE5" w:rsidRPr="00D34529" w:rsidRDefault="000B7CE5" w:rsidP="00E460C7">
            <w:pPr>
              <w:rPr>
                <w:sz w:val="18"/>
                <w:szCs w:val="18"/>
              </w:rPr>
            </w:pPr>
            <w:r w:rsidRPr="00D34529">
              <w:rPr>
                <w:sz w:val="18"/>
                <w:szCs w:val="18"/>
              </w:rPr>
              <w:t xml:space="preserve">  Неданъчни приходи</w:t>
            </w:r>
          </w:p>
        </w:tc>
        <w:tc>
          <w:tcPr>
            <w:tcW w:w="992" w:type="dxa"/>
            <w:tcBorders>
              <w:top w:val="nil"/>
              <w:left w:val="nil"/>
              <w:bottom w:val="nil"/>
              <w:right w:val="nil"/>
            </w:tcBorders>
            <w:shd w:val="clear" w:color="auto" w:fill="auto"/>
            <w:noWrap/>
            <w:vAlign w:val="bottom"/>
            <w:hideMark/>
          </w:tcPr>
          <w:p w14:paraId="5CB946C1" w14:textId="77777777" w:rsidR="000B7CE5" w:rsidRPr="00286955" w:rsidRDefault="000B7CE5" w:rsidP="00E460C7">
            <w:pPr>
              <w:jc w:val="right"/>
              <w:rPr>
                <w:color w:val="0070C0"/>
                <w:sz w:val="18"/>
                <w:szCs w:val="18"/>
              </w:rPr>
            </w:pPr>
            <w:r w:rsidRPr="00286955">
              <w:rPr>
                <w:sz w:val="18"/>
                <w:szCs w:val="18"/>
              </w:rPr>
              <w:t>6 755,8</w:t>
            </w:r>
          </w:p>
        </w:tc>
        <w:tc>
          <w:tcPr>
            <w:tcW w:w="1087" w:type="dxa"/>
            <w:tcBorders>
              <w:top w:val="nil"/>
              <w:left w:val="nil"/>
              <w:right w:val="nil"/>
            </w:tcBorders>
            <w:shd w:val="clear" w:color="auto" w:fill="auto"/>
            <w:noWrap/>
            <w:vAlign w:val="bottom"/>
            <w:hideMark/>
          </w:tcPr>
          <w:p w14:paraId="4ADC3DC4" w14:textId="77777777" w:rsidR="000B7CE5" w:rsidRPr="00286955" w:rsidRDefault="000B7CE5" w:rsidP="00E460C7">
            <w:pPr>
              <w:jc w:val="right"/>
              <w:rPr>
                <w:color w:val="0070C0"/>
                <w:sz w:val="18"/>
                <w:szCs w:val="18"/>
              </w:rPr>
            </w:pPr>
            <w:r w:rsidRPr="00286955">
              <w:rPr>
                <w:sz w:val="18"/>
                <w:szCs w:val="18"/>
              </w:rPr>
              <w:t>8 000,4</w:t>
            </w:r>
          </w:p>
        </w:tc>
        <w:tc>
          <w:tcPr>
            <w:tcW w:w="1252" w:type="dxa"/>
            <w:tcBorders>
              <w:top w:val="nil"/>
              <w:left w:val="nil"/>
              <w:right w:val="nil"/>
            </w:tcBorders>
            <w:shd w:val="clear" w:color="auto" w:fill="auto"/>
            <w:noWrap/>
            <w:vAlign w:val="bottom"/>
            <w:hideMark/>
          </w:tcPr>
          <w:p w14:paraId="7E3A785E" w14:textId="77777777" w:rsidR="000B7CE5" w:rsidRPr="00286955" w:rsidRDefault="000B7CE5" w:rsidP="00E460C7">
            <w:pPr>
              <w:jc w:val="right"/>
              <w:rPr>
                <w:color w:val="0070C0"/>
                <w:sz w:val="18"/>
                <w:szCs w:val="18"/>
              </w:rPr>
            </w:pPr>
            <w:r w:rsidRPr="00286955">
              <w:rPr>
                <w:sz w:val="18"/>
                <w:szCs w:val="18"/>
              </w:rPr>
              <w:t>8 013,9</w:t>
            </w:r>
          </w:p>
        </w:tc>
        <w:tc>
          <w:tcPr>
            <w:tcW w:w="1199" w:type="dxa"/>
            <w:tcBorders>
              <w:top w:val="nil"/>
              <w:left w:val="nil"/>
              <w:right w:val="nil"/>
            </w:tcBorders>
            <w:shd w:val="clear" w:color="auto" w:fill="auto"/>
            <w:noWrap/>
            <w:vAlign w:val="bottom"/>
            <w:hideMark/>
          </w:tcPr>
          <w:p w14:paraId="2428AB21" w14:textId="77777777" w:rsidR="000B7CE5" w:rsidRPr="00286955" w:rsidRDefault="000B7CE5" w:rsidP="00E460C7">
            <w:pPr>
              <w:jc w:val="right"/>
              <w:rPr>
                <w:color w:val="0070C0"/>
                <w:sz w:val="18"/>
                <w:szCs w:val="18"/>
              </w:rPr>
            </w:pPr>
            <w:r w:rsidRPr="00286955">
              <w:rPr>
                <w:sz w:val="18"/>
                <w:szCs w:val="18"/>
              </w:rPr>
              <w:t>-13,5</w:t>
            </w:r>
          </w:p>
        </w:tc>
        <w:tc>
          <w:tcPr>
            <w:tcW w:w="1300" w:type="dxa"/>
            <w:tcBorders>
              <w:top w:val="nil"/>
              <w:left w:val="nil"/>
              <w:right w:val="single" w:sz="8" w:space="0" w:color="auto"/>
            </w:tcBorders>
            <w:shd w:val="clear" w:color="auto" w:fill="auto"/>
            <w:noWrap/>
            <w:vAlign w:val="bottom"/>
            <w:hideMark/>
          </w:tcPr>
          <w:p w14:paraId="4739E9EE" w14:textId="77777777" w:rsidR="000B7CE5" w:rsidRPr="00286955" w:rsidRDefault="000B7CE5" w:rsidP="00E460C7">
            <w:pPr>
              <w:jc w:val="right"/>
              <w:rPr>
                <w:color w:val="0070C0"/>
                <w:sz w:val="18"/>
                <w:szCs w:val="18"/>
              </w:rPr>
            </w:pPr>
            <w:r w:rsidRPr="00286955">
              <w:rPr>
                <w:sz w:val="18"/>
                <w:szCs w:val="18"/>
              </w:rPr>
              <w:t>118,4%</w:t>
            </w:r>
          </w:p>
        </w:tc>
      </w:tr>
      <w:tr w:rsidR="000B7CE5" w:rsidRPr="00BA4AB9" w14:paraId="42F38E2E" w14:textId="77777777" w:rsidTr="00E460C7">
        <w:trPr>
          <w:trHeight w:val="255"/>
        </w:trPr>
        <w:tc>
          <w:tcPr>
            <w:tcW w:w="4263" w:type="dxa"/>
            <w:tcBorders>
              <w:top w:val="nil"/>
              <w:left w:val="single" w:sz="8" w:space="0" w:color="auto"/>
              <w:bottom w:val="nil"/>
              <w:right w:val="nil"/>
            </w:tcBorders>
            <w:shd w:val="clear" w:color="auto" w:fill="auto"/>
            <w:noWrap/>
            <w:vAlign w:val="bottom"/>
            <w:hideMark/>
          </w:tcPr>
          <w:p w14:paraId="318B7AA4" w14:textId="77777777" w:rsidR="000B7CE5" w:rsidRPr="00D34529" w:rsidRDefault="000B7CE5" w:rsidP="00E460C7">
            <w:pPr>
              <w:rPr>
                <w:sz w:val="18"/>
                <w:szCs w:val="18"/>
              </w:rPr>
            </w:pPr>
            <w:r w:rsidRPr="00D34529">
              <w:rPr>
                <w:sz w:val="18"/>
                <w:szCs w:val="18"/>
              </w:rPr>
              <w:t xml:space="preserve">  Помощи и дарения</w:t>
            </w:r>
          </w:p>
        </w:tc>
        <w:tc>
          <w:tcPr>
            <w:tcW w:w="992" w:type="dxa"/>
            <w:tcBorders>
              <w:top w:val="nil"/>
              <w:left w:val="nil"/>
              <w:bottom w:val="nil"/>
              <w:right w:val="nil"/>
            </w:tcBorders>
            <w:shd w:val="clear" w:color="auto" w:fill="auto"/>
            <w:noWrap/>
            <w:vAlign w:val="bottom"/>
            <w:hideMark/>
          </w:tcPr>
          <w:p w14:paraId="4EECAF4F" w14:textId="77777777" w:rsidR="000B7CE5" w:rsidRPr="00286955" w:rsidRDefault="000B7CE5" w:rsidP="00E460C7">
            <w:pPr>
              <w:jc w:val="right"/>
              <w:rPr>
                <w:color w:val="0070C0"/>
                <w:sz w:val="18"/>
                <w:szCs w:val="18"/>
              </w:rPr>
            </w:pPr>
            <w:r w:rsidRPr="00286955">
              <w:rPr>
                <w:sz w:val="18"/>
                <w:szCs w:val="18"/>
              </w:rPr>
              <w:t>4 386,8</w:t>
            </w:r>
          </w:p>
        </w:tc>
        <w:tc>
          <w:tcPr>
            <w:tcW w:w="1087" w:type="dxa"/>
            <w:tcBorders>
              <w:top w:val="nil"/>
              <w:left w:val="nil"/>
              <w:bottom w:val="single" w:sz="8" w:space="0" w:color="auto"/>
              <w:right w:val="nil"/>
            </w:tcBorders>
            <w:shd w:val="clear" w:color="auto" w:fill="auto"/>
            <w:noWrap/>
            <w:vAlign w:val="bottom"/>
            <w:hideMark/>
          </w:tcPr>
          <w:p w14:paraId="690E3959" w14:textId="77777777" w:rsidR="000B7CE5" w:rsidRPr="00286955" w:rsidRDefault="000B7CE5" w:rsidP="00E460C7">
            <w:pPr>
              <w:jc w:val="right"/>
              <w:rPr>
                <w:color w:val="0070C0"/>
                <w:sz w:val="18"/>
                <w:szCs w:val="18"/>
              </w:rPr>
            </w:pPr>
            <w:r w:rsidRPr="00286955">
              <w:rPr>
                <w:sz w:val="18"/>
                <w:szCs w:val="18"/>
              </w:rPr>
              <w:t>3 463,4</w:t>
            </w:r>
          </w:p>
        </w:tc>
        <w:tc>
          <w:tcPr>
            <w:tcW w:w="1252" w:type="dxa"/>
            <w:tcBorders>
              <w:top w:val="nil"/>
              <w:left w:val="nil"/>
              <w:bottom w:val="single" w:sz="8" w:space="0" w:color="auto"/>
              <w:right w:val="nil"/>
            </w:tcBorders>
            <w:shd w:val="clear" w:color="auto" w:fill="auto"/>
            <w:noWrap/>
            <w:vAlign w:val="bottom"/>
            <w:hideMark/>
          </w:tcPr>
          <w:p w14:paraId="61BAE864" w14:textId="77777777" w:rsidR="000B7CE5" w:rsidRPr="00286955" w:rsidRDefault="000B7CE5" w:rsidP="00E460C7">
            <w:pPr>
              <w:jc w:val="right"/>
              <w:rPr>
                <w:color w:val="0070C0"/>
                <w:sz w:val="18"/>
                <w:szCs w:val="18"/>
              </w:rPr>
            </w:pPr>
            <w:r w:rsidRPr="00286955">
              <w:rPr>
                <w:sz w:val="18"/>
                <w:szCs w:val="18"/>
              </w:rPr>
              <w:t>536,4</w:t>
            </w:r>
          </w:p>
        </w:tc>
        <w:tc>
          <w:tcPr>
            <w:tcW w:w="1199" w:type="dxa"/>
            <w:tcBorders>
              <w:top w:val="nil"/>
              <w:left w:val="nil"/>
              <w:bottom w:val="single" w:sz="8" w:space="0" w:color="auto"/>
              <w:right w:val="nil"/>
            </w:tcBorders>
            <w:shd w:val="clear" w:color="auto" w:fill="auto"/>
            <w:noWrap/>
            <w:vAlign w:val="bottom"/>
            <w:hideMark/>
          </w:tcPr>
          <w:p w14:paraId="5A723518" w14:textId="2F338D0A" w:rsidR="000B7CE5" w:rsidRPr="00286955" w:rsidRDefault="000B7CE5" w:rsidP="00E460C7">
            <w:pPr>
              <w:jc w:val="right"/>
              <w:rPr>
                <w:color w:val="0070C0"/>
                <w:sz w:val="18"/>
                <w:szCs w:val="18"/>
              </w:rPr>
            </w:pPr>
            <w:r w:rsidRPr="00286955">
              <w:rPr>
                <w:sz w:val="18"/>
                <w:szCs w:val="18"/>
              </w:rPr>
              <w:t>2</w:t>
            </w:r>
            <w:r w:rsidR="00A574C9">
              <w:rPr>
                <w:sz w:val="18"/>
                <w:szCs w:val="18"/>
              </w:rPr>
              <w:t xml:space="preserve"> </w:t>
            </w:r>
            <w:r w:rsidRPr="00286955">
              <w:rPr>
                <w:sz w:val="18"/>
                <w:szCs w:val="18"/>
              </w:rPr>
              <w:t>927,0</w:t>
            </w:r>
          </w:p>
        </w:tc>
        <w:tc>
          <w:tcPr>
            <w:tcW w:w="1300" w:type="dxa"/>
            <w:tcBorders>
              <w:top w:val="nil"/>
              <w:left w:val="nil"/>
              <w:bottom w:val="single" w:sz="8" w:space="0" w:color="auto"/>
              <w:right w:val="single" w:sz="8" w:space="0" w:color="auto"/>
            </w:tcBorders>
            <w:shd w:val="clear" w:color="auto" w:fill="auto"/>
            <w:noWrap/>
            <w:vAlign w:val="bottom"/>
            <w:hideMark/>
          </w:tcPr>
          <w:p w14:paraId="6A6BC1B8" w14:textId="77777777" w:rsidR="000B7CE5" w:rsidRPr="00286955" w:rsidRDefault="000B7CE5" w:rsidP="00E460C7">
            <w:pPr>
              <w:jc w:val="right"/>
              <w:rPr>
                <w:color w:val="0070C0"/>
                <w:sz w:val="18"/>
                <w:szCs w:val="18"/>
              </w:rPr>
            </w:pPr>
            <w:r w:rsidRPr="00286955">
              <w:rPr>
                <w:sz w:val="18"/>
                <w:szCs w:val="18"/>
              </w:rPr>
              <w:t>79,0%</w:t>
            </w:r>
          </w:p>
        </w:tc>
      </w:tr>
      <w:tr w:rsidR="00E7440C" w:rsidRPr="00BA4AB9" w14:paraId="75940125" w14:textId="77777777" w:rsidTr="00E460C7">
        <w:trPr>
          <w:trHeight w:val="480"/>
        </w:trPr>
        <w:tc>
          <w:tcPr>
            <w:tcW w:w="4263" w:type="dxa"/>
            <w:tcBorders>
              <w:top w:val="single" w:sz="4" w:space="0" w:color="auto"/>
              <w:left w:val="single" w:sz="8" w:space="0" w:color="auto"/>
              <w:bottom w:val="nil"/>
              <w:right w:val="nil"/>
            </w:tcBorders>
            <w:shd w:val="clear" w:color="auto" w:fill="auto"/>
            <w:vAlign w:val="bottom"/>
            <w:hideMark/>
          </w:tcPr>
          <w:p w14:paraId="14A2487D" w14:textId="2A833513" w:rsidR="00E7440C" w:rsidRPr="00BA4AB9" w:rsidRDefault="00E7440C" w:rsidP="00E7440C">
            <w:pPr>
              <w:rPr>
                <w:b/>
                <w:bCs/>
                <w:color w:val="0070C0"/>
                <w:sz w:val="18"/>
                <w:szCs w:val="18"/>
              </w:rPr>
            </w:pPr>
            <w:r w:rsidRPr="00D34529">
              <w:rPr>
                <w:b/>
                <w:bCs/>
                <w:sz w:val="18"/>
                <w:szCs w:val="18"/>
              </w:rPr>
              <w:t>РАЗХОДИ И ВНОСКА ЗА ОБЩИЯ БЮДЖЕТ НА ЕС</w:t>
            </w:r>
            <w:r w:rsidR="00A759DB">
              <w:rPr>
                <w:rStyle w:val="FootnoteReference"/>
                <w:b/>
                <w:bCs/>
                <w:sz w:val="18"/>
                <w:szCs w:val="18"/>
              </w:rPr>
              <w:footnoteReference w:id="7"/>
            </w:r>
          </w:p>
        </w:tc>
        <w:tc>
          <w:tcPr>
            <w:tcW w:w="992" w:type="dxa"/>
            <w:tcBorders>
              <w:top w:val="single" w:sz="4" w:space="0" w:color="auto"/>
              <w:left w:val="nil"/>
              <w:bottom w:val="nil"/>
              <w:right w:val="nil"/>
            </w:tcBorders>
            <w:shd w:val="clear" w:color="auto" w:fill="auto"/>
            <w:noWrap/>
            <w:vAlign w:val="bottom"/>
            <w:hideMark/>
          </w:tcPr>
          <w:p w14:paraId="30C3ABB8" w14:textId="25F6FF51" w:rsidR="00E7440C" w:rsidRPr="00286955" w:rsidRDefault="00E7440C" w:rsidP="00A574C9">
            <w:pPr>
              <w:jc w:val="right"/>
              <w:rPr>
                <w:b/>
                <w:bCs/>
                <w:sz w:val="18"/>
                <w:szCs w:val="18"/>
              </w:rPr>
            </w:pPr>
            <w:r w:rsidRPr="00286955">
              <w:rPr>
                <w:b/>
                <w:bCs/>
                <w:sz w:val="18"/>
                <w:szCs w:val="18"/>
              </w:rPr>
              <w:t>5</w:t>
            </w:r>
            <w:r w:rsidR="00A574C9">
              <w:rPr>
                <w:b/>
                <w:bCs/>
                <w:sz w:val="18"/>
                <w:szCs w:val="18"/>
              </w:rPr>
              <w:t>5</w:t>
            </w:r>
            <w:r w:rsidRPr="00286955">
              <w:rPr>
                <w:b/>
                <w:bCs/>
                <w:sz w:val="18"/>
                <w:szCs w:val="18"/>
              </w:rPr>
              <w:t xml:space="preserve"> 1</w:t>
            </w:r>
            <w:r w:rsidR="00A574C9">
              <w:rPr>
                <w:b/>
                <w:bCs/>
                <w:sz w:val="18"/>
                <w:szCs w:val="18"/>
              </w:rPr>
              <w:t>72</w:t>
            </w:r>
            <w:r w:rsidRPr="00286955">
              <w:rPr>
                <w:b/>
                <w:bCs/>
                <w:sz w:val="18"/>
                <w:szCs w:val="18"/>
              </w:rPr>
              <w:t>,</w:t>
            </w:r>
            <w:r w:rsidR="00A574C9">
              <w:rPr>
                <w:b/>
                <w:bCs/>
                <w:sz w:val="18"/>
                <w:szCs w:val="18"/>
              </w:rPr>
              <w:t>4</w:t>
            </w:r>
          </w:p>
        </w:tc>
        <w:tc>
          <w:tcPr>
            <w:tcW w:w="1087" w:type="dxa"/>
            <w:tcBorders>
              <w:top w:val="single" w:sz="8" w:space="0" w:color="auto"/>
              <w:left w:val="nil"/>
              <w:bottom w:val="nil"/>
              <w:right w:val="nil"/>
            </w:tcBorders>
            <w:shd w:val="clear" w:color="auto" w:fill="auto"/>
            <w:noWrap/>
            <w:vAlign w:val="bottom"/>
            <w:hideMark/>
          </w:tcPr>
          <w:p w14:paraId="5D9F702F" w14:textId="49BDB165" w:rsidR="00E7440C" w:rsidRPr="00286955" w:rsidRDefault="00E7440C" w:rsidP="00A574C9">
            <w:pPr>
              <w:jc w:val="right"/>
              <w:rPr>
                <w:b/>
                <w:bCs/>
                <w:color w:val="0070C0"/>
                <w:sz w:val="18"/>
                <w:szCs w:val="18"/>
              </w:rPr>
            </w:pPr>
            <w:r w:rsidRPr="00286955">
              <w:rPr>
                <w:b/>
                <w:bCs/>
                <w:sz w:val="18"/>
                <w:szCs w:val="18"/>
              </w:rPr>
              <w:t>5</w:t>
            </w:r>
            <w:r w:rsidR="00A574C9">
              <w:rPr>
                <w:b/>
                <w:bCs/>
                <w:sz w:val="18"/>
                <w:szCs w:val="18"/>
              </w:rPr>
              <w:t>6</w:t>
            </w:r>
            <w:r w:rsidRPr="00286955">
              <w:rPr>
                <w:b/>
                <w:bCs/>
                <w:sz w:val="18"/>
                <w:szCs w:val="18"/>
              </w:rPr>
              <w:t xml:space="preserve"> </w:t>
            </w:r>
            <w:r w:rsidR="00A574C9">
              <w:rPr>
                <w:b/>
                <w:bCs/>
                <w:sz w:val="18"/>
                <w:szCs w:val="18"/>
              </w:rPr>
              <w:t>250</w:t>
            </w:r>
            <w:r w:rsidRPr="00286955">
              <w:rPr>
                <w:b/>
                <w:bCs/>
                <w:sz w:val="18"/>
                <w:szCs w:val="18"/>
              </w:rPr>
              <w:t>,</w:t>
            </w:r>
            <w:r w:rsidR="00A574C9">
              <w:rPr>
                <w:b/>
                <w:bCs/>
                <w:sz w:val="18"/>
                <w:szCs w:val="18"/>
              </w:rPr>
              <w:t>5</w:t>
            </w:r>
          </w:p>
        </w:tc>
        <w:tc>
          <w:tcPr>
            <w:tcW w:w="1252" w:type="dxa"/>
            <w:tcBorders>
              <w:top w:val="single" w:sz="8" w:space="0" w:color="auto"/>
              <w:left w:val="nil"/>
              <w:bottom w:val="nil"/>
              <w:right w:val="nil"/>
            </w:tcBorders>
            <w:shd w:val="clear" w:color="auto" w:fill="auto"/>
            <w:noWrap/>
            <w:vAlign w:val="bottom"/>
            <w:hideMark/>
          </w:tcPr>
          <w:p w14:paraId="489F99B5" w14:textId="6D15EE8E" w:rsidR="00E7440C" w:rsidRPr="00286955" w:rsidRDefault="00E7440C" w:rsidP="00A574C9">
            <w:pPr>
              <w:jc w:val="right"/>
              <w:rPr>
                <w:b/>
                <w:bCs/>
                <w:color w:val="0070C0"/>
                <w:sz w:val="18"/>
                <w:szCs w:val="18"/>
              </w:rPr>
            </w:pPr>
            <w:r w:rsidRPr="00286955">
              <w:rPr>
                <w:b/>
                <w:bCs/>
                <w:color w:val="000000"/>
                <w:sz w:val="18"/>
                <w:szCs w:val="18"/>
              </w:rPr>
              <w:t>5</w:t>
            </w:r>
            <w:r w:rsidR="00A574C9">
              <w:rPr>
                <w:b/>
                <w:bCs/>
                <w:color w:val="000000"/>
                <w:sz w:val="18"/>
                <w:szCs w:val="18"/>
              </w:rPr>
              <w:t>2</w:t>
            </w:r>
            <w:r w:rsidRPr="00286955">
              <w:rPr>
                <w:b/>
                <w:bCs/>
                <w:color w:val="000000"/>
                <w:sz w:val="18"/>
                <w:szCs w:val="18"/>
              </w:rPr>
              <w:t xml:space="preserve"> </w:t>
            </w:r>
            <w:r w:rsidR="00A574C9">
              <w:rPr>
                <w:b/>
                <w:bCs/>
                <w:color w:val="000000"/>
                <w:sz w:val="18"/>
                <w:szCs w:val="18"/>
              </w:rPr>
              <w:t>626</w:t>
            </w:r>
            <w:r w:rsidRPr="00286955">
              <w:rPr>
                <w:b/>
                <w:bCs/>
                <w:color w:val="000000"/>
                <w:sz w:val="18"/>
                <w:szCs w:val="18"/>
              </w:rPr>
              <w:t>,</w:t>
            </w:r>
            <w:r w:rsidR="00A574C9">
              <w:rPr>
                <w:b/>
                <w:bCs/>
                <w:color w:val="000000"/>
                <w:sz w:val="18"/>
                <w:szCs w:val="18"/>
              </w:rPr>
              <w:t>2</w:t>
            </w:r>
          </w:p>
        </w:tc>
        <w:tc>
          <w:tcPr>
            <w:tcW w:w="1199" w:type="dxa"/>
            <w:tcBorders>
              <w:top w:val="single" w:sz="8" w:space="0" w:color="auto"/>
              <w:left w:val="nil"/>
              <w:bottom w:val="nil"/>
              <w:right w:val="nil"/>
            </w:tcBorders>
            <w:shd w:val="clear" w:color="auto" w:fill="auto"/>
            <w:noWrap/>
            <w:vAlign w:val="bottom"/>
            <w:hideMark/>
          </w:tcPr>
          <w:p w14:paraId="2DD89E67" w14:textId="04D414CC" w:rsidR="00E7440C" w:rsidRPr="00286955" w:rsidRDefault="00E7440C" w:rsidP="00E7440C">
            <w:pPr>
              <w:jc w:val="right"/>
              <w:rPr>
                <w:b/>
                <w:bCs/>
                <w:color w:val="0070C0"/>
                <w:sz w:val="18"/>
                <w:szCs w:val="18"/>
              </w:rPr>
            </w:pPr>
            <w:r w:rsidRPr="00286955">
              <w:rPr>
                <w:b/>
                <w:bCs/>
                <w:color w:val="000000"/>
                <w:sz w:val="18"/>
                <w:szCs w:val="18"/>
              </w:rPr>
              <w:t>3 624,2</w:t>
            </w:r>
          </w:p>
        </w:tc>
        <w:tc>
          <w:tcPr>
            <w:tcW w:w="1300" w:type="dxa"/>
            <w:tcBorders>
              <w:top w:val="single" w:sz="8" w:space="0" w:color="auto"/>
              <w:left w:val="nil"/>
              <w:bottom w:val="nil"/>
              <w:right w:val="single" w:sz="4" w:space="0" w:color="auto"/>
            </w:tcBorders>
            <w:shd w:val="clear" w:color="auto" w:fill="auto"/>
            <w:noWrap/>
            <w:vAlign w:val="bottom"/>
            <w:hideMark/>
          </w:tcPr>
          <w:p w14:paraId="6A41B39A" w14:textId="5E90D979" w:rsidR="00E7440C" w:rsidRPr="00286955" w:rsidRDefault="00E7440C" w:rsidP="00A574C9">
            <w:pPr>
              <w:jc w:val="right"/>
              <w:rPr>
                <w:b/>
                <w:bCs/>
                <w:color w:val="0070C0"/>
                <w:sz w:val="18"/>
                <w:szCs w:val="18"/>
              </w:rPr>
            </w:pPr>
            <w:r w:rsidRPr="00286955">
              <w:rPr>
                <w:b/>
                <w:bCs/>
                <w:sz w:val="18"/>
                <w:szCs w:val="18"/>
              </w:rPr>
              <w:t>10</w:t>
            </w:r>
            <w:r w:rsidR="00A574C9">
              <w:rPr>
                <w:b/>
                <w:bCs/>
                <w:sz w:val="18"/>
                <w:szCs w:val="18"/>
              </w:rPr>
              <w:t>2</w:t>
            </w:r>
            <w:r w:rsidRPr="00286955">
              <w:rPr>
                <w:b/>
                <w:bCs/>
                <w:sz w:val="18"/>
                <w:szCs w:val="18"/>
              </w:rPr>
              <w:t>,</w:t>
            </w:r>
            <w:r w:rsidR="00A574C9">
              <w:rPr>
                <w:b/>
                <w:bCs/>
                <w:sz w:val="18"/>
                <w:szCs w:val="18"/>
              </w:rPr>
              <w:t>0</w:t>
            </w:r>
            <w:r w:rsidRPr="00286955">
              <w:rPr>
                <w:b/>
                <w:bCs/>
                <w:sz w:val="18"/>
                <w:szCs w:val="18"/>
              </w:rPr>
              <w:t>%</w:t>
            </w:r>
          </w:p>
        </w:tc>
      </w:tr>
      <w:tr w:rsidR="00E7440C" w:rsidRPr="00BA4AB9" w14:paraId="669E002F" w14:textId="77777777" w:rsidTr="00E460C7">
        <w:trPr>
          <w:trHeight w:val="255"/>
        </w:trPr>
        <w:tc>
          <w:tcPr>
            <w:tcW w:w="4263" w:type="dxa"/>
            <w:tcBorders>
              <w:top w:val="nil"/>
              <w:left w:val="single" w:sz="8" w:space="0" w:color="auto"/>
              <w:bottom w:val="nil"/>
              <w:right w:val="nil"/>
            </w:tcBorders>
            <w:shd w:val="clear" w:color="auto" w:fill="auto"/>
            <w:noWrap/>
            <w:vAlign w:val="bottom"/>
            <w:hideMark/>
          </w:tcPr>
          <w:p w14:paraId="49FCDF5A" w14:textId="7B70136F" w:rsidR="00E7440C" w:rsidRPr="00A574C9" w:rsidRDefault="00E7440C" w:rsidP="00A759DB">
            <w:pPr>
              <w:rPr>
                <w:sz w:val="18"/>
                <w:szCs w:val="18"/>
              </w:rPr>
            </w:pPr>
            <w:r w:rsidRPr="00875569">
              <w:rPr>
                <w:sz w:val="18"/>
                <w:szCs w:val="18"/>
              </w:rPr>
              <w:t xml:space="preserve">  </w:t>
            </w:r>
            <w:r w:rsidRPr="00A574C9">
              <w:rPr>
                <w:sz w:val="18"/>
                <w:szCs w:val="18"/>
              </w:rPr>
              <w:t>Нелихвени</w:t>
            </w:r>
          </w:p>
        </w:tc>
        <w:tc>
          <w:tcPr>
            <w:tcW w:w="992" w:type="dxa"/>
            <w:tcBorders>
              <w:top w:val="nil"/>
              <w:left w:val="nil"/>
              <w:bottom w:val="nil"/>
              <w:right w:val="nil"/>
            </w:tcBorders>
            <w:shd w:val="clear" w:color="auto" w:fill="auto"/>
            <w:noWrap/>
            <w:vAlign w:val="bottom"/>
            <w:hideMark/>
          </w:tcPr>
          <w:p w14:paraId="051163BA" w14:textId="18373FFA" w:rsidR="00E7440C" w:rsidRPr="00A574C9" w:rsidRDefault="00E7440C" w:rsidP="00E7440C">
            <w:pPr>
              <w:jc w:val="right"/>
              <w:rPr>
                <w:sz w:val="18"/>
                <w:szCs w:val="18"/>
              </w:rPr>
            </w:pPr>
            <w:r w:rsidRPr="00A574C9">
              <w:rPr>
                <w:sz w:val="18"/>
                <w:szCs w:val="18"/>
              </w:rPr>
              <w:t>52 949,2</w:t>
            </w:r>
          </w:p>
        </w:tc>
        <w:tc>
          <w:tcPr>
            <w:tcW w:w="1087" w:type="dxa"/>
            <w:tcBorders>
              <w:top w:val="nil"/>
              <w:left w:val="nil"/>
              <w:bottom w:val="nil"/>
              <w:right w:val="nil"/>
            </w:tcBorders>
            <w:shd w:val="clear" w:color="auto" w:fill="auto"/>
            <w:noWrap/>
            <w:vAlign w:val="bottom"/>
            <w:hideMark/>
          </w:tcPr>
          <w:p w14:paraId="072B9CDB" w14:textId="3BAA9735" w:rsidR="00E7440C" w:rsidRPr="00A574C9" w:rsidRDefault="00E7440C" w:rsidP="00E7440C">
            <w:pPr>
              <w:jc w:val="right"/>
              <w:rPr>
                <w:color w:val="0070C0"/>
                <w:sz w:val="18"/>
                <w:szCs w:val="18"/>
              </w:rPr>
            </w:pPr>
            <w:r w:rsidRPr="00A574C9">
              <w:rPr>
                <w:sz w:val="18"/>
                <w:szCs w:val="18"/>
              </w:rPr>
              <w:t>53 941,0</w:t>
            </w:r>
          </w:p>
        </w:tc>
        <w:tc>
          <w:tcPr>
            <w:tcW w:w="1252" w:type="dxa"/>
            <w:tcBorders>
              <w:top w:val="nil"/>
              <w:left w:val="nil"/>
              <w:bottom w:val="nil"/>
              <w:right w:val="nil"/>
            </w:tcBorders>
            <w:shd w:val="clear" w:color="auto" w:fill="auto"/>
            <w:noWrap/>
            <w:vAlign w:val="bottom"/>
            <w:hideMark/>
          </w:tcPr>
          <w:p w14:paraId="2F2D3F92" w14:textId="77B94017" w:rsidR="00E7440C" w:rsidRPr="00A574C9" w:rsidRDefault="00E7440C" w:rsidP="00E7440C">
            <w:pPr>
              <w:jc w:val="right"/>
              <w:rPr>
                <w:color w:val="0070C0"/>
                <w:sz w:val="18"/>
                <w:szCs w:val="18"/>
              </w:rPr>
            </w:pPr>
            <w:r w:rsidRPr="00A574C9">
              <w:rPr>
                <w:sz w:val="18"/>
                <w:szCs w:val="18"/>
              </w:rPr>
              <w:t>50 316,8</w:t>
            </w:r>
          </w:p>
        </w:tc>
        <w:tc>
          <w:tcPr>
            <w:tcW w:w="1199" w:type="dxa"/>
            <w:tcBorders>
              <w:top w:val="nil"/>
              <w:left w:val="nil"/>
              <w:bottom w:val="nil"/>
              <w:right w:val="nil"/>
            </w:tcBorders>
            <w:shd w:val="clear" w:color="auto" w:fill="auto"/>
            <w:noWrap/>
            <w:vAlign w:val="bottom"/>
            <w:hideMark/>
          </w:tcPr>
          <w:p w14:paraId="75EC9ED9" w14:textId="658A0BF8" w:rsidR="00E7440C" w:rsidRPr="00A574C9" w:rsidRDefault="00E7440C" w:rsidP="00E7440C">
            <w:pPr>
              <w:jc w:val="right"/>
              <w:rPr>
                <w:color w:val="0070C0"/>
                <w:sz w:val="18"/>
                <w:szCs w:val="18"/>
              </w:rPr>
            </w:pPr>
            <w:r w:rsidRPr="00A574C9">
              <w:rPr>
                <w:sz w:val="18"/>
                <w:szCs w:val="18"/>
              </w:rPr>
              <w:t>3 624,2</w:t>
            </w:r>
          </w:p>
        </w:tc>
        <w:tc>
          <w:tcPr>
            <w:tcW w:w="1300" w:type="dxa"/>
            <w:tcBorders>
              <w:top w:val="nil"/>
              <w:left w:val="nil"/>
              <w:bottom w:val="nil"/>
              <w:right w:val="single" w:sz="4" w:space="0" w:color="auto"/>
            </w:tcBorders>
            <w:shd w:val="clear" w:color="auto" w:fill="auto"/>
            <w:noWrap/>
            <w:vAlign w:val="bottom"/>
            <w:hideMark/>
          </w:tcPr>
          <w:p w14:paraId="1196F0BB" w14:textId="4254F0BA" w:rsidR="00E7440C" w:rsidRPr="00286955" w:rsidRDefault="00E7440C" w:rsidP="00E7440C">
            <w:pPr>
              <w:jc w:val="right"/>
              <w:rPr>
                <w:color w:val="0070C0"/>
                <w:sz w:val="18"/>
                <w:szCs w:val="18"/>
              </w:rPr>
            </w:pPr>
            <w:r w:rsidRPr="00A574C9">
              <w:rPr>
                <w:sz w:val="18"/>
                <w:szCs w:val="18"/>
              </w:rPr>
              <w:t>101,9%</w:t>
            </w:r>
          </w:p>
        </w:tc>
      </w:tr>
      <w:tr w:rsidR="00E7440C" w:rsidRPr="00BA4AB9" w14:paraId="164F7C89" w14:textId="77777777" w:rsidTr="00E460C7">
        <w:trPr>
          <w:trHeight w:val="255"/>
        </w:trPr>
        <w:tc>
          <w:tcPr>
            <w:tcW w:w="4263" w:type="dxa"/>
            <w:tcBorders>
              <w:top w:val="nil"/>
              <w:left w:val="single" w:sz="8" w:space="0" w:color="auto"/>
              <w:bottom w:val="nil"/>
              <w:right w:val="nil"/>
            </w:tcBorders>
            <w:shd w:val="clear" w:color="auto" w:fill="auto"/>
            <w:noWrap/>
            <w:vAlign w:val="bottom"/>
            <w:hideMark/>
          </w:tcPr>
          <w:p w14:paraId="567A0B80" w14:textId="77777777" w:rsidR="00E7440C" w:rsidRPr="00875569" w:rsidRDefault="00E7440C" w:rsidP="00E7440C">
            <w:pPr>
              <w:rPr>
                <w:sz w:val="18"/>
                <w:szCs w:val="18"/>
              </w:rPr>
            </w:pPr>
            <w:r w:rsidRPr="00875569">
              <w:rPr>
                <w:sz w:val="18"/>
                <w:szCs w:val="18"/>
              </w:rPr>
              <w:t xml:space="preserve">    Текущи</w:t>
            </w:r>
          </w:p>
        </w:tc>
        <w:tc>
          <w:tcPr>
            <w:tcW w:w="992" w:type="dxa"/>
            <w:tcBorders>
              <w:top w:val="nil"/>
              <w:left w:val="nil"/>
              <w:bottom w:val="nil"/>
              <w:right w:val="nil"/>
            </w:tcBorders>
            <w:shd w:val="clear" w:color="auto" w:fill="auto"/>
            <w:noWrap/>
            <w:vAlign w:val="bottom"/>
            <w:hideMark/>
          </w:tcPr>
          <w:p w14:paraId="23181414" w14:textId="105742F3" w:rsidR="00E7440C" w:rsidRPr="00286955" w:rsidRDefault="00E7440C" w:rsidP="00A574C9">
            <w:pPr>
              <w:jc w:val="right"/>
              <w:rPr>
                <w:sz w:val="18"/>
                <w:szCs w:val="18"/>
              </w:rPr>
            </w:pPr>
            <w:r w:rsidRPr="00286955">
              <w:rPr>
                <w:sz w:val="18"/>
                <w:szCs w:val="18"/>
              </w:rPr>
              <w:t>4</w:t>
            </w:r>
            <w:r w:rsidR="00A574C9">
              <w:rPr>
                <w:sz w:val="18"/>
                <w:szCs w:val="18"/>
              </w:rPr>
              <w:t>6</w:t>
            </w:r>
            <w:r w:rsidRPr="00286955">
              <w:rPr>
                <w:sz w:val="18"/>
                <w:szCs w:val="18"/>
              </w:rPr>
              <w:t xml:space="preserve"> </w:t>
            </w:r>
            <w:r w:rsidR="00A574C9">
              <w:rPr>
                <w:sz w:val="18"/>
                <w:szCs w:val="18"/>
              </w:rPr>
              <w:t>685</w:t>
            </w:r>
            <w:r w:rsidRPr="00286955">
              <w:rPr>
                <w:sz w:val="18"/>
                <w:szCs w:val="18"/>
              </w:rPr>
              <w:t>,</w:t>
            </w:r>
            <w:r w:rsidR="00A574C9">
              <w:rPr>
                <w:sz w:val="18"/>
                <w:szCs w:val="18"/>
              </w:rPr>
              <w:t>2</w:t>
            </w:r>
          </w:p>
        </w:tc>
        <w:tc>
          <w:tcPr>
            <w:tcW w:w="1087" w:type="dxa"/>
            <w:tcBorders>
              <w:top w:val="nil"/>
              <w:left w:val="nil"/>
              <w:bottom w:val="nil"/>
              <w:right w:val="nil"/>
            </w:tcBorders>
            <w:shd w:val="clear" w:color="auto" w:fill="auto"/>
            <w:noWrap/>
            <w:vAlign w:val="bottom"/>
            <w:hideMark/>
          </w:tcPr>
          <w:p w14:paraId="6DC7104A" w14:textId="25442553" w:rsidR="00E7440C" w:rsidRPr="00286955" w:rsidRDefault="00A574C9" w:rsidP="00A574C9">
            <w:pPr>
              <w:jc w:val="right"/>
              <w:rPr>
                <w:color w:val="0070C0"/>
                <w:sz w:val="18"/>
                <w:szCs w:val="18"/>
              </w:rPr>
            </w:pPr>
            <w:r>
              <w:rPr>
                <w:sz w:val="18"/>
                <w:szCs w:val="18"/>
              </w:rPr>
              <w:t>50</w:t>
            </w:r>
            <w:r w:rsidR="00E7440C" w:rsidRPr="00286955">
              <w:rPr>
                <w:sz w:val="18"/>
                <w:szCs w:val="18"/>
              </w:rPr>
              <w:t xml:space="preserve"> </w:t>
            </w:r>
            <w:r>
              <w:rPr>
                <w:sz w:val="18"/>
                <w:szCs w:val="18"/>
              </w:rPr>
              <w:t>028</w:t>
            </w:r>
            <w:r w:rsidR="00E7440C" w:rsidRPr="00286955">
              <w:rPr>
                <w:sz w:val="18"/>
                <w:szCs w:val="18"/>
              </w:rPr>
              <w:t>,</w:t>
            </w:r>
            <w:r>
              <w:rPr>
                <w:sz w:val="18"/>
                <w:szCs w:val="18"/>
              </w:rPr>
              <w:t>8</w:t>
            </w:r>
          </w:p>
        </w:tc>
        <w:tc>
          <w:tcPr>
            <w:tcW w:w="1252" w:type="dxa"/>
            <w:tcBorders>
              <w:top w:val="nil"/>
              <w:left w:val="nil"/>
              <w:bottom w:val="nil"/>
              <w:right w:val="nil"/>
            </w:tcBorders>
            <w:shd w:val="clear" w:color="auto" w:fill="auto"/>
            <w:noWrap/>
            <w:vAlign w:val="bottom"/>
            <w:hideMark/>
          </w:tcPr>
          <w:p w14:paraId="08C8DC99" w14:textId="1643A681" w:rsidR="00E7440C" w:rsidRPr="00286955" w:rsidRDefault="00E7440C" w:rsidP="00A574C9">
            <w:pPr>
              <w:jc w:val="right"/>
              <w:rPr>
                <w:color w:val="0070C0"/>
                <w:sz w:val="18"/>
                <w:szCs w:val="18"/>
              </w:rPr>
            </w:pPr>
            <w:r w:rsidRPr="00286955">
              <w:rPr>
                <w:color w:val="000000"/>
                <w:sz w:val="18"/>
                <w:szCs w:val="18"/>
              </w:rPr>
              <w:t>4</w:t>
            </w:r>
            <w:r w:rsidR="00A574C9">
              <w:rPr>
                <w:color w:val="000000"/>
                <w:sz w:val="18"/>
                <w:szCs w:val="18"/>
              </w:rPr>
              <w:t>8</w:t>
            </w:r>
            <w:r w:rsidRPr="00286955">
              <w:rPr>
                <w:color w:val="000000"/>
                <w:sz w:val="18"/>
                <w:szCs w:val="18"/>
              </w:rPr>
              <w:t xml:space="preserve"> </w:t>
            </w:r>
            <w:r w:rsidR="00A574C9">
              <w:rPr>
                <w:color w:val="000000"/>
                <w:sz w:val="18"/>
                <w:szCs w:val="18"/>
              </w:rPr>
              <w:t>360</w:t>
            </w:r>
            <w:r w:rsidRPr="00286955">
              <w:rPr>
                <w:color w:val="000000"/>
                <w:sz w:val="18"/>
                <w:szCs w:val="18"/>
              </w:rPr>
              <w:t>,</w:t>
            </w:r>
            <w:r w:rsidR="00A574C9">
              <w:rPr>
                <w:color w:val="000000"/>
                <w:sz w:val="18"/>
                <w:szCs w:val="18"/>
              </w:rPr>
              <w:t>7</w:t>
            </w:r>
          </w:p>
        </w:tc>
        <w:tc>
          <w:tcPr>
            <w:tcW w:w="1199" w:type="dxa"/>
            <w:tcBorders>
              <w:top w:val="nil"/>
              <w:left w:val="nil"/>
              <w:bottom w:val="nil"/>
              <w:right w:val="nil"/>
            </w:tcBorders>
            <w:shd w:val="clear" w:color="auto" w:fill="auto"/>
            <w:noWrap/>
            <w:vAlign w:val="bottom"/>
            <w:hideMark/>
          </w:tcPr>
          <w:p w14:paraId="1CC39AD9" w14:textId="443EA7F7" w:rsidR="00E7440C" w:rsidRPr="00286955" w:rsidRDefault="00E7440C" w:rsidP="00E7440C">
            <w:pPr>
              <w:jc w:val="right"/>
              <w:rPr>
                <w:color w:val="0070C0"/>
                <w:sz w:val="18"/>
                <w:szCs w:val="18"/>
              </w:rPr>
            </w:pPr>
            <w:r w:rsidRPr="00286955">
              <w:rPr>
                <w:color w:val="000000"/>
                <w:sz w:val="18"/>
                <w:szCs w:val="18"/>
              </w:rPr>
              <w:t>1 668,1</w:t>
            </w:r>
          </w:p>
        </w:tc>
        <w:tc>
          <w:tcPr>
            <w:tcW w:w="1300" w:type="dxa"/>
            <w:tcBorders>
              <w:top w:val="nil"/>
              <w:left w:val="nil"/>
              <w:bottom w:val="nil"/>
              <w:right w:val="single" w:sz="4" w:space="0" w:color="auto"/>
            </w:tcBorders>
            <w:shd w:val="clear" w:color="auto" w:fill="auto"/>
            <w:noWrap/>
            <w:vAlign w:val="bottom"/>
            <w:hideMark/>
          </w:tcPr>
          <w:p w14:paraId="17183254" w14:textId="527A4C8C" w:rsidR="00E7440C" w:rsidRPr="00286955" w:rsidRDefault="00E7440C" w:rsidP="00A574C9">
            <w:pPr>
              <w:jc w:val="right"/>
              <w:rPr>
                <w:color w:val="0070C0"/>
                <w:sz w:val="18"/>
                <w:szCs w:val="18"/>
              </w:rPr>
            </w:pPr>
            <w:r w:rsidRPr="00286955">
              <w:rPr>
                <w:sz w:val="18"/>
                <w:szCs w:val="18"/>
              </w:rPr>
              <w:t>10</w:t>
            </w:r>
            <w:r w:rsidR="00A574C9">
              <w:rPr>
                <w:sz w:val="18"/>
                <w:szCs w:val="18"/>
              </w:rPr>
              <w:t>7</w:t>
            </w:r>
            <w:r w:rsidRPr="00286955">
              <w:rPr>
                <w:sz w:val="18"/>
                <w:szCs w:val="18"/>
              </w:rPr>
              <w:t>,</w:t>
            </w:r>
            <w:r w:rsidR="00A574C9">
              <w:rPr>
                <w:sz w:val="18"/>
                <w:szCs w:val="18"/>
              </w:rPr>
              <w:t>2</w:t>
            </w:r>
            <w:r w:rsidRPr="00286955">
              <w:rPr>
                <w:sz w:val="18"/>
                <w:szCs w:val="18"/>
              </w:rPr>
              <w:t>%</w:t>
            </w:r>
          </w:p>
        </w:tc>
      </w:tr>
      <w:tr w:rsidR="002C61EB" w:rsidRPr="00BA4AB9" w14:paraId="41BF42E0" w14:textId="77777777" w:rsidTr="00E460C7">
        <w:trPr>
          <w:trHeight w:val="255"/>
        </w:trPr>
        <w:tc>
          <w:tcPr>
            <w:tcW w:w="4263" w:type="dxa"/>
            <w:tcBorders>
              <w:top w:val="nil"/>
              <w:left w:val="single" w:sz="8" w:space="0" w:color="auto"/>
              <w:bottom w:val="nil"/>
              <w:right w:val="nil"/>
            </w:tcBorders>
            <w:shd w:val="clear" w:color="auto" w:fill="auto"/>
            <w:noWrap/>
            <w:vAlign w:val="bottom"/>
          </w:tcPr>
          <w:p w14:paraId="02695A35" w14:textId="77777777" w:rsidR="002C61EB" w:rsidRPr="00875569" w:rsidRDefault="002C61EB" w:rsidP="002C61EB">
            <w:pPr>
              <w:rPr>
                <w:sz w:val="18"/>
                <w:szCs w:val="18"/>
              </w:rPr>
            </w:pPr>
            <w:r w:rsidRPr="00875569">
              <w:rPr>
                <w:sz w:val="18"/>
                <w:szCs w:val="18"/>
              </w:rPr>
              <w:t xml:space="preserve">    Предоставени тек. и капит. трансфери за чужбина</w:t>
            </w:r>
          </w:p>
        </w:tc>
        <w:tc>
          <w:tcPr>
            <w:tcW w:w="992" w:type="dxa"/>
            <w:tcBorders>
              <w:top w:val="nil"/>
              <w:left w:val="nil"/>
              <w:bottom w:val="nil"/>
              <w:right w:val="nil"/>
            </w:tcBorders>
            <w:shd w:val="clear" w:color="auto" w:fill="auto"/>
            <w:noWrap/>
            <w:vAlign w:val="bottom"/>
          </w:tcPr>
          <w:p w14:paraId="1EB64CD7" w14:textId="1A8E6C97" w:rsidR="002C61EB" w:rsidRPr="00286955" w:rsidRDefault="002C61EB" w:rsidP="002C61EB">
            <w:pPr>
              <w:jc w:val="right"/>
              <w:rPr>
                <w:sz w:val="18"/>
                <w:szCs w:val="18"/>
              </w:rPr>
            </w:pPr>
            <w:r w:rsidRPr="00286955">
              <w:rPr>
                <w:sz w:val="18"/>
                <w:szCs w:val="18"/>
              </w:rPr>
              <w:t>18,0</w:t>
            </w:r>
          </w:p>
        </w:tc>
        <w:tc>
          <w:tcPr>
            <w:tcW w:w="1087" w:type="dxa"/>
            <w:tcBorders>
              <w:top w:val="nil"/>
              <w:left w:val="nil"/>
              <w:bottom w:val="nil"/>
              <w:right w:val="nil"/>
            </w:tcBorders>
            <w:shd w:val="clear" w:color="auto" w:fill="auto"/>
            <w:noWrap/>
            <w:vAlign w:val="bottom"/>
          </w:tcPr>
          <w:p w14:paraId="52AEA6AE" w14:textId="4A79ED17" w:rsidR="002C61EB" w:rsidRPr="00286955" w:rsidRDefault="002C61EB" w:rsidP="002C61EB">
            <w:pPr>
              <w:jc w:val="right"/>
              <w:rPr>
                <w:color w:val="0070C0"/>
                <w:sz w:val="18"/>
                <w:szCs w:val="18"/>
              </w:rPr>
            </w:pPr>
            <w:r w:rsidRPr="00286955">
              <w:rPr>
                <w:sz w:val="18"/>
                <w:szCs w:val="18"/>
              </w:rPr>
              <w:t>45,9</w:t>
            </w:r>
          </w:p>
        </w:tc>
        <w:tc>
          <w:tcPr>
            <w:tcW w:w="1252" w:type="dxa"/>
            <w:tcBorders>
              <w:top w:val="nil"/>
              <w:left w:val="nil"/>
              <w:bottom w:val="nil"/>
              <w:right w:val="nil"/>
            </w:tcBorders>
            <w:shd w:val="clear" w:color="auto" w:fill="auto"/>
            <w:noWrap/>
            <w:vAlign w:val="bottom"/>
          </w:tcPr>
          <w:p w14:paraId="113D3223" w14:textId="2EC7C0A3" w:rsidR="002C61EB" w:rsidRPr="00286955" w:rsidRDefault="002C61EB" w:rsidP="002C61EB">
            <w:pPr>
              <w:jc w:val="right"/>
              <w:rPr>
                <w:color w:val="0070C0"/>
                <w:sz w:val="18"/>
                <w:szCs w:val="18"/>
              </w:rPr>
            </w:pPr>
            <w:r w:rsidRPr="00286955">
              <w:rPr>
                <w:color w:val="000000"/>
                <w:sz w:val="18"/>
                <w:szCs w:val="18"/>
              </w:rPr>
              <w:t>22,2</w:t>
            </w:r>
          </w:p>
        </w:tc>
        <w:tc>
          <w:tcPr>
            <w:tcW w:w="1199" w:type="dxa"/>
            <w:tcBorders>
              <w:top w:val="nil"/>
              <w:left w:val="nil"/>
              <w:bottom w:val="nil"/>
              <w:right w:val="nil"/>
            </w:tcBorders>
            <w:shd w:val="clear" w:color="auto" w:fill="auto"/>
            <w:noWrap/>
            <w:vAlign w:val="bottom"/>
          </w:tcPr>
          <w:p w14:paraId="73B922C8" w14:textId="6F5B4810" w:rsidR="002C61EB" w:rsidRPr="00286955" w:rsidRDefault="002C61EB" w:rsidP="002C61EB">
            <w:pPr>
              <w:jc w:val="right"/>
              <w:rPr>
                <w:color w:val="0070C0"/>
                <w:sz w:val="18"/>
                <w:szCs w:val="18"/>
              </w:rPr>
            </w:pPr>
            <w:r w:rsidRPr="00286955">
              <w:rPr>
                <w:color w:val="000000"/>
                <w:sz w:val="18"/>
                <w:szCs w:val="18"/>
              </w:rPr>
              <w:t>23,7</w:t>
            </w:r>
          </w:p>
        </w:tc>
        <w:tc>
          <w:tcPr>
            <w:tcW w:w="1300" w:type="dxa"/>
            <w:tcBorders>
              <w:top w:val="nil"/>
              <w:left w:val="nil"/>
              <w:bottom w:val="nil"/>
              <w:right w:val="single" w:sz="4" w:space="0" w:color="auto"/>
            </w:tcBorders>
            <w:shd w:val="clear" w:color="auto" w:fill="auto"/>
            <w:noWrap/>
            <w:vAlign w:val="bottom"/>
          </w:tcPr>
          <w:p w14:paraId="20784A18" w14:textId="42526FFF" w:rsidR="002C61EB" w:rsidRPr="00286955" w:rsidRDefault="002C61EB" w:rsidP="002C61EB">
            <w:pPr>
              <w:jc w:val="right"/>
              <w:rPr>
                <w:color w:val="0070C0"/>
                <w:sz w:val="18"/>
                <w:szCs w:val="18"/>
              </w:rPr>
            </w:pPr>
            <w:r w:rsidRPr="00286955">
              <w:rPr>
                <w:sz w:val="18"/>
                <w:szCs w:val="18"/>
              </w:rPr>
              <w:t>255,0%</w:t>
            </w:r>
          </w:p>
        </w:tc>
      </w:tr>
      <w:tr w:rsidR="002C61EB" w:rsidRPr="00BA4AB9" w14:paraId="34101E0C" w14:textId="77777777" w:rsidTr="00E460C7">
        <w:trPr>
          <w:trHeight w:val="255"/>
        </w:trPr>
        <w:tc>
          <w:tcPr>
            <w:tcW w:w="4263" w:type="dxa"/>
            <w:tcBorders>
              <w:top w:val="nil"/>
              <w:left w:val="single" w:sz="8" w:space="0" w:color="auto"/>
              <w:bottom w:val="nil"/>
              <w:right w:val="nil"/>
            </w:tcBorders>
            <w:shd w:val="clear" w:color="auto" w:fill="auto"/>
            <w:noWrap/>
            <w:vAlign w:val="bottom"/>
            <w:hideMark/>
          </w:tcPr>
          <w:p w14:paraId="61756224" w14:textId="77777777" w:rsidR="002C61EB" w:rsidRPr="00875569" w:rsidRDefault="002C61EB" w:rsidP="002C61EB">
            <w:pPr>
              <w:rPr>
                <w:sz w:val="18"/>
                <w:szCs w:val="18"/>
              </w:rPr>
            </w:pPr>
            <w:r w:rsidRPr="00875569">
              <w:rPr>
                <w:sz w:val="18"/>
                <w:szCs w:val="18"/>
              </w:rPr>
              <w:t xml:space="preserve">    Капиталови</w:t>
            </w:r>
          </w:p>
        </w:tc>
        <w:tc>
          <w:tcPr>
            <w:tcW w:w="992" w:type="dxa"/>
            <w:tcBorders>
              <w:top w:val="nil"/>
              <w:left w:val="nil"/>
              <w:bottom w:val="nil"/>
              <w:right w:val="nil"/>
            </w:tcBorders>
            <w:shd w:val="clear" w:color="auto" w:fill="auto"/>
            <w:noWrap/>
            <w:vAlign w:val="bottom"/>
            <w:hideMark/>
          </w:tcPr>
          <w:p w14:paraId="6F42E5F4" w14:textId="0E3E1EDA" w:rsidR="002C61EB" w:rsidRPr="00286955" w:rsidRDefault="002C61EB" w:rsidP="00A574C9">
            <w:pPr>
              <w:jc w:val="right"/>
              <w:rPr>
                <w:sz w:val="18"/>
                <w:szCs w:val="18"/>
              </w:rPr>
            </w:pPr>
            <w:r w:rsidRPr="00286955">
              <w:rPr>
                <w:sz w:val="18"/>
                <w:szCs w:val="18"/>
              </w:rPr>
              <w:t xml:space="preserve">6 </w:t>
            </w:r>
            <w:r w:rsidR="00A574C9">
              <w:rPr>
                <w:sz w:val="18"/>
                <w:szCs w:val="18"/>
              </w:rPr>
              <w:t>246</w:t>
            </w:r>
            <w:r w:rsidRPr="00286955">
              <w:rPr>
                <w:sz w:val="18"/>
                <w:szCs w:val="18"/>
              </w:rPr>
              <w:t>,</w:t>
            </w:r>
            <w:r w:rsidR="00A574C9">
              <w:rPr>
                <w:sz w:val="18"/>
                <w:szCs w:val="18"/>
              </w:rPr>
              <w:t>0</w:t>
            </w:r>
          </w:p>
        </w:tc>
        <w:tc>
          <w:tcPr>
            <w:tcW w:w="1087" w:type="dxa"/>
            <w:tcBorders>
              <w:top w:val="nil"/>
              <w:left w:val="nil"/>
              <w:bottom w:val="nil"/>
              <w:right w:val="nil"/>
            </w:tcBorders>
            <w:shd w:val="clear" w:color="auto" w:fill="auto"/>
            <w:noWrap/>
            <w:vAlign w:val="bottom"/>
            <w:hideMark/>
          </w:tcPr>
          <w:p w14:paraId="747CAA8A" w14:textId="3E24B5BD" w:rsidR="002C61EB" w:rsidRPr="00286955" w:rsidRDefault="002C61EB" w:rsidP="00A574C9">
            <w:pPr>
              <w:jc w:val="right"/>
              <w:rPr>
                <w:color w:val="0070C0"/>
                <w:sz w:val="18"/>
                <w:szCs w:val="18"/>
              </w:rPr>
            </w:pPr>
            <w:r w:rsidRPr="00286955">
              <w:rPr>
                <w:sz w:val="18"/>
                <w:szCs w:val="18"/>
              </w:rPr>
              <w:t xml:space="preserve">3 </w:t>
            </w:r>
            <w:r w:rsidR="00A574C9">
              <w:rPr>
                <w:sz w:val="18"/>
                <w:szCs w:val="18"/>
              </w:rPr>
              <w:t>866</w:t>
            </w:r>
            <w:r w:rsidRPr="00286955">
              <w:rPr>
                <w:sz w:val="18"/>
                <w:szCs w:val="18"/>
              </w:rPr>
              <w:t>,</w:t>
            </w:r>
            <w:r w:rsidR="00A574C9">
              <w:rPr>
                <w:sz w:val="18"/>
                <w:szCs w:val="18"/>
              </w:rPr>
              <w:t>3</w:t>
            </w:r>
          </w:p>
        </w:tc>
        <w:tc>
          <w:tcPr>
            <w:tcW w:w="1252" w:type="dxa"/>
            <w:tcBorders>
              <w:top w:val="nil"/>
              <w:left w:val="nil"/>
              <w:bottom w:val="nil"/>
              <w:right w:val="nil"/>
            </w:tcBorders>
            <w:shd w:val="clear" w:color="auto" w:fill="auto"/>
            <w:noWrap/>
            <w:vAlign w:val="bottom"/>
            <w:hideMark/>
          </w:tcPr>
          <w:p w14:paraId="6DA7555C" w14:textId="3AC9CE18" w:rsidR="002C61EB" w:rsidRPr="00286955" w:rsidRDefault="002C61EB" w:rsidP="00A574C9">
            <w:pPr>
              <w:jc w:val="right"/>
              <w:rPr>
                <w:color w:val="0070C0"/>
                <w:sz w:val="18"/>
                <w:szCs w:val="18"/>
              </w:rPr>
            </w:pPr>
            <w:r w:rsidRPr="00286955">
              <w:rPr>
                <w:color w:val="000000"/>
                <w:sz w:val="18"/>
                <w:szCs w:val="18"/>
              </w:rPr>
              <w:t xml:space="preserve">1 </w:t>
            </w:r>
            <w:r w:rsidR="00A574C9">
              <w:rPr>
                <w:color w:val="000000"/>
                <w:sz w:val="18"/>
                <w:szCs w:val="18"/>
              </w:rPr>
              <w:t>933</w:t>
            </w:r>
            <w:r w:rsidRPr="00286955">
              <w:rPr>
                <w:color w:val="000000"/>
                <w:sz w:val="18"/>
                <w:szCs w:val="18"/>
              </w:rPr>
              <w:t>,</w:t>
            </w:r>
            <w:r w:rsidR="00A574C9">
              <w:rPr>
                <w:color w:val="000000"/>
                <w:sz w:val="18"/>
                <w:szCs w:val="18"/>
              </w:rPr>
              <w:t>8</w:t>
            </w:r>
          </w:p>
        </w:tc>
        <w:tc>
          <w:tcPr>
            <w:tcW w:w="1199" w:type="dxa"/>
            <w:tcBorders>
              <w:top w:val="nil"/>
              <w:left w:val="nil"/>
              <w:bottom w:val="nil"/>
              <w:right w:val="nil"/>
            </w:tcBorders>
            <w:shd w:val="clear" w:color="auto" w:fill="auto"/>
            <w:noWrap/>
            <w:vAlign w:val="bottom"/>
            <w:hideMark/>
          </w:tcPr>
          <w:p w14:paraId="4782938C" w14:textId="28EBF985" w:rsidR="002C61EB" w:rsidRPr="00286955" w:rsidRDefault="002C61EB" w:rsidP="002C61EB">
            <w:pPr>
              <w:jc w:val="right"/>
              <w:rPr>
                <w:color w:val="0070C0"/>
                <w:sz w:val="18"/>
                <w:szCs w:val="18"/>
              </w:rPr>
            </w:pPr>
            <w:r w:rsidRPr="00286955">
              <w:rPr>
                <w:color w:val="000000"/>
                <w:sz w:val="18"/>
                <w:szCs w:val="18"/>
              </w:rPr>
              <w:t>1 932,5</w:t>
            </w:r>
          </w:p>
        </w:tc>
        <w:tc>
          <w:tcPr>
            <w:tcW w:w="1300" w:type="dxa"/>
            <w:tcBorders>
              <w:top w:val="nil"/>
              <w:left w:val="nil"/>
              <w:bottom w:val="nil"/>
              <w:right w:val="single" w:sz="4" w:space="0" w:color="auto"/>
            </w:tcBorders>
            <w:shd w:val="clear" w:color="auto" w:fill="auto"/>
            <w:noWrap/>
            <w:vAlign w:val="bottom"/>
            <w:hideMark/>
          </w:tcPr>
          <w:p w14:paraId="776335B3" w14:textId="0F3D68A8" w:rsidR="002C61EB" w:rsidRPr="00286955" w:rsidRDefault="002C61EB" w:rsidP="00A574C9">
            <w:pPr>
              <w:jc w:val="right"/>
              <w:rPr>
                <w:color w:val="0070C0"/>
                <w:sz w:val="18"/>
                <w:szCs w:val="18"/>
              </w:rPr>
            </w:pPr>
            <w:r w:rsidRPr="00286955">
              <w:rPr>
                <w:sz w:val="18"/>
                <w:szCs w:val="18"/>
              </w:rPr>
              <w:t>61,</w:t>
            </w:r>
            <w:r w:rsidR="00A574C9">
              <w:rPr>
                <w:sz w:val="18"/>
                <w:szCs w:val="18"/>
              </w:rPr>
              <w:t>9</w:t>
            </w:r>
            <w:r w:rsidRPr="00286955">
              <w:rPr>
                <w:sz w:val="18"/>
                <w:szCs w:val="18"/>
              </w:rPr>
              <w:t>%</w:t>
            </w:r>
          </w:p>
        </w:tc>
      </w:tr>
      <w:tr w:rsidR="002C61EB" w:rsidRPr="00BA4AB9" w14:paraId="052F087C" w14:textId="77777777" w:rsidTr="00E460C7">
        <w:trPr>
          <w:trHeight w:val="255"/>
        </w:trPr>
        <w:tc>
          <w:tcPr>
            <w:tcW w:w="4263" w:type="dxa"/>
            <w:tcBorders>
              <w:top w:val="nil"/>
              <w:left w:val="single" w:sz="8" w:space="0" w:color="auto"/>
              <w:bottom w:val="nil"/>
              <w:right w:val="nil"/>
            </w:tcBorders>
            <w:shd w:val="clear" w:color="auto" w:fill="auto"/>
            <w:noWrap/>
            <w:vAlign w:val="bottom"/>
            <w:hideMark/>
          </w:tcPr>
          <w:p w14:paraId="695D7C50" w14:textId="77777777" w:rsidR="002C61EB" w:rsidRPr="00875569" w:rsidRDefault="002C61EB" w:rsidP="002C61EB">
            <w:pPr>
              <w:rPr>
                <w:sz w:val="18"/>
                <w:szCs w:val="18"/>
              </w:rPr>
            </w:pPr>
            <w:r w:rsidRPr="00875569">
              <w:rPr>
                <w:sz w:val="18"/>
                <w:szCs w:val="18"/>
              </w:rPr>
              <w:t xml:space="preserve">           в т.ч. нетен прираст на държавния резерв</w:t>
            </w:r>
          </w:p>
        </w:tc>
        <w:tc>
          <w:tcPr>
            <w:tcW w:w="992" w:type="dxa"/>
            <w:tcBorders>
              <w:top w:val="nil"/>
              <w:left w:val="nil"/>
              <w:bottom w:val="nil"/>
              <w:right w:val="nil"/>
            </w:tcBorders>
            <w:shd w:val="clear" w:color="auto" w:fill="auto"/>
            <w:noWrap/>
            <w:vAlign w:val="bottom"/>
            <w:hideMark/>
          </w:tcPr>
          <w:p w14:paraId="4276ED9E" w14:textId="04C53A53" w:rsidR="002C61EB" w:rsidRPr="00286955" w:rsidRDefault="002C61EB" w:rsidP="002C61EB">
            <w:pPr>
              <w:jc w:val="right"/>
              <w:rPr>
                <w:sz w:val="18"/>
                <w:szCs w:val="18"/>
              </w:rPr>
            </w:pPr>
            <w:r w:rsidRPr="00286955">
              <w:rPr>
                <w:sz w:val="18"/>
                <w:szCs w:val="18"/>
              </w:rPr>
              <w:t>31,3</w:t>
            </w:r>
          </w:p>
        </w:tc>
        <w:tc>
          <w:tcPr>
            <w:tcW w:w="1087" w:type="dxa"/>
            <w:tcBorders>
              <w:top w:val="nil"/>
              <w:left w:val="nil"/>
              <w:bottom w:val="nil"/>
              <w:right w:val="nil"/>
            </w:tcBorders>
            <w:shd w:val="clear" w:color="auto" w:fill="auto"/>
            <w:noWrap/>
            <w:vAlign w:val="bottom"/>
            <w:hideMark/>
          </w:tcPr>
          <w:p w14:paraId="67869718" w14:textId="51BD3549" w:rsidR="002C61EB" w:rsidRPr="00286955" w:rsidRDefault="002C61EB" w:rsidP="002C61EB">
            <w:pPr>
              <w:jc w:val="right"/>
              <w:rPr>
                <w:sz w:val="18"/>
                <w:szCs w:val="18"/>
                <w:lang w:val="en-US"/>
              </w:rPr>
            </w:pPr>
            <w:r w:rsidRPr="00286955">
              <w:rPr>
                <w:sz w:val="18"/>
                <w:szCs w:val="18"/>
              </w:rPr>
              <w:t>31,2</w:t>
            </w:r>
          </w:p>
        </w:tc>
        <w:tc>
          <w:tcPr>
            <w:tcW w:w="1252" w:type="dxa"/>
            <w:tcBorders>
              <w:top w:val="nil"/>
              <w:left w:val="nil"/>
              <w:bottom w:val="nil"/>
              <w:right w:val="nil"/>
            </w:tcBorders>
            <w:shd w:val="clear" w:color="auto" w:fill="auto"/>
            <w:noWrap/>
            <w:vAlign w:val="bottom"/>
            <w:hideMark/>
          </w:tcPr>
          <w:p w14:paraId="315F659C" w14:textId="646A6E95" w:rsidR="002C61EB" w:rsidRPr="00286955" w:rsidRDefault="002C61EB" w:rsidP="002C61EB">
            <w:pPr>
              <w:jc w:val="right"/>
              <w:rPr>
                <w:color w:val="0070C0"/>
                <w:sz w:val="18"/>
                <w:szCs w:val="18"/>
              </w:rPr>
            </w:pPr>
            <w:r w:rsidRPr="00286955">
              <w:rPr>
                <w:color w:val="000000"/>
                <w:sz w:val="18"/>
                <w:szCs w:val="18"/>
              </w:rPr>
              <w:t>31,2</w:t>
            </w:r>
          </w:p>
        </w:tc>
        <w:tc>
          <w:tcPr>
            <w:tcW w:w="1199" w:type="dxa"/>
            <w:tcBorders>
              <w:top w:val="nil"/>
              <w:left w:val="nil"/>
              <w:bottom w:val="nil"/>
              <w:right w:val="nil"/>
            </w:tcBorders>
            <w:shd w:val="clear" w:color="auto" w:fill="auto"/>
            <w:noWrap/>
            <w:vAlign w:val="bottom"/>
          </w:tcPr>
          <w:p w14:paraId="33C9EF1C" w14:textId="092452E4" w:rsidR="002C61EB" w:rsidRPr="00286955" w:rsidRDefault="002C61EB" w:rsidP="002C61EB">
            <w:pPr>
              <w:jc w:val="right"/>
              <w:rPr>
                <w:color w:val="0070C0"/>
                <w:sz w:val="18"/>
                <w:szCs w:val="18"/>
              </w:rPr>
            </w:pPr>
          </w:p>
        </w:tc>
        <w:tc>
          <w:tcPr>
            <w:tcW w:w="1300" w:type="dxa"/>
            <w:tcBorders>
              <w:top w:val="nil"/>
              <w:left w:val="nil"/>
              <w:bottom w:val="nil"/>
              <w:right w:val="single" w:sz="4" w:space="0" w:color="auto"/>
            </w:tcBorders>
            <w:shd w:val="clear" w:color="auto" w:fill="auto"/>
            <w:noWrap/>
            <w:vAlign w:val="bottom"/>
          </w:tcPr>
          <w:p w14:paraId="64E6CC0D" w14:textId="5DAC78A5" w:rsidR="002C61EB" w:rsidRPr="00286955" w:rsidRDefault="002C61EB" w:rsidP="002C61EB">
            <w:pPr>
              <w:jc w:val="right"/>
              <w:rPr>
                <w:color w:val="0070C0"/>
                <w:sz w:val="18"/>
                <w:szCs w:val="18"/>
              </w:rPr>
            </w:pPr>
            <w:r w:rsidRPr="00286955">
              <w:rPr>
                <w:sz w:val="18"/>
                <w:szCs w:val="18"/>
              </w:rPr>
              <w:t>99,7%</w:t>
            </w:r>
          </w:p>
        </w:tc>
      </w:tr>
      <w:tr w:rsidR="00361BE3" w:rsidRPr="00BA4AB9" w14:paraId="08FD85FB" w14:textId="77777777" w:rsidTr="00E460C7">
        <w:trPr>
          <w:trHeight w:val="255"/>
        </w:trPr>
        <w:tc>
          <w:tcPr>
            <w:tcW w:w="4263" w:type="dxa"/>
            <w:tcBorders>
              <w:top w:val="nil"/>
              <w:left w:val="single" w:sz="8" w:space="0" w:color="auto"/>
              <w:bottom w:val="nil"/>
              <w:right w:val="nil"/>
            </w:tcBorders>
            <w:shd w:val="clear" w:color="auto" w:fill="auto"/>
            <w:noWrap/>
            <w:vAlign w:val="bottom"/>
            <w:hideMark/>
          </w:tcPr>
          <w:p w14:paraId="786536E3" w14:textId="77777777" w:rsidR="00361BE3" w:rsidRPr="00875569" w:rsidRDefault="00361BE3" w:rsidP="00361BE3">
            <w:pPr>
              <w:rPr>
                <w:sz w:val="18"/>
                <w:szCs w:val="18"/>
              </w:rPr>
            </w:pPr>
            <w:r w:rsidRPr="00875569">
              <w:rPr>
                <w:sz w:val="18"/>
                <w:szCs w:val="18"/>
              </w:rPr>
              <w:t xml:space="preserve">  Лихвени</w:t>
            </w:r>
          </w:p>
        </w:tc>
        <w:tc>
          <w:tcPr>
            <w:tcW w:w="992" w:type="dxa"/>
            <w:tcBorders>
              <w:top w:val="nil"/>
              <w:left w:val="nil"/>
              <w:bottom w:val="nil"/>
              <w:right w:val="nil"/>
            </w:tcBorders>
            <w:shd w:val="clear" w:color="auto" w:fill="auto"/>
            <w:noWrap/>
            <w:vAlign w:val="bottom"/>
            <w:hideMark/>
          </w:tcPr>
          <w:p w14:paraId="5DF7AB5B" w14:textId="713EA304" w:rsidR="00361BE3" w:rsidRPr="00286955" w:rsidRDefault="00361BE3" w:rsidP="00361BE3">
            <w:pPr>
              <w:jc w:val="right"/>
              <w:rPr>
                <w:sz w:val="18"/>
                <w:szCs w:val="18"/>
              </w:rPr>
            </w:pPr>
            <w:r w:rsidRPr="00286955">
              <w:rPr>
                <w:sz w:val="18"/>
                <w:szCs w:val="18"/>
              </w:rPr>
              <w:t>657,2</w:t>
            </w:r>
          </w:p>
        </w:tc>
        <w:tc>
          <w:tcPr>
            <w:tcW w:w="1087" w:type="dxa"/>
            <w:tcBorders>
              <w:top w:val="nil"/>
              <w:left w:val="nil"/>
              <w:bottom w:val="nil"/>
              <w:right w:val="nil"/>
            </w:tcBorders>
            <w:shd w:val="clear" w:color="auto" w:fill="auto"/>
            <w:noWrap/>
            <w:vAlign w:val="bottom"/>
            <w:hideMark/>
          </w:tcPr>
          <w:p w14:paraId="0175BCDF" w14:textId="3A3A643A" w:rsidR="00361BE3" w:rsidRPr="00286955" w:rsidRDefault="00361BE3" w:rsidP="00361BE3">
            <w:pPr>
              <w:jc w:val="right"/>
              <w:rPr>
                <w:color w:val="0070C0"/>
                <w:sz w:val="18"/>
                <w:szCs w:val="18"/>
              </w:rPr>
            </w:pPr>
            <w:r w:rsidRPr="00286955">
              <w:rPr>
                <w:sz w:val="18"/>
                <w:szCs w:val="18"/>
              </w:rPr>
              <w:t>628,5</w:t>
            </w:r>
          </w:p>
        </w:tc>
        <w:tc>
          <w:tcPr>
            <w:tcW w:w="1252" w:type="dxa"/>
            <w:tcBorders>
              <w:top w:val="nil"/>
              <w:left w:val="nil"/>
              <w:bottom w:val="nil"/>
              <w:right w:val="nil"/>
            </w:tcBorders>
            <w:shd w:val="clear" w:color="auto" w:fill="auto"/>
            <w:noWrap/>
            <w:vAlign w:val="bottom"/>
            <w:hideMark/>
          </w:tcPr>
          <w:p w14:paraId="1CDB5F53" w14:textId="15D1EF4F" w:rsidR="00361BE3" w:rsidRPr="00286955" w:rsidRDefault="00361BE3" w:rsidP="00361BE3">
            <w:pPr>
              <w:jc w:val="right"/>
              <w:rPr>
                <w:color w:val="0070C0"/>
                <w:sz w:val="18"/>
                <w:szCs w:val="18"/>
              </w:rPr>
            </w:pPr>
            <w:r w:rsidRPr="00286955">
              <w:rPr>
                <w:color w:val="000000"/>
                <w:sz w:val="18"/>
                <w:szCs w:val="18"/>
              </w:rPr>
              <w:t>628,5</w:t>
            </w:r>
          </w:p>
        </w:tc>
        <w:tc>
          <w:tcPr>
            <w:tcW w:w="1199" w:type="dxa"/>
            <w:tcBorders>
              <w:top w:val="nil"/>
              <w:left w:val="nil"/>
              <w:bottom w:val="nil"/>
              <w:right w:val="nil"/>
            </w:tcBorders>
            <w:shd w:val="clear" w:color="auto" w:fill="auto"/>
            <w:noWrap/>
            <w:vAlign w:val="bottom"/>
          </w:tcPr>
          <w:p w14:paraId="26E4C25B" w14:textId="36BE0CDA" w:rsidR="00361BE3" w:rsidRPr="00286955" w:rsidRDefault="00361BE3" w:rsidP="00361BE3">
            <w:pPr>
              <w:jc w:val="right"/>
              <w:rPr>
                <w:color w:val="0070C0"/>
                <w:sz w:val="18"/>
                <w:szCs w:val="18"/>
              </w:rPr>
            </w:pPr>
          </w:p>
        </w:tc>
        <w:tc>
          <w:tcPr>
            <w:tcW w:w="1300" w:type="dxa"/>
            <w:tcBorders>
              <w:top w:val="nil"/>
              <w:left w:val="nil"/>
              <w:bottom w:val="nil"/>
              <w:right w:val="single" w:sz="4" w:space="0" w:color="auto"/>
            </w:tcBorders>
            <w:shd w:val="clear" w:color="auto" w:fill="auto"/>
            <w:noWrap/>
            <w:vAlign w:val="bottom"/>
            <w:hideMark/>
          </w:tcPr>
          <w:p w14:paraId="3100DBD0" w14:textId="0F8F1F0F" w:rsidR="00361BE3" w:rsidRPr="00286955" w:rsidRDefault="00361BE3" w:rsidP="00361BE3">
            <w:pPr>
              <w:jc w:val="right"/>
              <w:rPr>
                <w:color w:val="0070C0"/>
                <w:sz w:val="18"/>
                <w:szCs w:val="18"/>
              </w:rPr>
            </w:pPr>
            <w:r w:rsidRPr="00286955">
              <w:rPr>
                <w:sz w:val="18"/>
                <w:szCs w:val="18"/>
              </w:rPr>
              <w:t>95,6%</w:t>
            </w:r>
          </w:p>
        </w:tc>
      </w:tr>
      <w:tr w:rsidR="00361BE3" w:rsidRPr="00BA4AB9" w14:paraId="535170FA" w14:textId="77777777" w:rsidTr="00E460C7">
        <w:trPr>
          <w:trHeight w:val="255"/>
        </w:trPr>
        <w:tc>
          <w:tcPr>
            <w:tcW w:w="4263" w:type="dxa"/>
            <w:tcBorders>
              <w:top w:val="nil"/>
              <w:left w:val="single" w:sz="8" w:space="0" w:color="auto"/>
              <w:bottom w:val="single" w:sz="4" w:space="0" w:color="auto"/>
              <w:right w:val="nil"/>
            </w:tcBorders>
            <w:shd w:val="clear" w:color="auto" w:fill="auto"/>
            <w:noWrap/>
            <w:vAlign w:val="bottom"/>
            <w:hideMark/>
          </w:tcPr>
          <w:p w14:paraId="49C50F80" w14:textId="77777777" w:rsidR="00361BE3" w:rsidRPr="00875569" w:rsidRDefault="00361BE3" w:rsidP="00361BE3">
            <w:pPr>
              <w:rPr>
                <w:sz w:val="18"/>
                <w:szCs w:val="18"/>
              </w:rPr>
            </w:pPr>
            <w:r w:rsidRPr="00875569">
              <w:rPr>
                <w:sz w:val="18"/>
                <w:szCs w:val="18"/>
              </w:rPr>
              <w:t xml:space="preserve">  Вноска за общия бюджет на ЕС</w:t>
            </w:r>
          </w:p>
        </w:tc>
        <w:tc>
          <w:tcPr>
            <w:tcW w:w="992" w:type="dxa"/>
            <w:tcBorders>
              <w:top w:val="nil"/>
              <w:left w:val="nil"/>
              <w:bottom w:val="single" w:sz="4" w:space="0" w:color="auto"/>
              <w:right w:val="nil"/>
            </w:tcBorders>
            <w:shd w:val="clear" w:color="auto" w:fill="auto"/>
            <w:noWrap/>
            <w:vAlign w:val="bottom"/>
            <w:hideMark/>
          </w:tcPr>
          <w:p w14:paraId="27F07C64" w14:textId="60825A91" w:rsidR="00361BE3" w:rsidRPr="00286955" w:rsidRDefault="00361BE3" w:rsidP="00361BE3">
            <w:pPr>
              <w:jc w:val="right"/>
              <w:rPr>
                <w:sz w:val="18"/>
                <w:szCs w:val="18"/>
              </w:rPr>
            </w:pPr>
            <w:r w:rsidRPr="00286955">
              <w:rPr>
                <w:sz w:val="18"/>
                <w:szCs w:val="18"/>
              </w:rPr>
              <w:t>1 566,1</w:t>
            </w:r>
          </w:p>
        </w:tc>
        <w:tc>
          <w:tcPr>
            <w:tcW w:w="1087" w:type="dxa"/>
            <w:tcBorders>
              <w:top w:val="nil"/>
              <w:left w:val="nil"/>
              <w:bottom w:val="single" w:sz="4" w:space="0" w:color="auto"/>
              <w:right w:val="nil"/>
            </w:tcBorders>
            <w:shd w:val="clear" w:color="auto" w:fill="auto"/>
            <w:noWrap/>
            <w:vAlign w:val="bottom"/>
            <w:hideMark/>
          </w:tcPr>
          <w:p w14:paraId="4FE0C877" w14:textId="46163237" w:rsidR="00361BE3" w:rsidRPr="00286955" w:rsidRDefault="00361BE3" w:rsidP="00361BE3">
            <w:pPr>
              <w:jc w:val="right"/>
              <w:rPr>
                <w:color w:val="0070C0"/>
                <w:sz w:val="18"/>
                <w:szCs w:val="18"/>
              </w:rPr>
            </w:pPr>
            <w:r w:rsidRPr="00286955">
              <w:rPr>
                <w:sz w:val="18"/>
                <w:szCs w:val="18"/>
              </w:rPr>
              <w:t>1 681,0</w:t>
            </w:r>
          </w:p>
        </w:tc>
        <w:tc>
          <w:tcPr>
            <w:tcW w:w="1252" w:type="dxa"/>
            <w:tcBorders>
              <w:top w:val="nil"/>
              <w:left w:val="nil"/>
              <w:bottom w:val="single" w:sz="4" w:space="0" w:color="auto"/>
              <w:right w:val="nil"/>
            </w:tcBorders>
            <w:shd w:val="clear" w:color="auto" w:fill="auto"/>
            <w:noWrap/>
            <w:vAlign w:val="bottom"/>
            <w:hideMark/>
          </w:tcPr>
          <w:p w14:paraId="7D7769A6" w14:textId="496C1FEC" w:rsidR="00361BE3" w:rsidRPr="00286955" w:rsidRDefault="00361BE3" w:rsidP="00361BE3">
            <w:pPr>
              <w:jc w:val="right"/>
              <w:rPr>
                <w:color w:val="0070C0"/>
                <w:sz w:val="18"/>
                <w:szCs w:val="18"/>
              </w:rPr>
            </w:pPr>
            <w:r w:rsidRPr="00286955">
              <w:rPr>
                <w:color w:val="000000"/>
                <w:sz w:val="18"/>
                <w:szCs w:val="18"/>
              </w:rPr>
              <w:t>1 681,0</w:t>
            </w:r>
          </w:p>
        </w:tc>
        <w:tc>
          <w:tcPr>
            <w:tcW w:w="1199" w:type="dxa"/>
            <w:tcBorders>
              <w:top w:val="nil"/>
              <w:left w:val="nil"/>
              <w:bottom w:val="single" w:sz="4" w:space="0" w:color="auto"/>
              <w:right w:val="nil"/>
            </w:tcBorders>
            <w:shd w:val="clear" w:color="auto" w:fill="auto"/>
            <w:noWrap/>
            <w:vAlign w:val="bottom"/>
          </w:tcPr>
          <w:p w14:paraId="691CFF23" w14:textId="77777777" w:rsidR="00361BE3" w:rsidRPr="00286955" w:rsidRDefault="00361BE3" w:rsidP="00361BE3">
            <w:pPr>
              <w:jc w:val="right"/>
              <w:rPr>
                <w:color w:val="0070C0"/>
                <w:sz w:val="18"/>
                <w:szCs w:val="18"/>
              </w:rPr>
            </w:pPr>
          </w:p>
        </w:tc>
        <w:tc>
          <w:tcPr>
            <w:tcW w:w="1300" w:type="dxa"/>
            <w:tcBorders>
              <w:top w:val="nil"/>
              <w:left w:val="nil"/>
              <w:bottom w:val="single" w:sz="4" w:space="0" w:color="auto"/>
              <w:right w:val="single" w:sz="4" w:space="0" w:color="auto"/>
            </w:tcBorders>
            <w:shd w:val="clear" w:color="auto" w:fill="auto"/>
            <w:noWrap/>
            <w:vAlign w:val="bottom"/>
            <w:hideMark/>
          </w:tcPr>
          <w:p w14:paraId="1874C90B" w14:textId="3BFD1D91" w:rsidR="00361BE3" w:rsidRPr="00286955" w:rsidRDefault="00361BE3" w:rsidP="00361BE3">
            <w:pPr>
              <w:jc w:val="right"/>
              <w:rPr>
                <w:color w:val="0070C0"/>
                <w:sz w:val="18"/>
                <w:szCs w:val="18"/>
              </w:rPr>
            </w:pPr>
            <w:r w:rsidRPr="00286955">
              <w:rPr>
                <w:sz w:val="18"/>
                <w:szCs w:val="18"/>
              </w:rPr>
              <w:t>107,3%</w:t>
            </w:r>
          </w:p>
        </w:tc>
      </w:tr>
      <w:tr w:rsidR="00361BE3" w:rsidRPr="00BA4AB9" w14:paraId="55641C56" w14:textId="77777777" w:rsidTr="00E460C7">
        <w:trPr>
          <w:trHeight w:val="255"/>
        </w:trPr>
        <w:tc>
          <w:tcPr>
            <w:tcW w:w="4263" w:type="dxa"/>
            <w:tcBorders>
              <w:top w:val="nil"/>
              <w:left w:val="single" w:sz="8" w:space="0" w:color="auto"/>
              <w:bottom w:val="single" w:sz="4" w:space="0" w:color="auto"/>
              <w:right w:val="nil"/>
            </w:tcBorders>
            <w:shd w:val="clear" w:color="auto" w:fill="auto"/>
            <w:noWrap/>
            <w:vAlign w:val="bottom"/>
            <w:hideMark/>
          </w:tcPr>
          <w:p w14:paraId="766819AF" w14:textId="77777777" w:rsidR="00361BE3" w:rsidRPr="00875569" w:rsidRDefault="00361BE3" w:rsidP="00361BE3">
            <w:pPr>
              <w:rPr>
                <w:sz w:val="18"/>
                <w:szCs w:val="18"/>
              </w:rPr>
            </w:pPr>
            <w:r w:rsidRPr="00875569">
              <w:rPr>
                <w:sz w:val="18"/>
                <w:szCs w:val="18"/>
              </w:rPr>
              <w:t>Трансфери</w:t>
            </w:r>
            <w:r w:rsidRPr="00875569">
              <w:rPr>
                <w:sz w:val="18"/>
                <w:szCs w:val="18"/>
                <w:lang w:val="en-US"/>
              </w:rPr>
              <w:t xml:space="preserve"> </w:t>
            </w:r>
            <w:r w:rsidRPr="00875569">
              <w:rPr>
                <w:sz w:val="18"/>
                <w:szCs w:val="18"/>
              </w:rPr>
              <w:t>-</w:t>
            </w:r>
            <w:r w:rsidRPr="00875569">
              <w:rPr>
                <w:sz w:val="18"/>
                <w:szCs w:val="18"/>
                <w:lang w:val="en-US"/>
              </w:rPr>
              <w:t xml:space="preserve"> </w:t>
            </w:r>
            <w:r w:rsidRPr="00875569">
              <w:rPr>
                <w:sz w:val="18"/>
                <w:szCs w:val="18"/>
              </w:rPr>
              <w:t>нето</w:t>
            </w:r>
          </w:p>
        </w:tc>
        <w:tc>
          <w:tcPr>
            <w:tcW w:w="992" w:type="dxa"/>
            <w:tcBorders>
              <w:top w:val="single" w:sz="4" w:space="0" w:color="auto"/>
              <w:left w:val="nil"/>
              <w:bottom w:val="single" w:sz="4" w:space="0" w:color="auto"/>
              <w:right w:val="nil"/>
            </w:tcBorders>
            <w:shd w:val="clear" w:color="auto" w:fill="auto"/>
            <w:noWrap/>
            <w:vAlign w:val="bottom"/>
            <w:hideMark/>
          </w:tcPr>
          <w:p w14:paraId="12AE39E0" w14:textId="77777777" w:rsidR="00361BE3" w:rsidRPr="00286955" w:rsidRDefault="00361BE3" w:rsidP="00361BE3">
            <w:pPr>
              <w:rPr>
                <w:sz w:val="18"/>
                <w:szCs w:val="18"/>
              </w:rPr>
            </w:pPr>
          </w:p>
        </w:tc>
        <w:tc>
          <w:tcPr>
            <w:tcW w:w="1087" w:type="dxa"/>
            <w:tcBorders>
              <w:top w:val="single" w:sz="4" w:space="0" w:color="auto"/>
              <w:left w:val="nil"/>
              <w:bottom w:val="single" w:sz="4" w:space="0" w:color="auto"/>
              <w:right w:val="nil"/>
            </w:tcBorders>
            <w:shd w:val="clear" w:color="auto" w:fill="auto"/>
            <w:noWrap/>
            <w:vAlign w:val="bottom"/>
          </w:tcPr>
          <w:p w14:paraId="40EEFE0C" w14:textId="4A3DD767" w:rsidR="00361BE3" w:rsidRPr="00286955" w:rsidRDefault="00361BE3" w:rsidP="00361BE3">
            <w:pPr>
              <w:rPr>
                <w:color w:val="0070C0"/>
                <w:sz w:val="18"/>
                <w:szCs w:val="18"/>
              </w:rPr>
            </w:pPr>
          </w:p>
        </w:tc>
        <w:tc>
          <w:tcPr>
            <w:tcW w:w="1252" w:type="dxa"/>
            <w:tcBorders>
              <w:top w:val="single" w:sz="4" w:space="0" w:color="auto"/>
              <w:left w:val="nil"/>
              <w:bottom w:val="single" w:sz="4" w:space="0" w:color="auto"/>
              <w:right w:val="nil"/>
            </w:tcBorders>
            <w:shd w:val="clear" w:color="auto" w:fill="auto"/>
            <w:noWrap/>
            <w:vAlign w:val="bottom"/>
            <w:hideMark/>
          </w:tcPr>
          <w:p w14:paraId="2B94EAA0" w14:textId="7AF23804" w:rsidR="00361BE3" w:rsidRPr="00286955" w:rsidRDefault="00361BE3" w:rsidP="00361BE3">
            <w:pPr>
              <w:jc w:val="right"/>
              <w:rPr>
                <w:color w:val="0070C0"/>
                <w:sz w:val="18"/>
                <w:szCs w:val="18"/>
              </w:rPr>
            </w:pPr>
            <w:r w:rsidRPr="00286955">
              <w:rPr>
                <w:color w:val="000000"/>
                <w:sz w:val="18"/>
                <w:szCs w:val="18"/>
              </w:rPr>
              <w:t>-833,8</w:t>
            </w:r>
          </w:p>
        </w:tc>
        <w:tc>
          <w:tcPr>
            <w:tcW w:w="1199" w:type="dxa"/>
            <w:tcBorders>
              <w:top w:val="single" w:sz="4" w:space="0" w:color="auto"/>
              <w:left w:val="nil"/>
              <w:bottom w:val="single" w:sz="4" w:space="0" w:color="auto"/>
              <w:right w:val="nil"/>
            </w:tcBorders>
            <w:shd w:val="clear" w:color="auto" w:fill="auto"/>
            <w:noWrap/>
            <w:vAlign w:val="bottom"/>
            <w:hideMark/>
          </w:tcPr>
          <w:p w14:paraId="0AF9D4EB" w14:textId="152D8468" w:rsidR="00361BE3" w:rsidRPr="00286955" w:rsidRDefault="00361BE3" w:rsidP="00361BE3">
            <w:pPr>
              <w:jc w:val="right"/>
              <w:rPr>
                <w:color w:val="0070C0"/>
                <w:sz w:val="18"/>
                <w:szCs w:val="18"/>
              </w:rPr>
            </w:pPr>
            <w:r w:rsidRPr="00286955">
              <w:rPr>
                <w:color w:val="000000"/>
                <w:sz w:val="18"/>
                <w:szCs w:val="18"/>
              </w:rPr>
              <w:t>833,8</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D69F837" w14:textId="614C5D27" w:rsidR="00361BE3" w:rsidRPr="00286955" w:rsidRDefault="00361BE3" w:rsidP="00361BE3">
            <w:pPr>
              <w:rPr>
                <w:b/>
                <w:bCs/>
                <w:color w:val="0070C0"/>
                <w:sz w:val="18"/>
                <w:szCs w:val="18"/>
              </w:rPr>
            </w:pPr>
            <w:r w:rsidRPr="00286955">
              <w:rPr>
                <w:b/>
                <w:bCs/>
                <w:sz w:val="18"/>
                <w:szCs w:val="18"/>
              </w:rPr>
              <w:t> </w:t>
            </w:r>
          </w:p>
        </w:tc>
      </w:tr>
      <w:tr w:rsidR="00361BE3" w:rsidRPr="00BA4AB9" w14:paraId="1BA1FEDE" w14:textId="77777777" w:rsidTr="00E460C7">
        <w:trPr>
          <w:trHeight w:val="270"/>
        </w:trPr>
        <w:tc>
          <w:tcPr>
            <w:tcW w:w="4263" w:type="dxa"/>
            <w:tcBorders>
              <w:top w:val="nil"/>
              <w:left w:val="single" w:sz="8" w:space="0" w:color="auto"/>
              <w:bottom w:val="single" w:sz="8" w:space="0" w:color="auto"/>
              <w:right w:val="nil"/>
            </w:tcBorders>
            <w:shd w:val="clear" w:color="000000" w:fill="D9D9D9"/>
            <w:noWrap/>
            <w:vAlign w:val="bottom"/>
            <w:hideMark/>
          </w:tcPr>
          <w:p w14:paraId="7C9FFE95" w14:textId="77777777" w:rsidR="00361BE3" w:rsidRPr="00875569" w:rsidRDefault="00361BE3" w:rsidP="00361BE3">
            <w:pPr>
              <w:rPr>
                <w:b/>
                <w:bCs/>
                <w:sz w:val="18"/>
                <w:szCs w:val="18"/>
              </w:rPr>
            </w:pPr>
            <w:r w:rsidRPr="00875569">
              <w:rPr>
                <w:b/>
                <w:bCs/>
                <w:sz w:val="18"/>
                <w:szCs w:val="18"/>
              </w:rPr>
              <w:t>БЮДЖЕТНО САЛДО</w:t>
            </w:r>
          </w:p>
        </w:tc>
        <w:tc>
          <w:tcPr>
            <w:tcW w:w="992" w:type="dxa"/>
            <w:tcBorders>
              <w:top w:val="single" w:sz="4" w:space="0" w:color="auto"/>
              <w:left w:val="nil"/>
              <w:bottom w:val="single" w:sz="8" w:space="0" w:color="auto"/>
              <w:right w:val="nil"/>
            </w:tcBorders>
            <w:shd w:val="clear" w:color="auto" w:fill="auto"/>
            <w:noWrap/>
            <w:vAlign w:val="bottom"/>
            <w:hideMark/>
          </w:tcPr>
          <w:p w14:paraId="20F69730" w14:textId="47F13253" w:rsidR="00361BE3" w:rsidRPr="00286955" w:rsidRDefault="00361BE3" w:rsidP="00A574C9">
            <w:pPr>
              <w:jc w:val="right"/>
              <w:rPr>
                <w:b/>
                <w:bCs/>
                <w:sz w:val="18"/>
                <w:szCs w:val="18"/>
              </w:rPr>
            </w:pPr>
            <w:r w:rsidRPr="00286955">
              <w:rPr>
                <w:b/>
                <w:bCs/>
                <w:sz w:val="18"/>
                <w:szCs w:val="18"/>
              </w:rPr>
              <w:t>-</w:t>
            </w:r>
            <w:r w:rsidR="00A574C9">
              <w:rPr>
                <w:b/>
                <w:bCs/>
                <w:sz w:val="18"/>
                <w:szCs w:val="18"/>
              </w:rPr>
              <w:t>4</w:t>
            </w:r>
            <w:r w:rsidRPr="00286955">
              <w:rPr>
                <w:b/>
                <w:bCs/>
                <w:sz w:val="18"/>
                <w:szCs w:val="18"/>
              </w:rPr>
              <w:t xml:space="preserve"> </w:t>
            </w:r>
            <w:r w:rsidR="00A574C9">
              <w:rPr>
                <w:b/>
                <w:bCs/>
                <w:sz w:val="18"/>
                <w:szCs w:val="18"/>
              </w:rPr>
              <w:t>604</w:t>
            </w:r>
            <w:r w:rsidRPr="00286955">
              <w:rPr>
                <w:b/>
                <w:bCs/>
                <w:sz w:val="18"/>
                <w:szCs w:val="18"/>
              </w:rPr>
              <w:t>,</w:t>
            </w:r>
            <w:r w:rsidR="00A574C9">
              <w:rPr>
                <w:b/>
                <w:bCs/>
                <w:sz w:val="18"/>
                <w:szCs w:val="18"/>
              </w:rPr>
              <w:t>2</w:t>
            </w:r>
          </w:p>
        </w:tc>
        <w:tc>
          <w:tcPr>
            <w:tcW w:w="1087" w:type="dxa"/>
            <w:tcBorders>
              <w:top w:val="single" w:sz="4" w:space="0" w:color="auto"/>
              <w:left w:val="nil"/>
              <w:bottom w:val="single" w:sz="4" w:space="0" w:color="auto"/>
              <w:right w:val="nil"/>
            </w:tcBorders>
            <w:shd w:val="clear" w:color="auto" w:fill="auto"/>
            <w:noWrap/>
            <w:vAlign w:val="bottom"/>
            <w:hideMark/>
          </w:tcPr>
          <w:p w14:paraId="2F12C60F" w14:textId="6E6DF127" w:rsidR="00361BE3" w:rsidRPr="00286955" w:rsidRDefault="00361BE3" w:rsidP="00A574C9">
            <w:pPr>
              <w:jc w:val="right"/>
              <w:rPr>
                <w:b/>
                <w:bCs/>
                <w:color w:val="0070C0"/>
                <w:sz w:val="18"/>
                <w:szCs w:val="18"/>
              </w:rPr>
            </w:pPr>
            <w:r w:rsidRPr="00286955">
              <w:rPr>
                <w:b/>
                <w:bCs/>
                <w:sz w:val="18"/>
                <w:szCs w:val="18"/>
              </w:rPr>
              <w:t>-</w:t>
            </w:r>
            <w:r w:rsidR="00A574C9">
              <w:rPr>
                <w:b/>
                <w:bCs/>
                <w:sz w:val="18"/>
                <w:szCs w:val="18"/>
              </w:rPr>
              <w:t>3</w:t>
            </w:r>
            <w:r w:rsidRPr="00286955">
              <w:rPr>
                <w:b/>
                <w:bCs/>
                <w:sz w:val="18"/>
                <w:szCs w:val="18"/>
              </w:rPr>
              <w:t xml:space="preserve"> </w:t>
            </w:r>
            <w:r w:rsidR="00A574C9">
              <w:rPr>
                <w:b/>
                <w:bCs/>
                <w:sz w:val="18"/>
                <w:szCs w:val="18"/>
              </w:rPr>
              <w:t>910</w:t>
            </w:r>
            <w:r w:rsidRPr="00286955">
              <w:rPr>
                <w:b/>
                <w:bCs/>
                <w:sz w:val="18"/>
                <w:szCs w:val="18"/>
              </w:rPr>
              <w:t>,</w:t>
            </w:r>
            <w:r w:rsidR="00A574C9">
              <w:rPr>
                <w:b/>
                <w:bCs/>
                <w:sz w:val="18"/>
                <w:szCs w:val="18"/>
              </w:rPr>
              <w:t>4</w:t>
            </w:r>
          </w:p>
        </w:tc>
        <w:tc>
          <w:tcPr>
            <w:tcW w:w="1252" w:type="dxa"/>
            <w:tcBorders>
              <w:top w:val="single" w:sz="4" w:space="0" w:color="auto"/>
              <w:left w:val="nil"/>
              <w:bottom w:val="single" w:sz="4" w:space="0" w:color="auto"/>
              <w:right w:val="nil"/>
            </w:tcBorders>
            <w:shd w:val="clear" w:color="auto" w:fill="auto"/>
            <w:noWrap/>
            <w:vAlign w:val="bottom"/>
            <w:hideMark/>
          </w:tcPr>
          <w:p w14:paraId="7E44FB12" w14:textId="7CEACF9F" w:rsidR="00361BE3" w:rsidRPr="00286955" w:rsidRDefault="00361BE3" w:rsidP="00A574C9">
            <w:pPr>
              <w:jc w:val="right"/>
              <w:rPr>
                <w:b/>
                <w:bCs/>
                <w:color w:val="0070C0"/>
                <w:sz w:val="18"/>
                <w:szCs w:val="18"/>
              </w:rPr>
            </w:pPr>
            <w:r w:rsidRPr="00286955">
              <w:rPr>
                <w:b/>
                <w:bCs/>
                <w:color w:val="000000"/>
                <w:sz w:val="18"/>
                <w:szCs w:val="18"/>
              </w:rPr>
              <w:t>-</w:t>
            </w:r>
            <w:r w:rsidR="00A574C9">
              <w:rPr>
                <w:b/>
                <w:bCs/>
                <w:color w:val="000000"/>
                <w:sz w:val="18"/>
                <w:szCs w:val="18"/>
              </w:rPr>
              <w:t>4</w:t>
            </w:r>
            <w:r w:rsidRPr="00286955">
              <w:rPr>
                <w:b/>
                <w:bCs/>
                <w:color w:val="000000"/>
                <w:sz w:val="18"/>
                <w:szCs w:val="18"/>
              </w:rPr>
              <w:t xml:space="preserve"> </w:t>
            </w:r>
            <w:r w:rsidR="00A574C9">
              <w:rPr>
                <w:b/>
                <w:bCs/>
                <w:color w:val="000000"/>
                <w:sz w:val="18"/>
                <w:szCs w:val="18"/>
              </w:rPr>
              <w:t>033</w:t>
            </w:r>
            <w:r w:rsidRPr="00286955">
              <w:rPr>
                <w:b/>
                <w:bCs/>
                <w:color w:val="000000"/>
                <w:sz w:val="18"/>
                <w:szCs w:val="18"/>
              </w:rPr>
              <w:t>,</w:t>
            </w:r>
            <w:r w:rsidR="00A574C9">
              <w:rPr>
                <w:b/>
                <w:bCs/>
                <w:color w:val="000000"/>
                <w:sz w:val="18"/>
                <w:szCs w:val="18"/>
              </w:rPr>
              <w:t>5</w:t>
            </w:r>
          </w:p>
        </w:tc>
        <w:tc>
          <w:tcPr>
            <w:tcW w:w="1199" w:type="dxa"/>
            <w:tcBorders>
              <w:top w:val="single" w:sz="4" w:space="0" w:color="auto"/>
              <w:left w:val="nil"/>
              <w:bottom w:val="single" w:sz="4" w:space="0" w:color="auto"/>
              <w:right w:val="nil"/>
            </w:tcBorders>
            <w:shd w:val="clear" w:color="auto" w:fill="auto"/>
            <w:noWrap/>
            <w:vAlign w:val="bottom"/>
            <w:hideMark/>
          </w:tcPr>
          <w:p w14:paraId="3760E8A3" w14:textId="0B1A4D0A" w:rsidR="00361BE3" w:rsidRPr="00286955" w:rsidRDefault="00361BE3" w:rsidP="00361BE3">
            <w:pPr>
              <w:jc w:val="right"/>
              <w:rPr>
                <w:b/>
                <w:bCs/>
                <w:color w:val="0070C0"/>
                <w:sz w:val="18"/>
                <w:szCs w:val="18"/>
              </w:rPr>
            </w:pPr>
            <w:r w:rsidRPr="00286955">
              <w:rPr>
                <w:b/>
                <w:bCs/>
                <w:color w:val="000000"/>
                <w:sz w:val="18"/>
                <w:szCs w:val="18"/>
              </w:rPr>
              <w:t>123,1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BC97BE0" w14:textId="1E1D58EF" w:rsidR="00361BE3" w:rsidRPr="00286955" w:rsidRDefault="00361BE3" w:rsidP="00361BE3">
            <w:pPr>
              <w:rPr>
                <w:b/>
                <w:bCs/>
                <w:color w:val="0070C0"/>
                <w:sz w:val="18"/>
                <w:szCs w:val="18"/>
              </w:rPr>
            </w:pPr>
            <w:r w:rsidRPr="00286955">
              <w:rPr>
                <w:b/>
                <w:bCs/>
                <w:sz w:val="18"/>
                <w:szCs w:val="18"/>
              </w:rPr>
              <w:t> </w:t>
            </w:r>
          </w:p>
        </w:tc>
      </w:tr>
    </w:tbl>
    <w:p w14:paraId="577A0A91" w14:textId="77777777" w:rsidR="00A606F4" w:rsidRPr="00BA4AB9" w:rsidRDefault="00A606F4" w:rsidP="000B7CE5">
      <w:pPr>
        <w:ind w:left="360"/>
        <w:jc w:val="both"/>
        <w:rPr>
          <w:color w:val="0070C0"/>
          <w:sz w:val="22"/>
        </w:rPr>
      </w:pPr>
    </w:p>
    <w:p w14:paraId="1D19C2F8" w14:textId="48A6C47A" w:rsidR="000B7CE5" w:rsidRDefault="000B7CE5" w:rsidP="000B7CE5">
      <w:pPr>
        <w:numPr>
          <w:ilvl w:val="1"/>
          <w:numId w:val="11"/>
        </w:numPr>
        <w:tabs>
          <w:tab w:val="num" w:pos="426"/>
        </w:tabs>
        <w:ind w:left="0" w:firstLine="0"/>
        <w:jc w:val="both"/>
        <w:rPr>
          <w:rFonts w:eastAsia="Calibri"/>
          <w:color w:val="0070C0"/>
        </w:rPr>
      </w:pPr>
      <w:r w:rsidRPr="007E75F2">
        <w:rPr>
          <w:b/>
        </w:rPr>
        <w:t>Приходите, помощите и даренията по консолидираната фискална програма</w:t>
      </w:r>
      <w:r w:rsidRPr="007E75F2">
        <w:t xml:space="preserve"> (КФП) за 2021 г. са в размер на </w:t>
      </w:r>
      <w:r w:rsidRPr="007E75F2">
        <w:rPr>
          <w:b/>
          <w:bCs/>
        </w:rPr>
        <w:t>52 340,</w:t>
      </w:r>
      <w:r w:rsidR="0014244B">
        <w:rPr>
          <w:b/>
          <w:bCs/>
        </w:rPr>
        <w:t>1</w:t>
      </w:r>
      <w:r w:rsidRPr="007E75F2">
        <w:rPr>
          <w:b/>
          <w:bCs/>
        </w:rPr>
        <w:t> </w:t>
      </w:r>
      <w:r w:rsidRPr="007E75F2">
        <w:rPr>
          <w:b/>
        </w:rPr>
        <w:t>млн. лв.,</w:t>
      </w:r>
      <w:r w:rsidRPr="007E75F2">
        <w:t xml:space="preserve"> което представлява </w:t>
      </w:r>
      <w:r w:rsidRPr="007E75F2">
        <w:rPr>
          <w:bCs/>
        </w:rPr>
        <w:t>103,5 % спрямо актуализираните</w:t>
      </w:r>
      <w:r w:rsidRPr="007E75F2">
        <w:rPr>
          <w:b/>
          <w:bCs/>
        </w:rPr>
        <w:t xml:space="preserve"> </w:t>
      </w:r>
      <w:r w:rsidRPr="007E75F2">
        <w:t xml:space="preserve">годишни разчети към ЗДБРБ за 2021 г. </w:t>
      </w:r>
      <w:r w:rsidRPr="008E4A49">
        <w:rPr>
          <w:rFonts w:eastAsia="Calibri"/>
        </w:rPr>
        <w:t xml:space="preserve">Съпоставени </w:t>
      </w:r>
      <w:r>
        <w:rPr>
          <w:rFonts w:eastAsia="Calibri"/>
        </w:rPr>
        <w:t>с</w:t>
      </w:r>
      <w:r w:rsidRPr="008E4A49">
        <w:rPr>
          <w:rFonts w:eastAsia="Calibri"/>
        </w:rPr>
        <w:t xml:space="preserve"> предходната година, постъпленията нарастват с 8,0 млрд. лв. (18,1 %). Ръст се отчита, както при данъчните приходи, така и при неданъчните постъпления и приходите в частта на помощите и даренията, където постъпват основно грантовете по програмите и фондовете на ЕС</w:t>
      </w:r>
      <w:r>
        <w:rPr>
          <w:rFonts w:eastAsia="Calibri"/>
        </w:rPr>
        <w:t xml:space="preserve"> </w:t>
      </w:r>
      <w:r>
        <w:rPr>
          <w:rFonts w:eastAsia="Batang"/>
          <w:bCs/>
        </w:rPr>
        <w:t xml:space="preserve">и други </w:t>
      </w:r>
      <w:r>
        <w:rPr>
          <w:rFonts w:eastAsia="Batang"/>
          <w:bCs/>
        </w:rPr>
        <w:lastRenderedPageBreak/>
        <w:t>безвъзмездни средства</w:t>
      </w:r>
      <w:r w:rsidRPr="008E4A49">
        <w:rPr>
          <w:rFonts w:eastAsia="Calibri"/>
        </w:rPr>
        <w:t xml:space="preserve">. </w:t>
      </w:r>
      <w:r w:rsidRPr="00087F6B">
        <w:rPr>
          <w:rFonts w:eastAsia="Calibri"/>
        </w:rPr>
        <w:t xml:space="preserve">Спрямо актуализираните разчети към ЗИД на ЗДБРБ за 2021 г. от септември 2021 г. преизпълнението </w:t>
      </w:r>
      <w:r w:rsidRPr="004F0CA5">
        <w:rPr>
          <w:rFonts w:eastAsia="Calibri"/>
        </w:rPr>
        <w:t xml:space="preserve">е </w:t>
      </w:r>
      <w:r>
        <w:rPr>
          <w:rFonts w:eastAsia="Calibri"/>
        </w:rPr>
        <w:t xml:space="preserve">близо </w:t>
      </w:r>
      <w:r w:rsidRPr="004F0CA5">
        <w:rPr>
          <w:rFonts w:eastAsia="Calibri"/>
        </w:rPr>
        <w:t>1,8 млрд</w:t>
      </w:r>
      <w:r w:rsidRPr="00087F6B">
        <w:rPr>
          <w:rFonts w:eastAsia="Calibri"/>
        </w:rPr>
        <w:t>. лева</w:t>
      </w:r>
      <w:r w:rsidRPr="00BA4AB9">
        <w:rPr>
          <w:rFonts w:eastAsia="Calibri"/>
          <w:color w:val="0070C0"/>
        </w:rPr>
        <w:t>.</w:t>
      </w:r>
    </w:p>
    <w:p w14:paraId="00595CAB" w14:textId="77777777" w:rsidR="000B7CE5" w:rsidRPr="004868D9" w:rsidRDefault="000B7CE5" w:rsidP="000B7CE5">
      <w:pPr>
        <w:tabs>
          <w:tab w:val="num" w:pos="2880"/>
        </w:tabs>
        <w:spacing w:before="120"/>
        <w:jc w:val="both"/>
        <w:rPr>
          <w:rFonts w:eastAsia="Calibri"/>
        </w:rPr>
      </w:pPr>
      <w:r w:rsidRPr="004868D9">
        <w:rPr>
          <w:rFonts w:eastAsia="Calibri"/>
        </w:rPr>
        <w:t>В частта на приходите по националния бюджет най-значителен номинален ръст спрямо предходната година има при данъчно-осигурителните приходи (5,0 млрд. лв.). Съпоставено с актуализираните разчети към ЗДБРБ за 2021 г. превишение на плана за годината има при повечето от основните данъци и при приходите от здравноосигурителни вноски.</w:t>
      </w:r>
    </w:p>
    <w:p w14:paraId="7F44C4EA" w14:textId="02733ABF" w:rsidR="000B7CE5" w:rsidRPr="000D170D" w:rsidRDefault="000B7CE5" w:rsidP="000B7CE5">
      <w:pPr>
        <w:spacing w:before="120"/>
        <w:jc w:val="both"/>
      </w:pPr>
      <w:r w:rsidRPr="000D170D">
        <w:t>Общата сума</w:t>
      </w:r>
      <w:r w:rsidRPr="000D170D">
        <w:rPr>
          <w:b/>
        </w:rPr>
        <w:t xml:space="preserve"> </w:t>
      </w:r>
      <w:r w:rsidRPr="000D170D">
        <w:t>на</w:t>
      </w:r>
      <w:r w:rsidRPr="000D170D">
        <w:rPr>
          <w:b/>
        </w:rPr>
        <w:t xml:space="preserve"> </w:t>
      </w:r>
      <w:r w:rsidRPr="000D170D">
        <w:rPr>
          <w:b/>
          <w:i/>
        </w:rPr>
        <w:t>данъчните постъпления</w:t>
      </w:r>
      <w:r w:rsidRPr="000D170D">
        <w:t xml:space="preserve"> (вкл. приходите от осигурителни вноски) са в размер на </w:t>
      </w:r>
      <w:r w:rsidRPr="000D170D">
        <w:rPr>
          <w:b/>
          <w:i/>
        </w:rPr>
        <w:t>40 876,3 млн. лв</w:t>
      </w:r>
      <w:r w:rsidRPr="000D170D">
        <w:rPr>
          <w:i/>
        </w:rPr>
        <w:t>.</w:t>
      </w:r>
      <w:r w:rsidRPr="000D170D">
        <w:t xml:space="preserve">, което представлява 78,1 % от общите постъпления по КФП за периода. Постъпленията в групата представляват 103,7 % спрямо разчета за годината и нарастват с 5,0 млрд. лв. (14,0 %) спрямо отчетените за 2020 година. </w:t>
      </w:r>
    </w:p>
    <w:p w14:paraId="0C433914" w14:textId="44113ABF" w:rsidR="000B7CE5" w:rsidRPr="00BA4AB9" w:rsidRDefault="000B7CE5" w:rsidP="000B7CE5">
      <w:pPr>
        <w:spacing w:before="120"/>
        <w:jc w:val="both"/>
        <w:rPr>
          <w:color w:val="0070C0"/>
        </w:rPr>
      </w:pPr>
      <w:r w:rsidRPr="00E969CD">
        <w:t xml:space="preserve">Приходите в частта на </w:t>
      </w:r>
      <w:r w:rsidRPr="00E969CD">
        <w:rPr>
          <w:i/>
        </w:rPr>
        <w:t xml:space="preserve">преките данъци </w:t>
      </w:r>
      <w:r w:rsidRPr="00E969CD">
        <w:t>възлизат на 8 258,4 млн. лв., което представлява 10</w:t>
      </w:r>
      <w:r w:rsidR="0014244B">
        <w:t>7</w:t>
      </w:r>
      <w:r w:rsidRPr="00E969CD">
        <w:t>,</w:t>
      </w:r>
      <w:r w:rsidR="0014244B">
        <w:t>4</w:t>
      </w:r>
      <w:r w:rsidRPr="00E969CD">
        <w:t> % спрямо разчета за 2021 г. Съпоставени с 2020 г., преките данъци нарастват с 19,5 % (1 344,8 млн. лв.).</w:t>
      </w:r>
      <w:r w:rsidRPr="00E969CD">
        <w:rPr>
          <w:rFonts w:ascii="Arial" w:hAnsi="Arial" w:cs="Arial"/>
        </w:rPr>
        <w:t xml:space="preserve"> </w:t>
      </w:r>
      <w:r w:rsidRPr="00FD308A">
        <w:t xml:space="preserve">Приходите от </w:t>
      </w:r>
      <w:r w:rsidRPr="00FD308A">
        <w:rPr>
          <w:i/>
        </w:rPr>
        <w:t>косвени данъци</w:t>
      </w:r>
      <w:r w:rsidRPr="00FD308A">
        <w:t xml:space="preserve"> са в размер на 18 976,3  млн. лв., което представлява 104,2 </w:t>
      </w:r>
      <w:r w:rsidRPr="00652926">
        <w:t>% спрямо годишния разчет. Съпоставени с 2020 г., косвените данъци  отчитат увеличение от 13,5 % (2 </w:t>
      </w:r>
      <w:r w:rsidRPr="00867B94">
        <w:t xml:space="preserve">253,9 млн. лв.). Постъпленията от </w:t>
      </w:r>
      <w:r w:rsidRPr="00867B94">
        <w:rPr>
          <w:i/>
        </w:rPr>
        <w:t>други данъци</w:t>
      </w:r>
      <w:r w:rsidRPr="00867B94">
        <w:t xml:space="preserve"> (включват други данъци по ЗКПО, имуществени данъци и др.) са 1 411,7 млн. лв., което представлява 113,4 % спрямо разчетите към ЗДБРБ за 2021 г. и сравнени с 2020 г. нарастват с 17,3 % (20</w:t>
      </w:r>
      <w:r w:rsidRPr="00263586">
        <w:t xml:space="preserve">7,8 млн. лв.). Приходите от </w:t>
      </w:r>
      <w:r w:rsidRPr="00263586">
        <w:rPr>
          <w:b/>
          <w:i/>
        </w:rPr>
        <w:t>социалноосигурителни и здравни вноски</w:t>
      </w:r>
      <w:r w:rsidRPr="00263586">
        <w:rPr>
          <w:b/>
        </w:rPr>
        <w:t xml:space="preserve"> </w:t>
      </w:r>
      <w:r w:rsidRPr="00263586">
        <w:t xml:space="preserve">към 31.12.2021 г. са в размер на 12 229,9 млн. лв. или 99,6 % от планираните за годината, като </w:t>
      </w:r>
      <w:r w:rsidR="0014244B">
        <w:t xml:space="preserve">спрямо </w:t>
      </w:r>
      <w:r w:rsidRPr="00263586">
        <w:t xml:space="preserve">предходната година нарастват с 1 221,5 млн. лева. (11,1 %). </w:t>
      </w:r>
    </w:p>
    <w:p w14:paraId="09F15DB4" w14:textId="60A18A21" w:rsidR="000B7CE5" w:rsidRPr="00F10B9D" w:rsidRDefault="000B7CE5" w:rsidP="000B7CE5">
      <w:pPr>
        <w:spacing w:before="120"/>
        <w:jc w:val="both"/>
      </w:pPr>
      <w:r w:rsidRPr="00F10B9D">
        <w:rPr>
          <w:b/>
          <w:bCs/>
          <w:i/>
          <w:iCs/>
        </w:rPr>
        <w:t>Неданъчните приходи</w:t>
      </w:r>
      <w:r w:rsidRPr="00F10B9D">
        <w:rPr>
          <w:b/>
          <w:bCs/>
          <w:iCs/>
        </w:rPr>
        <w:t xml:space="preserve"> </w:t>
      </w:r>
      <w:r w:rsidRPr="00F10B9D">
        <w:t xml:space="preserve">са в размер на </w:t>
      </w:r>
      <w:r w:rsidRPr="00F10B9D">
        <w:rPr>
          <w:b/>
          <w:i/>
        </w:rPr>
        <w:t xml:space="preserve">8 000,4 </w:t>
      </w:r>
      <w:r w:rsidRPr="00F10B9D">
        <w:rPr>
          <w:b/>
          <w:bCs/>
          <w:i/>
        </w:rPr>
        <w:t>млн. лв.</w:t>
      </w:r>
      <w:r w:rsidRPr="00F10B9D">
        <w:rPr>
          <w:b/>
          <w:bCs/>
        </w:rPr>
        <w:t>,</w:t>
      </w:r>
      <w:r w:rsidRPr="00F10B9D">
        <w:rPr>
          <w:b/>
          <w:i/>
        </w:rPr>
        <w:t xml:space="preserve"> </w:t>
      </w:r>
      <w:r w:rsidRPr="00F10B9D">
        <w:t>което представлява 118,4 %</w:t>
      </w:r>
      <w:r w:rsidRPr="00F10B9D">
        <w:rPr>
          <w:b/>
          <w:i/>
        </w:rPr>
        <w:t xml:space="preserve"> </w:t>
      </w:r>
      <w:r w:rsidRPr="00F10B9D">
        <w:t>спрямо</w:t>
      </w:r>
      <w:r w:rsidRPr="00F10B9D">
        <w:rPr>
          <w:b/>
          <w:i/>
        </w:rPr>
        <w:t xml:space="preserve"> </w:t>
      </w:r>
      <w:r w:rsidRPr="00F10B9D">
        <w:t>годишните разчети</w:t>
      </w:r>
      <w:r w:rsidRPr="00F10B9D">
        <w:rPr>
          <w:lang w:val="ru-RU"/>
        </w:rPr>
        <w:t xml:space="preserve"> </w:t>
      </w:r>
      <w:r w:rsidRPr="00F10B9D">
        <w:t xml:space="preserve">и се формират основно от приходи от държавни, общински и съдебни такси, приходи и доходи от собственост, приходи от концесии, приходи от продажба на квоти за емисии на парникови газове и други. </w:t>
      </w:r>
      <w:r w:rsidRPr="00F10B9D">
        <w:rPr>
          <w:rFonts w:eastAsia="Calibri"/>
        </w:rPr>
        <w:t>През месец април 2021 г. постъпиха приходи с еднократен за годината ефект в размер на 660 млн. лв. с ДДС, които представляват първоначално концесионно възнаграждение за държавата от концесията на Летище София. Постъпленията от продажба на квоти за емисии на парникови газове към месец декември 2021 г. са в размер на 1 629,3 млн. лв., като нарастват със 751,4 млн</w:t>
      </w:r>
      <w:r w:rsidR="00AE40FD">
        <w:rPr>
          <w:rFonts w:eastAsia="Calibri"/>
        </w:rPr>
        <w:t>.</w:t>
      </w:r>
      <w:r w:rsidRPr="00F10B9D">
        <w:rPr>
          <w:rFonts w:eastAsia="Calibri"/>
        </w:rPr>
        <w:t xml:space="preserve"> лв. </w:t>
      </w:r>
      <w:r w:rsidRPr="00F10B9D">
        <w:rPr>
          <w:rFonts w:eastAsia="Calibri"/>
          <w:lang w:val="ru-RU"/>
        </w:rPr>
        <w:t xml:space="preserve">(85,6 %) </w:t>
      </w:r>
      <w:r w:rsidRPr="00F10B9D">
        <w:rPr>
          <w:rFonts w:eastAsia="Calibri"/>
        </w:rPr>
        <w:t>спрямо 2020 г</w:t>
      </w:r>
      <w:r w:rsidRPr="00F10B9D">
        <w:t xml:space="preserve">. </w:t>
      </w:r>
    </w:p>
    <w:p w14:paraId="0BA48707" w14:textId="77777777" w:rsidR="000B7CE5" w:rsidRPr="00186496" w:rsidRDefault="000B7CE5" w:rsidP="000B7CE5">
      <w:pPr>
        <w:spacing w:before="120" w:after="120"/>
        <w:jc w:val="both"/>
      </w:pPr>
      <w:r w:rsidRPr="00186496">
        <w:t xml:space="preserve">Постъпленията от </w:t>
      </w:r>
      <w:r w:rsidRPr="00186496">
        <w:rPr>
          <w:b/>
          <w:i/>
        </w:rPr>
        <w:t>помощи</w:t>
      </w:r>
      <w:r w:rsidRPr="00186496">
        <w:t xml:space="preserve"> </w:t>
      </w:r>
      <w:r w:rsidRPr="00186496">
        <w:rPr>
          <w:b/>
          <w:i/>
        </w:rPr>
        <w:t xml:space="preserve">и дарения </w:t>
      </w:r>
      <w:r w:rsidRPr="00186496">
        <w:t xml:space="preserve">от страната и чужбина (основно помощи от фондовете на ЕС) за 2021 г. са в размер на </w:t>
      </w:r>
      <w:r w:rsidRPr="00186496">
        <w:rPr>
          <w:b/>
          <w:i/>
        </w:rPr>
        <w:t>3 463,4 млн. лева</w:t>
      </w:r>
      <w:r w:rsidRPr="00186496">
        <w:rPr>
          <w:b/>
        </w:rPr>
        <w:t>.</w:t>
      </w:r>
      <w:r w:rsidRPr="00186496">
        <w:t xml:space="preserve"> </w:t>
      </w:r>
    </w:p>
    <w:p w14:paraId="5FEBA9BC" w14:textId="77777777" w:rsidR="00E10F4D" w:rsidRPr="00B0032C" w:rsidRDefault="00E10F4D" w:rsidP="00B0032C">
      <w:pPr>
        <w:numPr>
          <w:ilvl w:val="1"/>
          <w:numId w:val="11"/>
        </w:numPr>
        <w:tabs>
          <w:tab w:val="num" w:pos="426"/>
        </w:tabs>
        <w:ind w:left="0" w:firstLine="0"/>
        <w:jc w:val="both"/>
      </w:pPr>
      <w:r w:rsidRPr="00B0032C">
        <w:rPr>
          <w:b/>
        </w:rPr>
        <w:t xml:space="preserve">Разходите по КФП </w:t>
      </w:r>
      <w:r w:rsidRPr="00B0032C">
        <w:t>(вкл. вноската на Република България в бюджета на ЕС) към декември 2021 г. възлизат на</w:t>
      </w:r>
      <w:r w:rsidRPr="00B0032C">
        <w:rPr>
          <w:b/>
        </w:rPr>
        <w:t xml:space="preserve"> 56 250,5 млн. лв</w:t>
      </w:r>
      <w:r w:rsidRPr="00B0032C">
        <w:t xml:space="preserve">., което е 102,0 % спрямо актуализирания разчет за годината. Превишението на разчета към ЗДБРБ за 2021 г. се дължи основно на одобрените от Народното събрание по реда на чл. 26, ал. 10 от Закона за публичните финанси допълнителни разходи и трансфери по държавния бюджет в общ размер на 1,2 млрд. лв. за сметка на преизпълнение на данъчните приходи. </w:t>
      </w:r>
    </w:p>
    <w:p w14:paraId="6EDB880E" w14:textId="3ABF492D" w:rsidR="00E10F4D" w:rsidRPr="00945D4C" w:rsidRDefault="00E10F4D" w:rsidP="00B0032C">
      <w:pPr>
        <w:tabs>
          <w:tab w:val="num" w:pos="2880"/>
        </w:tabs>
        <w:spacing w:before="120"/>
        <w:jc w:val="both"/>
        <w:rPr>
          <w:rFonts w:eastAsia="Calibri"/>
        </w:rPr>
      </w:pPr>
      <w:r w:rsidRPr="000841AA">
        <w:rPr>
          <w:rFonts w:eastAsia="Calibri"/>
        </w:rPr>
        <w:t xml:space="preserve">Отчита се значителен ръст на разходите спрямо предходната </w:t>
      </w:r>
      <w:r w:rsidRPr="00B725EE">
        <w:rPr>
          <w:rFonts w:eastAsia="Calibri"/>
        </w:rPr>
        <w:t>година (17,6 на сто),</w:t>
      </w:r>
      <w:r w:rsidRPr="000841AA">
        <w:rPr>
          <w:rFonts w:eastAsia="Calibri"/>
        </w:rPr>
        <w:t xml:space="preserve"> който е свързан, от една страна</w:t>
      </w:r>
      <w:r>
        <w:rPr>
          <w:rFonts w:eastAsia="Calibri"/>
        </w:rPr>
        <w:t>,</w:t>
      </w:r>
      <w:r w:rsidRPr="000841AA">
        <w:rPr>
          <w:rFonts w:eastAsia="Calibri"/>
        </w:rPr>
        <w:t xml:space="preserve"> с по-ниската база през 2020 г., когато отчетените разходи за борба с пандемията от COVID-19 бяха значително по-ниски, докато през 2021 г. тези разходи са съществени и са за цяла година, и от друга страна - на политиката по доходите, политиките в социалната сфера и по-високите разходи за администрацията, заложени в ЗДБРБ за 2021 година.</w:t>
      </w:r>
      <w:r w:rsidR="00945D4C" w:rsidRPr="00B0032C">
        <w:rPr>
          <w:rFonts w:eastAsia="Calibri"/>
        </w:rPr>
        <w:t xml:space="preserve"> </w:t>
      </w:r>
      <w:r w:rsidR="00945D4C" w:rsidRPr="00945D4C">
        <w:rPr>
          <w:rFonts w:eastAsia="Calibri"/>
        </w:rPr>
        <w:t>Наред с това върху размера на разходите през 2021 г. влияние оказаха</w:t>
      </w:r>
      <w:r w:rsidR="00945D4C" w:rsidRPr="00B0032C">
        <w:rPr>
          <w:rFonts w:eastAsia="Calibri"/>
        </w:rPr>
        <w:t xml:space="preserve"> и </w:t>
      </w:r>
      <w:r w:rsidR="00945D4C" w:rsidRPr="00945D4C">
        <w:rPr>
          <w:rFonts w:eastAsia="Calibri"/>
        </w:rPr>
        <w:t>средствата, осигурени за изпълнението на одобрените от правителството програми за компенсиране на потребителите на електрическа енергия за високите цени на електричеството</w:t>
      </w:r>
      <w:r w:rsidR="00945D4C">
        <w:rPr>
          <w:rFonts w:eastAsia="Calibri"/>
        </w:rPr>
        <w:t>.</w:t>
      </w:r>
    </w:p>
    <w:p w14:paraId="76FF7D77" w14:textId="734C48FD" w:rsidR="00E10F4D" w:rsidRPr="00980B71" w:rsidRDefault="00E10F4D" w:rsidP="00B0032C">
      <w:pPr>
        <w:tabs>
          <w:tab w:val="num" w:pos="2880"/>
        </w:tabs>
        <w:spacing w:before="120" w:after="120"/>
        <w:jc w:val="both"/>
        <w:rPr>
          <w:rFonts w:eastAsia="Calibri"/>
        </w:rPr>
      </w:pPr>
      <w:r w:rsidRPr="00980B71">
        <w:rPr>
          <w:rFonts w:eastAsia="Calibri"/>
        </w:rPr>
        <w:t xml:space="preserve">Разгледани по икономически елементи, най-значително нарастване се отчита при социалните и здравноосигурителните разходи. В частта на разходите за пенсии са изразходени </w:t>
      </w:r>
      <w:r w:rsidRPr="0095586F">
        <w:rPr>
          <w:rFonts w:eastAsia="Calibri"/>
        </w:rPr>
        <w:t>1,7</w:t>
      </w:r>
      <w:r w:rsidRPr="00980B71">
        <w:rPr>
          <w:rFonts w:eastAsia="Calibri"/>
        </w:rPr>
        <w:t xml:space="preserve"> млрд. лв. за добавки към пенсиите на всички пенсионери (в размер на 50 лева за месеците от януари до септември и 120 лева за месеците от октомври до декември). Освен това</w:t>
      </w:r>
      <w:r>
        <w:rPr>
          <w:rFonts w:eastAsia="Calibri"/>
        </w:rPr>
        <w:t>,</w:t>
      </w:r>
      <w:r w:rsidRPr="00980B71">
        <w:rPr>
          <w:rFonts w:eastAsia="Calibri"/>
        </w:rPr>
        <w:t xml:space="preserve"> в изпълнение на </w:t>
      </w:r>
      <w:r w:rsidRPr="00B0032C">
        <w:rPr>
          <w:rFonts w:eastAsia="Calibri"/>
        </w:rPr>
        <w:t>Решение на Народното събрание от 23.12.2021 г. за одобряване на допълнителни разходи и трансфери по държавния бюджет за 2021 г. за сметка на пре</w:t>
      </w:r>
      <w:r w:rsidR="00945D4C" w:rsidRPr="00B0032C">
        <w:rPr>
          <w:rFonts w:eastAsia="Calibri"/>
        </w:rPr>
        <w:t xml:space="preserve">изпълнение на данъчните приходи </w:t>
      </w:r>
      <w:r w:rsidRPr="00B0032C">
        <w:rPr>
          <w:rFonts w:eastAsia="Calibri"/>
        </w:rPr>
        <w:lastRenderedPageBreak/>
        <w:t>(ДВ, бр. 110 от 24.12.2021 г.)</w:t>
      </w:r>
      <w:r w:rsidRPr="00980B71">
        <w:rPr>
          <w:rFonts w:eastAsia="Calibri"/>
        </w:rPr>
        <w:t xml:space="preserve"> бяха обезпечени 750 млн. лв. за изплащане на добавки към пенсиите на всички пенсионери в размер на 60 лева за първите </w:t>
      </w:r>
      <w:r>
        <w:rPr>
          <w:rFonts w:eastAsia="Calibri"/>
        </w:rPr>
        <w:t>шест</w:t>
      </w:r>
      <w:r w:rsidRPr="00980B71">
        <w:rPr>
          <w:rFonts w:eastAsia="Calibri"/>
        </w:rPr>
        <w:t xml:space="preserve"> месеца на 2022 г. Наред с това, влияние върху разходите за пенсии оказа и увеличението на размера на минималната пенсия за осигурителен стаж и възраст и на максималния размер на пенсията от началото на годината, базов ефект от увеличението на пенсиите през юли 2020 г., както и увеличението от месец юли 2021 година. Във връзка с посочените фактори разходите за пенсии отчитат номинален ръст спрямо 2020 г. от 3,1 млрд. лева.</w:t>
      </w:r>
    </w:p>
    <w:p w14:paraId="427D2C27" w14:textId="77777777" w:rsidR="00E10F4D" w:rsidRPr="000B1BDC" w:rsidRDefault="00E10F4D" w:rsidP="00E10F4D">
      <w:pPr>
        <w:spacing w:after="120"/>
        <w:jc w:val="both"/>
        <w:rPr>
          <w:rFonts w:eastAsia="Calibri"/>
        </w:rPr>
      </w:pPr>
      <w:r w:rsidRPr="000B1BDC">
        <w:rPr>
          <w:rFonts w:eastAsia="Calibri"/>
        </w:rPr>
        <w:t>В частта на здравноосигурителните разходи се отчита нарастване</w:t>
      </w:r>
      <w:r>
        <w:rPr>
          <w:rFonts w:eastAsia="Calibri"/>
        </w:rPr>
        <w:t xml:space="preserve"> </w:t>
      </w:r>
      <w:r w:rsidRPr="009477B3">
        <w:rPr>
          <w:rFonts w:eastAsia="Calibri"/>
        </w:rPr>
        <w:t>с 0,6 млрд. лв.,</w:t>
      </w:r>
      <w:r w:rsidRPr="000B1BDC">
        <w:rPr>
          <w:rFonts w:eastAsia="Calibri"/>
        </w:rPr>
        <w:t xml:space="preserve"> свързано с по-високите разходи за борба с пандемията и въведените механизми за финансиране на здравните заведения по време на действието на извънредна епидемична обстановка: разходи за медикаменти, тестове, консумативи и предпазни средства, средства за подкрепа на персонала на първа линия в борбата с COVID-19, заплащане на изпълнителите на медицинска помощ за поставяне на ваксини срещу COVID-19, месечна добавка към възнагражденията на лекарите в размер на 600 лв., на специалисти от професионално направление „Здравни грижи“ в размер на 360 лв. и на санитари в размер на 120 лв. и други. </w:t>
      </w:r>
    </w:p>
    <w:p w14:paraId="571399A0" w14:textId="77777777" w:rsidR="00E10F4D" w:rsidRPr="00E77322" w:rsidRDefault="00E10F4D" w:rsidP="00E10F4D">
      <w:pPr>
        <w:spacing w:after="120"/>
        <w:jc w:val="both"/>
        <w:rPr>
          <w:rFonts w:eastAsia="Calibri"/>
        </w:rPr>
      </w:pPr>
      <w:r w:rsidRPr="00DE5EE7">
        <w:rPr>
          <w:rFonts w:eastAsia="Calibri"/>
        </w:rPr>
        <w:t xml:space="preserve">Значителен номинален ръст от </w:t>
      </w:r>
      <w:r w:rsidRPr="00F46814">
        <w:rPr>
          <w:rFonts w:eastAsia="Calibri"/>
        </w:rPr>
        <w:t>близо 2,7</w:t>
      </w:r>
      <w:r w:rsidRPr="00DE5EE7">
        <w:rPr>
          <w:rFonts w:eastAsia="Calibri"/>
        </w:rPr>
        <w:t xml:space="preserve"> млрд. лв. се отчита и при разходите за субсидии за нефинансови предприятия, за което допринасят основно плащанията по Програма за компенсиране на небитовите крайни клиенти на електрическа енергия, разходите на Фонд „Сигурност на елект</w:t>
      </w:r>
      <w:r>
        <w:rPr>
          <w:rFonts w:eastAsia="Calibri"/>
        </w:rPr>
        <w:t>р</w:t>
      </w:r>
      <w:r w:rsidRPr="00DE5EE7">
        <w:rPr>
          <w:rFonts w:eastAsia="Calibri"/>
        </w:rPr>
        <w:t xml:space="preserve">оенергийната система“, плащанията по мярката „60/40“, мярката „80/20“, мярката „Запази ме“, мярката „Подкрепа чрез оборотен капитал за малки и средни предприятия, засегнати от временните противоепидемични мерки“, администрирана от НАП, и други. </w:t>
      </w:r>
      <w:r w:rsidRPr="00AD5FB3">
        <w:rPr>
          <w:rFonts w:eastAsia="Calibri"/>
        </w:rPr>
        <w:t>През 2021 г. се изпълнява Програма за компенсиране на небитовите крайни клиенти на електрическа енергия, одобрена с Решение № 739 на Министерския съвет от 2021 г., изменена с Решения № 771 и № 885 на Министерския съвет от 2021 г. и Програма за компенсиране на разходите на операторите на електропреносната и електроразпределителните мрежи за закупуване на количествата електрическа енергия, потребена за технологични разходи, одобрена с Решение № 893 на Министерския съвет от 2021 г., като се предвижда двете програми да продължат да се прилагат до март 2022 г. Възможно е  програмите да бъдат преработени и допълнени. В тази връзка обезпечените средства за компенсиране на небитовите потребители на електрическа енергия за справяне с последиците от съществените и неблагоприятни колебания на цените на електрическата енергия до края на 2021 г. са в общ размер на над 1,3 млрд. лв., вкл. 0,45 млрд. лв. в изпълнение на Решение на Народното събрание за одобряване на допълнителни разходи и трансфери по държавния бюджет за 2021 г. за сметка на преизпълнението на данъчните приходи за 2021 г., за плащания през първото тримесечие на 2022 година.</w:t>
      </w:r>
      <w:r>
        <w:rPr>
          <w:rFonts w:eastAsia="Calibri"/>
        </w:rPr>
        <w:t xml:space="preserve"> </w:t>
      </w:r>
      <w:r w:rsidRPr="00B55C4B">
        <w:rPr>
          <w:rFonts w:eastAsia="Calibri"/>
        </w:rPr>
        <w:t>Ръст спрямо 2020 г. се отчита и в частта на предоставените субсидии за болнична помощ, където разходите нарастват с 0,2 млрд. л</w:t>
      </w:r>
      <w:r>
        <w:rPr>
          <w:rFonts w:eastAsia="Calibri"/>
        </w:rPr>
        <w:t>е</w:t>
      </w:r>
      <w:r w:rsidRPr="00B55C4B">
        <w:rPr>
          <w:rFonts w:eastAsia="Calibri"/>
        </w:rPr>
        <w:t>в</w:t>
      </w:r>
      <w:r>
        <w:rPr>
          <w:rFonts w:eastAsia="Calibri"/>
        </w:rPr>
        <w:t>а</w:t>
      </w:r>
    </w:p>
    <w:p w14:paraId="25F97794" w14:textId="77777777" w:rsidR="00E10F4D" w:rsidRPr="00E13ABF" w:rsidRDefault="00E10F4D" w:rsidP="00E10F4D">
      <w:pPr>
        <w:spacing w:after="120"/>
        <w:jc w:val="both"/>
      </w:pPr>
      <w:r w:rsidRPr="00E13ABF">
        <w:rPr>
          <w:b/>
          <w:i/>
        </w:rPr>
        <w:t>Нелихвените разходи</w:t>
      </w:r>
      <w:r w:rsidRPr="00E13ABF">
        <w:t xml:space="preserve"> за </w:t>
      </w:r>
      <w:r>
        <w:t>2021 г.</w:t>
      </w:r>
      <w:r w:rsidRPr="00E13ABF">
        <w:t xml:space="preserve"> са в размер на </w:t>
      </w:r>
      <w:r>
        <w:t>53 941,0</w:t>
      </w:r>
      <w:r w:rsidRPr="00E13ABF">
        <w:rPr>
          <w:lang w:val="en-US"/>
        </w:rPr>
        <w:t> </w:t>
      </w:r>
      <w:r w:rsidRPr="00E13ABF">
        <w:t xml:space="preserve">млн. лв., което </w:t>
      </w:r>
      <w:r w:rsidRPr="000173FD">
        <w:t xml:space="preserve">представлява </w:t>
      </w:r>
      <w:r>
        <w:t>101,9</w:t>
      </w:r>
      <w:r w:rsidRPr="000173FD">
        <w:t> %</w:t>
      </w:r>
      <w:r w:rsidRPr="00E13ABF">
        <w:t xml:space="preserve"> спрямо годишния разчет. </w:t>
      </w:r>
      <w:r w:rsidRPr="00E13ABF">
        <w:rPr>
          <w:i/>
        </w:rPr>
        <w:t>Текущите нелихвени разходи</w:t>
      </w:r>
      <w:r w:rsidRPr="00E13ABF">
        <w:t xml:space="preserve"> са в размер на </w:t>
      </w:r>
      <w:r>
        <w:t>50 028,8</w:t>
      </w:r>
      <w:r w:rsidRPr="00E13ABF">
        <w:t xml:space="preserve"> млн. лева. </w:t>
      </w:r>
      <w:r w:rsidRPr="00E13ABF">
        <w:rPr>
          <w:i/>
        </w:rPr>
        <w:t>Капиталовите разходи</w:t>
      </w:r>
      <w:r w:rsidRPr="00E13ABF">
        <w:t xml:space="preserve"> (вкл. нетния прираст на държавния резерв) възлизат на 3</w:t>
      </w:r>
      <w:r>
        <w:t> 866,3</w:t>
      </w:r>
      <w:r w:rsidRPr="00E13ABF">
        <w:t xml:space="preserve"> млн. лева. </w:t>
      </w:r>
      <w:r w:rsidRPr="00E13ABF">
        <w:rPr>
          <w:i/>
        </w:rPr>
        <w:t>Предоставените текущи и капиталови трансфери за чужбина</w:t>
      </w:r>
      <w:r w:rsidRPr="00E13ABF">
        <w:t xml:space="preserve"> са в размер на 45,9 млн. лева. </w:t>
      </w:r>
      <w:r w:rsidRPr="00E13ABF">
        <w:rPr>
          <w:b/>
          <w:i/>
        </w:rPr>
        <w:t>Лихвените плащания</w:t>
      </w:r>
      <w:r w:rsidRPr="00E13ABF">
        <w:t xml:space="preserve"> са в размер на 628,5 млн. лв. (95,</w:t>
      </w:r>
      <w:r>
        <w:t>6</w:t>
      </w:r>
      <w:r w:rsidRPr="00E13ABF">
        <w:t> % от планираните за 2021 година).</w:t>
      </w:r>
    </w:p>
    <w:p w14:paraId="6E6D242E" w14:textId="77777777" w:rsidR="00E10F4D" w:rsidRPr="009B0A9E" w:rsidRDefault="00E10F4D" w:rsidP="00E10F4D">
      <w:pPr>
        <w:spacing w:after="120"/>
        <w:jc w:val="both"/>
      </w:pPr>
      <w:r w:rsidRPr="00880BFB">
        <w:t xml:space="preserve">Отчетените разходи по основните разходни групи </w:t>
      </w:r>
      <w:r>
        <w:t>за</w:t>
      </w:r>
      <w:r w:rsidRPr="00880BFB">
        <w:t xml:space="preserve"> 2020 г. и 2021 г. са представени на следната графика:</w:t>
      </w:r>
    </w:p>
    <w:p w14:paraId="6C11FA7C" w14:textId="77777777" w:rsidR="00E10F4D" w:rsidRDefault="00E10F4D" w:rsidP="00E10F4D">
      <w:pPr>
        <w:spacing w:after="120"/>
        <w:jc w:val="both"/>
        <w:rPr>
          <w:color w:val="0070C0"/>
        </w:rPr>
      </w:pPr>
      <w:r>
        <w:rPr>
          <w:noProof/>
          <w:lang w:eastAsia="bg-BG"/>
        </w:rPr>
        <w:lastRenderedPageBreak/>
        <w:drawing>
          <wp:inline distT="0" distB="0" distL="0" distR="0" wp14:anchorId="63215C4C" wp14:editId="51FA2F26">
            <wp:extent cx="5915025" cy="32766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8C357F8" w14:textId="77777777" w:rsidR="00E10F4D" w:rsidRPr="00F5355B" w:rsidRDefault="00E10F4D" w:rsidP="00E10F4D">
      <w:pPr>
        <w:ind w:left="360"/>
        <w:jc w:val="both"/>
        <w:rPr>
          <w:sz w:val="16"/>
          <w:szCs w:val="16"/>
        </w:rPr>
      </w:pPr>
      <w:bookmarkStart w:id="17" w:name="_MON_1549378791"/>
      <w:bookmarkStart w:id="18" w:name="_MON_1522508435"/>
      <w:bookmarkStart w:id="19" w:name="_MON_1522508500"/>
      <w:bookmarkStart w:id="20" w:name="_MON_1522508578"/>
      <w:bookmarkStart w:id="21" w:name="_MON_1522508396"/>
      <w:bookmarkStart w:id="22" w:name="_MON_1562166431"/>
      <w:bookmarkStart w:id="23" w:name="_MON_1562166533"/>
      <w:bookmarkStart w:id="24" w:name="_MON_1562166556"/>
      <w:bookmarkStart w:id="25" w:name="_MON_1562166578"/>
      <w:bookmarkStart w:id="26" w:name="_MON_1522569336"/>
      <w:bookmarkStart w:id="27" w:name="_MON_1541257307"/>
      <w:bookmarkStart w:id="28" w:name="_MON_1541257332"/>
      <w:bookmarkStart w:id="29" w:name="_MON_1522569451"/>
      <w:bookmarkStart w:id="30" w:name="_MON_1522569507"/>
      <w:bookmarkStart w:id="31" w:name="_MON_1549376308"/>
      <w:bookmarkStart w:id="32" w:name="_MON_1549378514"/>
      <w:bookmarkStart w:id="33" w:name="_MON_1549378678"/>
      <w:bookmarkStart w:id="34" w:name="_MON_154937872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F5355B">
        <w:rPr>
          <w:sz w:val="18"/>
          <w:szCs w:val="16"/>
          <w:lang w:val="ru-RU"/>
        </w:rPr>
        <w:t>*</w:t>
      </w:r>
      <w:r w:rsidRPr="00F5355B">
        <w:rPr>
          <w:sz w:val="16"/>
          <w:szCs w:val="16"/>
          <w:lang w:val="ru-RU"/>
        </w:rPr>
        <w:t xml:space="preserve">  </w:t>
      </w:r>
      <w:r w:rsidRPr="00F5355B">
        <w:rPr>
          <w:sz w:val="18"/>
          <w:szCs w:val="16"/>
        </w:rPr>
        <w:t>Вкл. нетния прираст на държавния резерв</w:t>
      </w:r>
    </w:p>
    <w:p w14:paraId="49126E61" w14:textId="77777777" w:rsidR="00E10F4D" w:rsidRPr="00A37EDC" w:rsidRDefault="00E10F4D" w:rsidP="00E10F4D">
      <w:pPr>
        <w:spacing w:after="120"/>
        <w:jc w:val="both"/>
        <w:rPr>
          <w:color w:val="0070C0"/>
          <w:sz w:val="2"/>
          <w:szCs w:val="2"/>
        </w:rPr>
      </w:pPr>
    </w:p>
    <w:p w14:paraId="30D30A02" w14:textId="4E75D0D8" w:rsidR="000B7CE5" w:rsidRPr="003B640F" w:rsidRDefault="00045D38" w:rsidP="000B7CE5">
      <w:pPr>
        <w:spacing w:after="120"/>
        <w:jc w:val="both"/>
      </w:pPr>
      <w:r>
        <w:rPr>
          <w:rFonts w:eastAsia="Calibri"/>
          <w:b/>
          <w:bCs/>
        </w:rPr>
        <w:t>В</w:t>
      </w:r>
      <w:r w:rsidR="000B7CE5" w:rsidRPr="003B640F">
        <w:rPr>
          <w:rFonts w:eastAsia="Calibri"/>
          <w:b/>
          <w:bCs/>
        </w:rPr>
        <w:t>носката на Република България в бюджета на ЕС</w:t>
      </w:r>
      <w:r w:rsidR="000B7CE5" w:rsidRPr="003B640F">
        <w:rPr>
          <w:rFonts w:eastAsia="Calibri"/>
          <w:bCs/>
        </w:rPr>
        <w:t xml:space="preserve">, изплатена към </w:t>
      </w:r>
      <w:r w:rsidR="000B7CE5" w:rsidRPr="003B640F">
        <w:rPr>
          <w:rFonts w:eastAsia="Calibri"/>
        </w:rPr>
        <w:t>31.12.2021</w:t>
      </w:r>
      <w:r w:rsidR="000B7CE5" w:rsidRPr="003B640F">
        <w:rPr>
          <w:rFonts w:eastAsia="Calibri"/>
          <w:lang w:val="en-US"/>
        </w:rPr>
        <w:t> </w:t>
      </w:r>
      <w:r w:rsidR="000B7CE5" w:rsidRPr="003B640F">
        <w:rPr>
          <w:rFonts w:eastAsia="Calibri"/>
        </w:rPr>
        <w:t xml:space="preserve">г. </w:t>
      </w:r>
      <w:r w:rsidR="000B7CE5" w:rsidRPr="003B640F">
        <w:rPr>
          <w:rFonts w:eastAsia="Calibri"/>
          <w:bCs/>
        </w:rPr>
        <w:t xml:space="preserve">от централния бюджет, възлиза на </w:t>
      </w:r>
      <w:r w:rsidR="000B7CE5" w:rsidRPr="003B640F">
        <w:rPr>
          <w:rFonts w:eastAsia="Calibri"/>
          <w:b/>
          <w:bCs/>
        </w:rPr>
        <w:t xml:space="preserve">1 681,0  </w:t>
      </w:r>
      <w:r w:rsidR="000B7CE5" w:rsidRPr="003B640F">
        <w:rPr>
          <w:rFonts w:eastAsia="Calibri"/>
          <w:bCs/>
        </w:rPr>
        <w:t>млн. лв., което е в изпълнение на действащото към момента законодателство в областта на собствените ресурси на ЕС (</w:t>
      </w:r>
      <w:r w:rsidR="000B7CE5" w:rsidRPr="003B640F">
        <w:rPr>
          <w:rFonts w:eastAsia="Calibri"/>
          <w:b/>
          <w:bCs/>
        </w:rPr>
        <w:t>Решение (ЕС, Евратом) 2020/2053</w:t>
      </w:r>
      <w:r w:rsidR="000B7CE5" w:rsidRPr="003B640F">
        <w:rPr>
          <w:rFonts w:eastAsia="Calibri"/>
          <w:bCs/>
        </w:rPr>
        <w:t xml:space="preserve"> на Съвета oт 14 декември 2020 година относно системата на собствените ресурси на Европейския съюз и за отмяна на Решение 2014/335/ЕС, Евратом; </w:t>
      </w:r>
      <w:r w:rsidR="000B7CE5" w:rsidRPr="003B640F">
        <w:rPr>
          <w:rFonts w:eastAsia="Calibri"/>
          <w:b/>
          <w:bCs/>
        </w:rPr>
        <w:t>Регламент (ЕС, Евратом) 2021/768</w:t>
      </w:r>
      <w:r w:rsidR="000B7CE5" w:rsidRPr="003B640F">
        <w:rPr>
          <w:rFonts w:eastAsia="Calibri"/>
          <w:bCs/>
        </w:rPr>
        <w:t xml:space="preserve"> на Съвета от 30 </w:t>
      </w:r>
      <w:r w:rsidR="000B7CE5" w:rsidRPr="003B640F">
        <w:rPr>
          <w:rFonts w:eastAsia="Calibri"/>
        </w:rPr>
        <w:t xml:space="preserve">април </w:t>
      </w:r>
      <w:r w:rsidR="000B7CE5" w:rsidRPr="003B640F">
        <w:rPr>
          <w:rFonts w:eastAsia="Calibri"/>
          <w:bCs/>
        </w:rPr>
        <w:t xml:space="preserve">2021 година за определяне на мерки за прилагане на системата на собствените ресурси на Европейския съюз и за отмяна на Регламент (ЕС, Евратом) № 608/2014; </w:t>
      </w:r>
      <w:r w:rsidR="000B7CE5" w:rsidRPr="003B640F">
        <w:rPr>
          <w:rFonts w:eastAsia="Calibri"/>
          <w:b/>
          <w:bCs/>
        </w:rPr>
        <w:t>Регламент (EС, Евратом) 2016/804</w:t>
      </w:r>
      <w:r w:rsidR="000B7CE5" w:rsidRPr="003B640F">
        <w:rPr>
          <w:rFonts w:eastAsia="Calibri"/>
          <w:bCs/>
        </w:rPr>
        <w:t xml:space="preserve"> на Съвета от 17 май 2016 година за изменение на Регламент (EС, Евратом) № 609/2014 относно методите и процедурата за предоставяне на традиционните собствени ресурси, собствените ресурси на база ДДС и на база БНД и относно мерките за удовлетворяване на потребностите от парични средства; </w:t>
      </w:r>
      <w:r w:rsidR="000B7CE5" w:rsidRPr="003B640F">
        <w:rPr>
          <w:rFonts w:eastAsia="Calibri"/>
          <w:b/>
          <w:bCs/>
        </w:rPr>
        <w:t>Регламент (ЕС, Евратом) 2021/770</w:t>
      </w:r>
      <w:r w:rsidR="000B7CE5" w:rsidRPr="003B640F">
        <w:rPr>
          <w:rFonts w:eastAsia="Calibri"/>
          <w:bCs/>
        </w:rPr>
        <w:t xml:space="preserve"> на Съвета от 30 </w:t>
      </w:r>
      <w:r w:rsidR="000B7CE5" w:rsidRPr="003B640F">
        <w:rPr>
          <w:rFonts w:eastAsia="Calibri"/>
        </w:rPr>
        <w:t xml:space="preserve">април </w:t>
      </w:r>
      <w:r w:rsidR="000B7CE5" w:rsidRPr="003B640F">
        <w:rPr>
          <w:rFonts w:eastAsia="Calibri"/>
          <w:bCs/>
        </w:rPr>
        <w:t xml:space="preserve">2021 година относно изчисляването на собствения ресурс на база нерециклираните отпадъци от опаковки от пластмаса, относно методите и процедурата за предоставяне на този собствен ресурс, относно мерките за удовлетворяване на потребностите от парични средства и относно някои аспекти на собствения ресурс на база брутен национален доход и </w:t>
      </w:r>
      <w:r w:rsidR="000B7CE5" w:rsidRPr="003B640F">
        <w:rPr>
          <w:rFonts w:eastAsia="Calibri"/>
          <w:b/>
          <w:bCs/>
        </w:rPr>
        <w:t>Регламент (ЕС, Евратом) 2021/769</w:t>
      </w:r>
      <w:r w:rsidR="000B7CE5" w:rsidRPr="003B640F">
        <w:rPr>
          <w:rFonts w:eastAsia="Calibri"/>
          <w:bCs/>
        </w:rPr>
        <w:t xml:space="preserve"> на Съвета от 30 </w:t>
      </w:r>
      <w:r w:rsidR="000B7CE5" w:rsidRPr="003B640F">
        <w:rPr>
          <w:rFonts w:eastAsia="Calibri"/>
        </w:rPr>
        <w:t xml:space="preserve">април </w:t>
      </w:r>
      <w:r w:rsidR="000B7CE5" w:rsidRPr="003B640F">
        <w:rPr>
          <w:rFonts w:eastAsia="Calibri"/>
          <w:bCs/>
        </w:rPr>
        <w:t>2021 година за изменение на Регламент (ЕИО, Евратом) № 1553/89 за окончателни унифицирани схеми за събирането на собствените ресурси, набирани от данък добавена стойност)</w:t>
      </w:r>
      <w:r w:rsidR="000B7CE5" w:rsidRPr="003B640F">
        <w:rPr>
          <w:rFonts w:eastAsia="Calibri"/>
        </w:rPr>
        <w:t>.</w:t>
      </w:r>
    </w:p>
    <w:p w14:paraId="4B2186A9" w14:textId="671165A2" w:rsidR="00E10F4D" w:rsidRPr="00E10F4D" w:rsidRDefault="00E10F4D" w:rsidP="00E10F4D">
      <w:pPr>
        <w:spacing w:before="120" w:after="120"/>
        <w:jc w:val="both"/>
        <w:rPr>
          <w:lang w:eastAsia="bg-BG"/>
        </w:rPr>
      </w:pPr>
      <w:r w:rsidRPr="00E10F4D">
        <w:rPr>
          <w:b/>
          <w:lang w:eastAsia="bg-BG"/>
        </w:rPr>
        <w:t>Бюджетното салдо</w:t>
      </w:r>
      <w:r w:rsidRPr="00E10F4D">
        <w:rPr>
          <w:bCs/>
          <w:lang w:eastAsia="bg-BG"/>
        </w:rPr>
        <w:t xml:space="preserve"> по консолидираната фискална програма за</w:t>
      </w:r>
      <w:r w:rsidRPr="00E10F4D">
        <w:rPr>
          <w:lang w:eastAsia="bg-BG"/>
        </w:rPr>
        <w:t xml:space="preserve"> 2021</w:t>
      </w:r>
      <w:r w:rsidRPr="00E10F4D">
        <w:rPr>
          <w:bCs/>
          <w:lang w:eastAsia="bg-BG"/>
        </w:rPr>
        <w:t xml:space="preserve"> г. е </w:t>
      </w:r>
      <w:r w:rsidRPr="00E10F4D">
        <w:rPr>
          <w:b/>
          <w:bCs/>
          <w:lang w:eastAsia="bg-BG"/>
        </w:rPr>
        <w:t xml:space="preserve">отрицателно </w:t>
      </w:r>
      <w:r w:rsidRPr="00E10F4D">
        <w:rPr>
          <w:bCs/>
          <w:lang w:eastAsia="bg-BG"/>
        </w:rPr>
        <w:t xml:space="preserve">в размер на </w:t>
      </w:r>
      <w:r w:rsidRPr="00E10F4D">
        <w:rPr>
          <w:b/>
          <w:bCs/>
          <w:lang w:val="ru-RU" w:eastAsia="bg-BG"/>
        </w:rPr>
        <w:t>3 910,4</w:t>
      </w:r>
      <w:r w:rsidRPr="00E10F4D">
        <w:rPr>
          <w:b/>
          <w:bCs/>
          <w:lang w:eastAsia="bg-BG"/>
        </w:rPr>
        <w:t xml:space="preserve"> </w:t>
      </w:r>
      <w:r w:rsidRPr="00E10F4D">
        <w:rPr>
          <w:b/>
          <w:lang w:eastAsia="bg-BG"/>
        </w:rPr>
        <w:t>млн. лв.</w:t>
      </w:r>
      <w:r w:rsidRPr="00E10F4D">
        <w:rPr>
          <w:lang w:eastAsia="bg-BG"/>
        </w:rPr>
        <w:t xml:space="preserve"> </w:t>
      </w:r>
      <w:r w:rsidRPr="00E10F4D">
        <w:rPr>
          <w:rFonts w:eastAsia="Calibri"/>
        </w:rPr>
        <w:t xml:space="preserve">(3,0 % от прогнозния БВП), </w:t>
      </w:r>
      <w:r w:rsidRPr="00E10F4D">
        <w:rPr>
          <w:lang w:eastAsia="bg-BG"/>
        </w:rPr>
        <w:t xml:space="preserve">и </w:t>
      </w:r>
      <w:r w:rsidRPr="00E10F4D">
        <w:rPr>
          <w:bCs/>
          <w:lang w:eastAsia="bg-BG"/>
        </w:rPr>
        <w:t xml:space="preserve">се формира от </w:t>
      </w:r>
      <w:r w:rsidRPr="00E10F4D">
        <w:rPr>
          <w:lang w:eastAsia="bg-BG"/>
        </w:rPr>
        <w:t>дефицит по националния бюджет в размер на 4 033,5 млн. лв. и превишение на приходите над разходите по европейските средства в размер на 123,1 млн. лв. За сравнение</w:t>
      </w:r>
      <w:r w:rsidR="001139FF">
        <w:rPr>
          <w:lang w:eastAsia="bg-BG"/>
        </w:rPr>
        <w:t>,</w:t>
      </w:r>
      <w:r w:rsidRPr="00E10F4D">
        <w:rPr>
          <w:rFonts w:eastAsia="Calibri"/>
        </w:rPr>
        <w:t xml:space="preserve"> заложеният максимален размер на дефицита в актуализираните разчети към ЗДБРБ за 2021 г. е 4 604,2 млн. лева</w:t>
      </w:r>
      <w:r w:rsidRPr="00E10F4D">
        <w:rPr>
          <w:lang w:eastAsia="bg-BG"/>
        </w:rPr>
        <w:t>.</w:t>
      </w:r>
    </w:p>
    <w:p w14:paraId="6037D636" w14:textId="77777777" w:rsidR="00E10F4D" w:rsidRPr="00E10F4D" w:rsidRDefault="00E10F4D" w:rsidP="00E10F4D">
      <w:pPr>
        <w:spacing w:before="120" w:after="120"/>
        <w:jc w:val="both"/>
        <w:rPr>
          <w:lang w:eastAsia="bg-BG"/>
        </w:rPr>
      </w:pPr>
      <w:r w:rsidRPr="00E10F4D">
        <w:rPr>
          <w:lang w:eastAsia="bg-BG"/>
        </w:rPr>
        <w:t xml:space="preserve">Основен фактор за постигнатото подобрение на дефицита е по-доброто изпълнение на приходите. Преизпълнението на актуализираните годишни разчети при повечето от основните данъци бе причина правителството да предложи, а Народното събрание да одобри със свое решение, допълнителни ресурси в размер на 1,2 млрд. лв. за сметка на преизпълнение на данъчните приходи по държавния бюджет за обезпечаване на приоритетни мерки за подкрепа на пенсионерите и за компенсиране на бизнеса поради високите цени на електрическата енергия и природния газ. По този начин бяха допълнени вече одобрените мерки с актуализацията на бюджета от септември </w:t>
      </w:r>
      <w:r w:rsidRPr="00E10F4D">
        <w:rPr>
          <w:lang w:val="ru-RU" w:eastAsia="bg-BG"/>
        </w:rPr>
        <w:t>2021</w:t>
      </w:r>
      <w:r w:rsidRPr="00E10F4D">
        <w:rPr>
          <w:lang w:eastAsia="bg-BG"/>
        </w:rPr>
        <w:t xml:space="preserve"> г., които обезпечиха ресурс за мерки за борба с пандемията чрез подкрепа на бизнеса и продължаване подпомагането на най-</w:t>
      </w:r>
      <w:r w:rsidRPr="00E10F4D">
        <w:rPr>
          <w:lang w:eastAsia="bg-BG"/>
        </w:rPr>
        <w:lastRenderedPageBreak/>
        <w:t xml:space="preserve">уязвимата група - пенсионерите през последното тримесечие на годината. Не на последно място с актуализацията на бюджета бяха одобрени и промени в Кодекса за социално осигуряване, които въведоха трайна норма, чрез която пенсиите на всички пенсионери бяха служебно преизчислени от НОИ при промяна на процента за всяка година осигурителен стаж без превръщане в пенсионната формулата от 1,2 на 1,35, считано от 25 декември 2021 г. От тази дата бе увеличен и минималният месечен размер на пенсията за осигурителен стаж и възраст от 300 лева на 370 лева., което представлява увеличение с над 23 на сто. През цялата година продължиха да се изпълняват, при условията на действаща извънредна епидемична обстановка, и всички останали мерки за намаляване на негативните последствия от пандемията, в т.ч. мерки за подпомагане на бизнеса, подкрепа на пенсионерите и разбира се, на персонала на първа линия в борбата с пандемията, закупуване на медикаменти и ваксини и т.н. За реализирането на всички тези мерки бяха мобилизирани съществени по размер фискални стимули, които значително надвишават отчетените за 2020 г. </w:t>
      </w:r>
    </w:p>
    <w:p w14:paraId="7FE1444E" w14:textId="77777777" w:rsidR="00E10F4D" w:rsidRPr="00E10F4D" w:rsidRDefault="00E10F4D" w:rsidP="00E10F4D">
      <w:pPr>
        <w:spacing w:before="240"/>
        <w:ind w:firstLine="709"/>
        <w:rPr>
          <w:b/>
          <w:lang w:eastAsia="bg-BG"/>
        </w:rPr>
      </w:pPr>
      <w:r w:rsidRPr="00E10F4D">
        <w:rPr>
          <w:b/>
          <w:lang w:eastAsia="bg-BG"/>
        </w:rPr>
        <w:t>Информация за структурата и вида на разходите за месец декември 2021 г.</w:t>
      </w:r>
    </w:p>
    <w:p w14:paraId="00066631" w14:textId="77777777" w:rsidR="00E10F4D" w:rsidRPr="00E10F4D" w:rsidRDefault="00E10F4D" w:rsidP="00E10F4D">
      <w:pPr>
        <w:jc w:val="both"/>
        <w:rPr>
          <w:lang w:eastAsia="bg-BG"/>
        </w:rPr>
      </w:pPr>
      <w:r w:rsidRPr="00E10F4D">
        <w:rPr>
          <w:lang w:eastAsia="bg-BG"/>
        </w:rPr>
        <w:t>Традиционно през месец декември са концентрирани значителни по размер разходи, които превишават отчетените през предходните месеци на годината. През последните 20 години, без изключение, включително и за годините, за които в годишен план е отчетен бюджетен излишък, размерът на разходите през месец декември е съществен. Статистическите данни на Министерството на финансите показват, че през всичките години след 2000 г. бюджетните разходи по КФП за декември превишават постъпленията за месеца и на месечна база е отчетен  дефицит по КФП. Причините за това са различни, но основните са:</w:t>
      </w:r>
    </w:p>
    <w:p w14:paraId="108B110A" w14:textId="77777777" w:rsidR="00E10F4D" w:rsidRPr="00E10F4D" w:rsidRDefault="00E10F4D" w:rsidP="00E10F4D">
      <w:pPr>
        <w:jc w:val="both"/>
        <w:rPr>
          <w:lang w:eastAsia="bg-BG"/>
        </w:rPr>
      </w:pPr>
      <w:r w:rsidRPr="00E10F4D">
        <w:rPr>
          <w:lang w:eastAsia="bg-BG"/>
        </w:rPr>
        <w:t>-</w:t>
      </w:r>
      <w:r w:rsidRPr="00E10F4D">
        <w:rPr>
          <w:lang w:eastAsia="bg-BG"/>
        </w:rPr>
        <w:tab/>
        <w:t>Сезонният характер на редица разходи и тяхното нарастване през есенно-зимния период в рамките на одобрените разходи за годината;</w:t>
      </w:r>
    </w:p>
    <w:p w14:paraId="421958B1" w14:textId="77777777" w:rsidR="00E10F4D" w:rsidRPr="00E10F4D" w:rsidRDefault="00E10F4D" w:rsidP="00E10F4D">
      <w:pPr>
        <w:jc w:val="both"/>
        <w:rPr>
          <w:lang w:eastAsia="bg-BG"/>
        </w:rPr>
      </w:pPr>
      <w:r w:rsidRPr="00E10F4D">
        <w:rPr>
          <w:lang w:eastAsia="bg-BG"/>
        </w:rPr>
        <w:t>-</w:t>
      </w:r>
      <w:r w:rsidRPr="00E10F4D">
        <w:rPr>
          <w:lang w:eastAsia="bg-BG"/>
        </w:rPr>
        <w:tab/>
        <w:t>Сезонност при капиталовото строителство и ремонта на инфраструктурни обекти, във връзка със строителния сезон и процедурите по ЗОП;</w:t>
      </w:r>
    </w:p>
    <w:p w14:paraId="616C5E4D" w14:textId="77777777" w:rsidR="00E10F4D" w:rsidRPr="00E10F4D" w:rsidRDefault="00E10F4D" w:rsidP="00E10F4D">
      <w:pPr>
        <w:jc w:val="both"/>
        <w:rPr>
          <w:lang w:eastAsia="bg-BG"/>
        </w:rPr>
      </w:pPr>
      <w:r w:rsidRPr="00E10F4D">
        <w:rPr>
          <w:lang w:eastAsia="bg-BG"/>
        </w:rPr>
        <w:t>-</w:t>
      </w:r>
      <w:r w:rsidRPr="00E10F4D">
        <w:rPr>
          <w:lang w:eastAsia="bg-BG"/>
        </w:rPr>
        <w:tab/>
        <w:t>Преструктуриране на разходите и одобряване на допълнителни разходи за приоритетни политики, мерки и проекти;</w:t>
      </w:r>
    </w:p>
    <w:p w14:paraId="156A9C19" w14:textId="77777777" w:rsidR="00E10F4D" w:rsidRPr="00E10F4D" w:rsidRDefault="00E10F4D" w:rsidP="00E10F4D">
      <w:pPr>
        <w:jc w:val="both"/>
        <w:rPr>
          <w:lang w:eastAsia="bg-BG"/>
        </w:rPr>
      </w:pPr>
      <w:r w:rsidRPr="00E10F4D">
        <w:rPr>
          <w:lang w:eastAsia="bg-BG"/>
        </w:rPr>
        <w:t>-</w:t>
      </w:r>
      <w:r w:rsidRPr="00E10F4D">
        <w:rPr>
          <w:lang w:eastAsia="bg-BG"/>
        </w:rPr>
        <w:tab/>
        <w:t>Одобряване на допълнителни разходи с решение на Народното събрание и/или с актуализация на бюджета и други.</w:t>
      </w:r>
    </w:p>
    <w:p w14:paraId="35F322AE" w14:textId="77777777" w:rsidR="00E10F4D" w:rsidRPr="00E10F4D" w:rsidRDefault="00E10F4D" w:rsidP="00E10F4D">
      <w:pPr>
        <w:jc w:val="both"/>
        <w:rPr>
          <w:lang w:eastAsia="bg-BG"/>
        </w:rPr>
      </w:pPr>
      <w:r w:rsidRPr="00E10F4D">
        <w:rPr>
          <w:lang w:eastAsia="bg-BG"/>
        </w:rPr>
        <w:t xml:space="preserve">Основната част (77,6 %) от разходите за месец декември 2021 г. са отчетени от две бюджетни системи – държавен бюджет (41,6 %) и бюджетите на социално и здравноосигурителните фондове (36,0 %). Следват отчетените разходи по бюджетите на общините (13,6 %), разходите по бюджетите по чл. 13, ал. 3 и ал. 4 от Закона за публичните финанси и Селскостопанската академия (6,2 %) и разходите по сметките за средства от ЕС (вкл. ДМП) - с относителен дял в общо разходите по КФП от 2,5 процента.  </w:t>
      </w:r>
    </w:p>
    <w:p w14:paraId="4B863E82" w14:textId="77777777" w:rsidR="00E10F4D" w:rsidRPr="00E10F4D" w:rsidRDefault="00E10F4D" w:rsidP="00E10F4D">
      <w:pPr>
        <w:jc w:val="both"/>
        <w:rPr>
          <w:lang w:eastAsia="bg-BG"/>
        </w:rPr>
      </w:pPr>
    </w:p>
    <w:p w14:paraId="7818DE22" w14:textId="77777777" w:rsidR="00E10F4D" w:rsidRPr="00E10F4D" w:rsidRDefault="00E10F4D" w:rsidP="00E10F4D">
      <w:pPr>
        <w:jc w:val="center"/>
        <w:rPr>
          <w:b/>
          <w:lang w:eastAsia="bg-BG"/>
        </w:rPr>
      </w:pPr>
      <w:r w:rsidRPr="00E10F4D">
        <w:rPr>
          <w:b/>
          <w:lang w:eastAsia="bg-BG"/>
        </w:rPr>
        <w:t>Относителен дял на разходите по бюджетни системи в общите разходи по КФП за декември 2021 г.</w:t>
      </w:r>
    </w:p>
    <w:p w14:paraId="6D0EC78B" w14:textId="77777777" w:rsidR="00E10F4D" w:rsidRPr="00E10F4D" w:rsidRDefault="00E10F4D" w:rsidP="00E10F4D">
      <w:pPr>
        <w:jc w:val="center"/>
        <w:rPr>
          <w:b/>
          <w:lang w:eastAsia="bg-BG"/>
        </w:rPr>
      </w:pPr>
      <w:r w:rsidRPr="00E10F4D">
        <w:rPr>
          <w:noProof/>
          <w:lang w:eastAsia="bg-BG"/>
        </w:rPr>
        <w:drawing>
          <wp:inline distT="0" distB="0" distL="0" distR="0" wp14:anchorId="40875276" wp14:editId="22736165">
            <wp:extent cx="4619625" cy="23717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B0A0FD0" w14:textId="77777777" w:rsidR="00E10F4D" w:rsidRPr="00E10F4D" w:rsidRDefault="00E10F4D" w:rsidP="00E10F4D">
      <w:pPr>
        <w:jc w:val="both"/>
        <w:rPr>
          <w:lang w:eastAsia="bg-BG"/>
        </w:rPr>
      </w:pPr>
    </w:p>
    <w:p w14:paraId="7C0D8330" w14:textId="5214F06D" w:rsidR="00E10F4D" w:rsidRPr="00E10F4D" w:rsidRDefault="00E10F4D" w:rsidP="00E10F4D">
      <w:pPr>
        <w:jc w:val="both"/>
        <w:rPr>
          <w:lang w:eastAsia="bg-BG"/>
        </w:rPr>
      </w:pPr>
      <w:r w:rsidRPr="00E10F4D">
        <w:rPr>
          <w:lang w:eastAsia="bg-BG"/>
        </w:rPr>
        <w:lastRenderedPageBreak/>
        <w:t>При съпоставянето на разпределението на разходите по КФП</w:t>
      </w:r>
      <w:r w:rsidR="00945D4C">
        <w:rPr>
          <w:lang w:eastAsia="bg-BG"/>
        </w:rPr>
        <w:t xml:space="preserve"> (без вноската в общия бюджет на ЕС)</w:t>
      </w:r>
      <w:r w:rsidRPr="00E10F4D">
        <w:rPr>
          <w:lang w:eastAsia="bg-BG"/>
        </w:rPr>
        <w:t xml:space="preserve"> по бюджетни системи за месец декември 2020 г. и 2021 г. се очертават основните направления на извършените разходи през последния месец на годината. </w:t>
      </w:r>
    </w:p>
    <w:p w14:paraId="2D6EC68B" w14:textId="77777777" w:rsidR="00E10F4D" w:rsidRPr="00E10F4D" w:rsidRDefault="00E10F4D" w:rsidP="00E10F4D">
      <w:pPr>
        <w:jc w:val="both"/>
        <w:rPr>
          <w:lang w:eastAsia="bg-BG"/>
        </w:rPr>
      </w:pPr>
    </w:p>
    <w:p w14:paraId="0DC390F3" w14:textId="77777777" w:rsidR="00E10F4D" w:rsidRPr="00E10F4D" w:rsidRDefault="00E10F4D" w:rsidP="00E10F4D">
      <w:pPr>
        <w:jc w:val="center"/>
        <w:rPr>
          <w:lang w:eastAsia="bg-BG"/>
        </w:rPr>
      </w:pPr>
      <w:r w:rsidRPr="00E10F4D">
        <w:rPr>
          <w:noProof/>
          <w:lang w:eastAsia="bg-BG"/>
        </w:rPr>
        <w:drawing>
          <wp:inline distT="0" distB="0" distL="0" distR="0" wp14:anchorId="3F6C2214" wp14:editId="3264308F">
            <wp:extent cx="5555615" cy="2613660"/>
            <wp:effectExtent l="0" t="0" r="6985" b="15240"/>
            <wp:docPr id="8" name="Chart 8" title="Разходи по бюджетни системи за месец декември 2020 и 2021 г."/>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29C7493" w14:textId="77777777" w:rsidR="00E10F4D" w:rsidRPr="00E10F4D" w:rsidRDefault="00E10F4D" w:rsidP="00E10F4D">
      <w:pPr>
        <w:jc w:val="center"/>
        <w:rPr>
          <w:lang w:eastAsia="bg-BG"/>
        </w:rPr>
      </w:pPr>
    </w:p>
    <w:p w14:paraId="6730EB04" w14:textId="77777777" w:rsidR="00E10F4D" w:rsidRPr="00E10F4D" w:rsidRDefault="00E10F4D" w:rsidP="00E10F4D">
      <w:pPr>
        <w:jc w:val="both"/>
        <w:rPr>
          <w:lang w:eastAsia="bg-BG"/>
        </w:rPr>
      </w:pPr>
      <w:r w:rsidRPr="00E10F4D">
        <w:rPr>
          <w:lang w:eastAsia="bg-BG"/>
        </w:rPr>
        <w:t>Разгледани по бюджетни системи, най-значителен ръст на разходите за месец декември 2021 г. се отчита по бюджетите на социално и здравноосигурителните фондове (ДОО, НЗОК, УПФ и ФГВРС), които нарастват номинално с 948,2 млн. лв. спрямо декември 2020 г. Следват разходите по държавния бюджет - с ръст от 408,3 млн. лв. и разходите по бюджетите на общините, които нарастват с 235,4 млн. лв. спрямо последния месец на 2020 г. При разходите по други бюджети и сметки за средства от ЕС, съпоставено с декември 2020 г., се отчита намаление, с което общо разходите по КФП (без вноската в общия бюджет на ЕС) за декември 2021 г. нарастват с 1 149,1 млн. лв. спрямо отчетените за същия месец на 2020 г.</w:t>
      </w:r>
    </w:p>
    <w:p w14:paraId="5AB4DA75" w14:textId="16A95FC0" w:rsidR="00E10F4D" w:rsidRPr="00E10F4D" w:rsidRDefault="00E10F4D" w:rsidP="00E10F4D">
      <w:pPr>
        <w:jc w:val="both"/>
        <w:rPr>
          <w:lang w:eastAsia="bg-BG"/>
        </w:rPr>
      </w:pPr>
      <w:r w:rsidRPr="00E10F4D">
        <w:rPr>
          <w:lang w:eastAsia="bg-BG"/>
        </w:rPr>
        <w:t xml:space="preserve">За нарастването на разходите </w:t>
      </w:r>
      <w:r w:rsidR="00945D4C">
        <w:rPr>
          <w:lang w:eastAsia="bg-BG"/>
        </w:rPr>
        <w:t xml:space="preserve">през месец декември </w:t>
      </w:r>
      <w:r w:rsidR="00CA6448">
        <w:rPr>
          <w:lang w:eastAsia="bg-BG"/>
        </w:rPr>
        <w:t xml:space="preserve">2021 г. </w:t>
      </w:r>
      <w:r w:rsidRPr="00E10F4D">
        <w:rPr>
          <w:lang w:eastAsia="bg-BG"/>
        </w:rPr>
        <w:t xml:space="preserve">по бюджетите на социално и здравноосигурителните фондове най-голям принос имат разходите за пенсии, които </w:t>
      </w:r>
      <w:r w:rsidR="00CA6448">
        <w:rPr>
          <w:lang w:eastAsia="bg-BG"/>
        </w:rPr>
        <w:t xml:space="preserve">са </w:t>
      </w:r>
      <w:r w:rsidRPr="00E10F4D">
        <w:rPr>
          <w:lang w:eastAsia="bg-BG"/>
        </w:rPr>
        <w:t>с 1 070,2 млн. лв.</w:t>
      </w:r>
      <w:r w:rsidR="00CA6448">
        <w:rPr>
          <w:lang w:eastAsia="bg-BG"/>
        </w:rPr>
        <w:t xml:space="preserve"> повече спрямо същия период на миналата година</w:t>
      </w:r>
      <w:r w:rsidRPr="00E10F4D">
        <w:rPr>
          <w:lang w:eastAsia="bg-BG"/>
        </w:rPr>
        <w:t xml:space="preserve">, докато разходите за субсидии (основно разходи по мярката „60/40“) през декември 2021 г. са по-ниски. </w:t>
      </w:r>
      <w:r w:rsidR="00CA6448">
        <w:rPr>
          <w:lang w:eastAsia="bg-BG"/>
        </w:rPr>
        <w:t>О</w:t>
      </w:r>
      <w:r w:rsidRPr="00E10F4D">
        <w:rPr>
          <w:lang w:eastAsia="bg-BG"/>
        </w:rPr>
        <w:t xml:space="preserve">тчетените по-високи разходи за пенсии през декември 2021 г. са </w:t>
      </w:r>
      <w:r w:rsidR="00CA6448">
        <w:rPr>
          <w:lang w:eastAsia="bg-BG"/>
        </w:rPr>
        <w:t xml:space="preserve">в резултат на </w:t>
      </w:r>
      <w:r w:rsidRPr="00E10F4D">
        <w:rPr>
          <w:lang w:eastAsia="bg-BG"/>
        </w:rPr>
        <w:t xml:space="preserve">извършените в изпълнение на Решение на Народното събрание от 23.12.2021 г. за одобряване на допълнителни разходи и трансфери по държавния бюджет за 2021 г. за сметка на преизпълнение на данъчните приходи по държавния бюджет (ДВ, бр. 110 от 24.12.2021 г.) разходи </w:t>
      </w:r>
      <w:r w:rsidR="00CA6448">
        <w:rPr>
          <w:lang w:eastAsia="bg-BG"/>
        </w:rPr>
        <w:t>к</w:t>
      </w:r>
      <w:r w:rsidRPr="00E10F4D">
        <w:rPr>
          <w:lang w:eastAsia="bg-BG"/>
        </w:rPr>
        <w:t xml:space="preserve">ъм сметка за чужди средства на бюджета на ДОО в размер на 750 млн. лв. за изплащане на добавки към пенсиите за периода януари-юни 2022 г., както и 100 млн. лв. за еднократно изплащане на допълнителна сума към пенсиите в размер на 75 лв. на всеки пенсионер, който е със завършен ваксинационен курс за COVID-19 или поставена първа доза ваксина за COVID-19 до 30 юни 2022 г. Освен това през декември 2021 г. изплатената добавка към пенсиите на всички пенсионери е в размер на 120 лева при 50 лв. за декември 2020 г. (при равни други условия разходите за тази добавка към пенсиите за декември 2021 г. са с близо 150 млн. лв. по-високи в сравнение с декември 2020 г.). Върху разходите за пенсии влияние оказва и базовият ефект от увеличението от юли 2021 г. Поради посоченото, разходите по бюджета на ДОО за последния месец на 2021 г. отчитат значителен ръст, както спрямо отчетените за декември 2020 г., така и спрямо предходните месеци на 2021 г. </w:t>
      </w:r>
    </w:p>
    <w:p w14:paraId="672DAAD2" w14:textId="2EE8DD6B" w:rsidR="00E10F4D" w:rsidRDefault="00E10F4D" w:rsidP="00E10F4D">
      <w:pPr>
        <w:spacing w:before="120"/>
        <w:jc w:val="both"/>
        <w:rPr>
          <w:lang w:eastAsia="bg-BG"/>
        </w:rPr>
      </w:pPr>
      <w:r w:rsidRPr="00E10F4D">
        <w:rPr>
          <w:lang w:eastAsia="bg-BG"/>
        </w:rPr>
        <w:t xml:space="preserve">В частта на разходите по държавния бюджет ще съпоставим разходите на 10-те министерства и самостоятелни бюджети с най-високи разходи за декември 2021 г. с отчетените от тези разпоредители през декември 2020 г. </w:t>
      </w:r>
    </w:p>
    <w:p w14:paraId="36832830" w14:textId="77777777" w:rsidR="00E71C27" w:rsidRPr="00E10F4D" w:rsidRDefault="00E71C27" w:rsidP="00E10F4D">
      <w:pPr>
        <w:spacing w:before="120"/>
        <w:jc w:val="both"/>
        <w:rPr>
          <w:lang w:eastAsia="bg-BG"/>
        </w:rPr>
      </w:pPr>
    </w:p>
    <w:p w14:paraId="5DFF1ED7" w14:textId="77777777" w:rsidR="00E10F4D" w:rsidRPr="00E10F4D" w:rsidRDefault="00E10F4D" w:rsidP="00E10F4D">
      <w:pPr>
        <w:jc w:val="both"/>
        <w:rPr>
          <w:lang w:eastAsia="bg-BG"/>
        </w:rPr>
      </w:pPr>
    </w:p>
    <w:tbl>
      <w:tblPr>
        <w:tblW w:w="9290" w:type="dxa"/>
        <w:tblInd w:w="55" w:type="dxa"/>
        <w:tblLayout w:type="fixed"/>
        <w:tblCellMar>
          <w:left w:w="70" w:type="dxa"/>
          <w:right w:w="70" w:type="dxa"/>
        </w:tblCellMar>
        <w:tblLook w:val="04A0" w:firstRow="1" w:lastRow="0" w:firstColumn="1" w:lastColumn="0" w:noHBand="0" w:noVBand="1"/>
      </w:tblPr>
      <w:tblGrid>
        <w:gridCol w:w="6171"/>
        <w:gridCol w:w="994"/>
        <w:gridCol w:w="992"/>
        <w:gridCol w:w="1133"/>
      </w:tblGrid>
      <w:tr w:rsidR="00E10F4D" w:rsidRPr="00E10F4D" w14:paraId="35D73354" w14:textId="77777777" w:rsidTr="004639C5">
        <w:trPr>
          <w:trHeight w:val="600"/>
        </w:trPr>
        <w:tc>
          <w:tcPr>
            <w:tcW w:w="6171" w:type="dxa"/>
            <w:tcBorders>
              <w:top w:val="single" w:sz="8" w:space="0" w:color="auto"/>
              <w:left w:val="single" w:sz="8" w:space="0" w:color="auto"/>
              <w:bottom w:val="single" w:sz="8" w:space="0" w:color="auto"/>
              <w:right w:val="single" w:sz="8" w:space="0" w:color="auto"/>
            </w:tcBorders>
            <w:shd w:val="clear" w:color="auto" w:fill="B8CCE4" w:themeFill="accent1" w:themeFillTint="66"/>
            <w:vAlign w:val="center"/>
            <w:hideMark/>
          </w:tcPr>
          <w:p w14:paraId="1F4F152B" w14:textId="77777777" w:rsidR="00E10F4D" w:rsidRPr="00E10F4D" w:rsidRDefault="00E10F4D" w:rsidP="00E10F4D">
            <w:pPr>
              <w:rPr>
                <w:b/>
                <w:bCs/>
                <w:color w:val="000000"/>
                <w:sz w:val="18"/>
                <w:szCs w:val="18"/>
                <w:lang w:eastAsia="bg-BG"/>
              </w:rPr>
            </w:pPr>
            <w:r w:rsidRPr="00E10F4D">
              <w:rPr>
                <w:b/>
                <w:bCs/>
                <w:color w:val="000000"/>
                <w:sz w:val="18"/>
                <w:szCs w:val="18"/>
                <w:lang w:eastAsia="bg-BG"/>
              </w:rPr>
              <w:lastRenderedPageBreak/>
              <w:t>МИНИСТЕРСТВА И САМОСТОЯТЕЛНИ БЮДЖЕТИ ПО ДЪРЖАВНИЯ БЮДЖЕТ С НАЙ-ВИСОКИ РАЗХОДИ ЗА МЕСЕЦ ДЕКЕМВРИ 2021 г.</w:t>
            </w:r>
          </w:p>
        </w:tc>
        <w:tc>
          <w:tcPr>
            <w:tcW w:w="994" w:type="dxa"/>
            <w:tcBorders>
              <w:top w:val="single" w:sz="8" w:space="0" w:color="auto"/>
              <w:left w:val="nil"/>
              <w:bottom w:val="single" w:sz="8" w:space="0" w:color="auto"/>
              <w:right w:val="single" w:sz="8" w:space="0" w:color="auto"/>
            </w:tcBorders>
            <w:shd w:val="clear" w:color="auto" w:fill="B8CCE4" w:themeFill="accent1" w:themeFillTint="66"/>
            <w:noWrap/>
            <w:vAlign w:val="center"/>
            <w:hideMark/>
          </w:tcPr>
          <w:p w14:paraId="37EBDE26" w14:textId="77777777" w:rsidR="00E10F4D" w:rsidRPr="00E10F4D" w:rsidRDefault="00E10F4D" w:rsidP="00E10F4D">
            <w:pPr>
              <w:jc w:val="center"/>
              <w:rPr>
                <w:b/>
                <w:bCs/>
                <w:color w:val="000000"/>
                <w:sz w:val="18"/>
                <w:szCs w:val="18"/>
                <w:lang w:eastAsia="bg-BG"/>
              </w:rPr>
            </w:pPr>
            <w:r w:rsidRPr="00E10F4D">
              <w:rPr>
                <w:b/>
                <w:bCs/>
                <w:color w:val="000000"/>
                <w:sz w:val="18"/>
                <w:szCs w:val="18"/>
                <w:lang w:eastAsia="bg-BG"/>
              </w:rPr>
              <w:t>дек.20 (млн. лв.)</w:t>
            </w:r>
          </w:p>
        </w:tc>
        <w:tc>
          <w:tcPr>
            <w:tcW w:w="992" w:type="dxa"/>
            <w:tcBorders>
              <w:top w:val="single" w:sz="8" w:space="0" w:color="auto"/>
              <w:left w:val="nil"/>
              <w:bottom w:val="single" w:sz="8" w:space="0" w:color="auto"/>
              <w:right w:val="single" w:sz="8" w:space="0" w:color="auto"/>
            </w:tcBorders>
            <w:shd w:val="clear" w:color="auto" w:fill="B8CCE4" w:themeFill="accent1" w:themeFillTint="66"/>
            <w:noWrap/>
            <w:vAlign w:val="center"/>
            <w:hideMark/>
          </w:tcPr>
          <w:p w14:paraId="6EB6353D" w14:textId="77777777" w:rsidR="00E10F4D" w:rsidRPr="00E10F4D" w:rsidRDefault="00E10F4D" w:rsidP="00E10F4D">
            <w:pPr>
              <w:jc w:val="center"/>
              <w:rPr>
                <w:b/>
                <w:bCs/>
                <w:color w:val="000000"/>
                <w:sz w:val="18"/>
                <w:szCs w:val="18"/>
                <w:lang w:eastAsia="bg-BG"/>
              </w:rPr>
            </w:pPr>
            <w:r w:rsidRPr="00E10F4D">
              <w:rPr>
                <w:b/>
                <w:bCs/>
                <w:color w:val="000000"/>
                <w:sz w:val="18"/>
                <w:szCs w:val="18"/>
                <w:lang w:eastAsia="bg-BG"/>
              </w:rPr>
              <w:t>дек.21 (млн. лв.)</w:t>
            </w:r>
          </w:p>
        </w:tc>
        <w:tc>
          <w:tcPr>
            <w:tcW w:w="1133" w:type="dxa"/>
            <w:tcBorders>
              <w:top w:val="single" w:sz="8" w:space="0" w:color="auto"/>
              <w:left w:val="nil"/>
              <w:bottom w:val="single" w:sz="8" w:space="0" w:color="auto"/>
              <w:right w:val="single" w:sz="8" w:space="0" w:color="auto"/>
            </w:tcBorders>
            <w:shd w:val="clear" w:color="auto" w:fill="B8CCE4" w:themeFill="accent1" w:themeFillTint="66"/>
            <w:vAlign w:val="center"/>
            <w:hideMark/>
          </w:tcPr>
          <w:p w14:paraId="5F255267" w14:textId="77777777" w:rsidR="00E10F4D" w:rsidRPr="00E10F4D" w:rsidRDefault="00E10F4D" w:rsidP="00E10F4D">
            <w:pPr>
              <w:jc w:val="center"/>
              <w:rPr>
                <w:b/>
                <w:bCs/>
                <w:color w:val="000000"/>
                <w:sz w:val="18"/>
                <w:szCs w:val="18"/>
                <w:lang w:eastAsia="bg-BG"/>
              </w:rPr>
            </w:pPr>
            <w:r w:rsidRPr="00E10F4D">
              <w:rPr>
                <w:b/>
                <w:bCs/>
                <w:color w:val="000000"/>
                <w:sz w:val="18"/>
                <w:szCs w:val="18"/>
                <w:lang w:eastAsia="bg-BG"/>
              </w:rPr>
              <w:t xml:space="preserve">Изменение (млн. лв.) </w:t>
            </w:r>
          </w:p>
        </w:tc>
      </w:tr>
      <w:tr w:rsidR="00E10F4D" w:rsidRPr="00E10F4D" w14:paraId="0B711D11" w14:textId="77777777" w:rsidTr="004639C5">
        <w:trPr>
          <w:trHeight w:val="64"/>
        </w:trPr>
        <w:tc>
          <w:tcPr>
            <w:tcW w:w="6171" w:type="dxa"/>
            <w:tcBorders>
              <w:top w:val="nil"/>
              <w:left w:val="single" w:sz="8" w:space="0" w:color="auto"/>
              <w:bottom w:val="single" w:sz="8" w:space="0" w:color="auto"/>
              <w:right w:val="single" w:sz="8" w:space="0" w:color="auto"/>
            </w:tcBorders>
            <w:vAlign w:val="center"/>
            <w:hideMark/>
          </w:tcPr>
          <w:p w14:paraId="1BD8E54D" w14:textId="77777777" w:rsidR="00E10F4D" w:rsidRPr="00E10F4D" w:rsidRDefault="00E10F4D" w:rsidP="00E10F4D">
            <w:pPr>
              <w:spacing w:line="276" w:lineRule="auto"/>
              <w:rPr>
                <w:color w:val="000000"/>
                <w:sz w:val="18"/>
                <w:szCs w:val="18"/>
                <w:lang w:eastAsia="bg-BG"/>
              </w:rPr>
            </w:pPr>
            <w:r w:rsidRPr="00E10F4D">
              <w:rPr>
                <w:color w:val="000000"/>
                <w:sz w:val="18"/>
                <w:szCs w:val="18"/>
                <w:lang w:eastAsia="bg-BG"/>
              </w:rPr>
              <w:t>МИНИСТЕРСТВО НА ЕНЕРГЕТИКАТА</w:t>
            </w:r>
          </w:p>
        </w:tc>
        <w:tc>
          <w:tcPr>
            <w:tcW w:w="994" w:type="dxa"/>
            <w:tcBorders>
              <w:top w:val="nil"/>
              <w:left w:val="nil"/>
              <w:bottom w:val="single" w:sz="8" w:space="0" w:color="auto"/>
              <w:right w:val="single" w:sz="8" w:space="0" w:color="auto"/>
            </w:tcBorders>
            <w:noWrap/>
            <w:vAlign w:val="center"/>
            <w:hideMark/>
          </w:tcPr>
          <w:p w14:paraId="6AE16EE5" w14:textId="77777777" w:rsidR="00E10F4D" w:rsidRPr="00E10F4D" w:rsidRDefault="00E10F4D" w:rsidP="00E10F4D">
            <w:pPr>
              <w:spacing w:line="276" w:lineRule="auto"/>
              <w:jc w:val="right"/>
              <w:rPr>
                <w:color w:val="000000"/>
                <w:sz w:val="18"/>
                <w:szCs w:val="18"/>
                <w:lang w:eastAsia="bg-BG"/>
              </w:rPr>
            </w:pPr>
            <w:r w:rsidRPr="00E10F4D">
              <w:rPr>
                <w:color w:val="000000"/>
                <w:sz w:val="18"/>
                <w:szCs w:val="18"/>
                <w:lang w:eastAsia="bg-BG"/>
              </w:rPr>
              <w:t>19,2</w:t>
            </w:r>
          </w:p>
        </w:tc>
        <w:tc>
          <w:tcPr>
            <w:tcW w:w="992" w:type="dxa"/>
            <w:tcBorders>
              <w:top w:val="nil"/>
              <w:left w:val="nil"/>
              <w:bottom w:val="single" w:sz="8" w:space="0" w:color="auto"/>
              <w:right w:val="single" w:sz="8" w:space="0" w:color="auto"/>
            </w:tcBorders>
            <w:noWrap/>
            <w:vAlign w:val="center"/>
            <w:hideMark/>
          </w:tcPr>
          <w:p w14:paraId="656842AC" w14:textId="77777777" w:rsidR="00E10F4D" w:rsidRPr="00E10F4D" w:rsidRDefault="00E10F4D" w:rsidP="00E10F4D">
            <w:pPr>
              <w:spacing w:line="276" w:lineRule="auto"/>
              <w:jc w:val="right"/>
              <w:rPr>
                <w:color w:val="000000"/>
                <w:sz w:val="18"/>
                <w:szCs w:val="18"/>
                <w:lang w:eastAsia="bg-BG"/>
              </w:rPr>
            </w:pPr>
            <w:r w:rsidRPr="00E10F4D">
              <w:rPr>
                <w:color w:val="000000"/>
                <w:sz w:val="18"/>
                <w:szCs w:val="18"/>
                <w:lang w:eastAsia="bg-BG"/>
              </w:rPr>
              <w:t>1 316,4</w:t>
            </w:r>
          </w:p>
        </w:tc>
        <w:tc>
          <w:tcPr>
            <w:tcW w:w="1133" w:type="dxa"/>
            <w:tcBorders>
              <w:top w:val="nil"/>
              <w:left w:val="nil"/>
              <w:bottom w:val="single" w:sz="8" w:space="0" w:color="auto"/>
              <w:right w:val="single" w:sz="8" w:space="0" w:color="auto"/>
            </w:tcBorders>
            <w:noWrap/>
            <w:vAlign w:val="center"/>
            <w:hideMark/>
          </w:tcPr>
          <w:p w14:paraId="6BD2A782" w14:textId="77777777" w:rsidR="00E10F4D" w:rsidRPr="00E10F4D" w:rsidRDefault="00E10F4D" w:rsidP="00E10F4D">
            <w:pPr>
              <w:spacing w:line="276" w:lineRule="auto"/>
              <w:jc w:val="right"/>
              <w:rPr>
                <w:color w:val="000000"/>
                <w:sz w:val="18"/>
                <w:szCs w:val="18"/>
                <w:lang w:eastAsia="bg-BG"/>
              </w:rPr>
            </w:pPr>
            <w:r w:rsidRPr="00E10F4D">
              <w:rPr>
                <w:color w:val="000000"/>
                <w:sz w:val="18"/>
                <w:szCs w:val="18"/>
                <w:lang w:eastAsia="bg-BG"/>
              </w:rPr>
              <w:t>1 297,3</w:t>
            </w:r>
          </w:p>
        </w:tc>
      </w:tr>
      <w:tr w:rsidR="00E10F4D" w:rsidRPr="00E10F4D" w14:paraId="4D6C5446" w14:textId="77777777" w:rsidTr="004639C5">
        <w:trPr>
          <w:trHeight w:val="49"/>
        </w:trPr>
        <w:tc>
          <w:tcPr>
            <w:tcW w:w="6171" w:type="dxa"/>
            <w:tcBorders>
              <w:top w:val="nil"/>
              <w:left w:val="single" w:sz="8" w:space="0" w:color="auto"/>
              <w:bottom w:val="single" w:sz="8" w:space="0" w:color="auto"/>
              <w:right w:val="single" w:sz="8" w:space="0" w:color="auto"/>
            </w:tcBorders>
            <w:vAlign w:val="center"/>
            <w:hideMark/>
          </w:tcPr>
          <w:p w14:paraId="0D74CBF4" w14:textId="77777777" w:rsidR="00E10F4D" w:rsidRPr="00E10F4D" w:rsidRDefault="00E10F4D" w:rsidP="00E10F4D">
            <w:pPr>
              <w:spacing w:line="276" w:lineRule="auto"/>
              <w:rPr>
                <w:color w:val="000000"/>
                <w:sz w:val="18"/>
                <w:szCs w:val="18"/>
                <w:lang w:eastAsia="bg-BG"/>
              </w:rPr>
            </w:pPr>
            <w:r w:rsidRPr="00E10F4D">
              <w:rPr>
                <w:color w:val="000000"/>
                <w:sz w:val="18"/>
                <w:szCs w:val="18"/>
                <w:lang w:eastAsia="bg-BG"/>
              </w:rPr>
              <w:t>МИНИСТЕРСТВО НА ТРУДА И СОЦИАЛНАТА ПОЛИТИКА</w:t>
            </w:r>
          </w:p>
        </w:tc>
        <w:tc>
          <w:tcPr>
            <w:tcW w:w="994" w:type="dxa"/>
            <w:tcBorders>
              <w:top w:val="nil"/>
              <w:left w:val="nil"/>
              <w:bottom w:val="single" w:sz="8" w:space="0" w:color="auto"/>
              <w:right w:val="single" w:sz="8" w:space="0" w:color="auto"/>
            </w:tcBorders>
            <w:noWrap/>
            <w:vAlign w:val="center"/>
            <w:hideMark/>
          </w:tcPr>
          <w:p w14:paraId="54C0FAA6" w14:textId="77777777" w:rsidR="00E10F4D" w:rsidRPr="00E10F4D" w:rsidRDefault="00E10F4D" w:rsidP="00E10F4D">
            <w:pPr>
              <w:spacing w:line="276" w:lineRule="auto"/>
              <w:jc w:val="right"/>
              <w:rPr>
                <w:color w:val="000000"/>
                <w:sz w:val="18"/>
                <w:szCs w:val="18"/>
                <w:lang w:eastAsia="bg-BG"/>
              </w:rPr>
            </w:pPr>
            <w:r w:rsidRPr="00E10F4D">
              <w:rPr>
                <w:color w:val="000000"/>
                <w:sz w:val="18"/>
                <w:szCs w:val="18"/>
                <w:lang w:eastAsia="bg-BG"/>
              </w:rPr>
              <w:t>129,1</w:t>
            </w:r>
          </w:p>
        </w:tc>
        <w:tc>
          <w:tcPr>
            <w:tcW w:w="992" w:type="dxa"/>
            <w:tcBorders>
              <w:top w:val="nil"/>
              <w:left w:val="nil"/>
              <w:bottom w:val="single" w:sz="8" w:space="0" w:color="auto"/>
              <w:right w:val="single" w:sz="8" w:space="0" w:color="auto"/>
            </w:tcBorders>
            <w:noWrap/>
            <w:vAlign w:val="center"/>
            <w:hideMark/>
          </w:tcPr>
          <w:p w14:paraId="0A5C9630" w14:textId="77777777" w:rsidR="00E10F4D" w:rsidRPr="00E10F4D" w:rsidRDefault="00E10F4D" w:rsidP="00E10F4D">
            <w:pPr>
              <w:spacing w:line="276" w:lineRule="auto"/>
              <w:jc w:val="right"/>
              <w:rPr>
                <w:color w:val="000000"/>
                <w:sz w:val="18"/>
                <w:szCs w:val="18"/>
                <w:lang w:eastAsia="bg-BG"/>
              </w:rPr>
            </w:pPr>
            <w:r w:rsidRPr="00E10F4D">
              <w:rPr>
                <w:color w:val="000000"/>
                <w:sz w:val="18"/>
                <w:szCs w:val="18"/>
                <w:lang w:eastAsia="bg-BG"/>
              </w:rPr>
              <w:t>343,4</w:t>
            </w:r>
          </w:p>
        </w:tc>
        <w:tc>
          <w:tcPr>
            <w:tcW w:w="1133" w:type="dxa"/>
            <w:tcBorders>
              <w:top w:val="nil"/>
              <w:left w:val="nil"/>
              <w:bottom w:val="single" w:sz="8" w:space="0" w:color="auto"/>
              <w:right w:val="single" w:sz="8" w:space="0" w:color="auto"/>
            </w:tcBorders>
            <w:noWrap/>
            <w:vAlign w:val="center"/>
            <w:hideMark/>
          </w:tcPr>
          <w:p w14:paraId="1CFA67C9" w14:textId="77777777" w:rsidR="00E10F4D" w:rsidRPr="00E10F4D" w:rsidRDefault="00E10F4D" w:rsidP="00E10F4D">
            <w:pPr>
              <w:spacing w:line="276" w:lineRule="auto"/>
              <w:jc w:val="right"/>
              <w:rPr>
                <w:color w:val="000000"/>
                <w:sz w:val="18"/>
                <w:szCs w:val="18"/>
                <w:lang w:eastAsia="bg-BG"/>
              </w:rPr>
            </w:pPr>
            <w:r w:rsidRPr="00E10F4D">
              <w:rPr>
                <w:color w:val="000000"/>
                <w:sz w:val="18"/>
                <w:szCs w:val="18"/>
                <w:lang w:eastAsia="bg-BG"/>
              </w:rPr>
              <w:t>214,3</w:t>
            </w:r>
          </w:p>
        </w:tc>
      </w:tr>
      <w:tr w:rsidR="00E10F4D" w:rsidRPr="00E10F4D" w14:paraId="0C7B9B37" w14:textId="77777777" w:rsidTr="004639C5">
        <w:trPr>
          <w:trHeight w:val="49"/>
        </w:trPr>
        <w:tc>
          <w:tcPr>
            <w:tcW w:w="6171" w:type="dxa"/>
            <w:tcBorders>
              <w:top w:val="nil"/>
              <w:left w:val="single" w:sz="8" w:space="0" w:color="auto"/>
              <w:bottom w:val="single" w:sz="8" w:space="0" w:color="auto"/>
              <w:right w:val="single" w:sz="8" w:space="0" w:color="auto"/>
            </w:tcBorders>
            <w:vAlign w:val="center"/>
            <w:hideMark/>
          </w:tcPr>
          <w:p w14:paraId="4FE9DB7E" w14:textId="77777777" w:rsidR="00E10F4D" w:rsidRPr="00E10F4D" w:rsidRDefault="00E10F4D" w:rsidP="00E10F4D">
            <w:pPr>
              <w:spacing w:line="276" w:lineRule="auto"/>
              <w:rPr>
                <w:color w:val="000000"/>
                <w:sz w:val="18"/>
                <w:szCs w:val="18"/>
                <w:lang w:eastAsia="bg-BG"/>
              </w:rPr>
            </w:pPr>
            <w:r w:rsidRPr="00E10F4D">
              <w:rPr>
                <w:color w:val="000000"/>
                <w:sz w:val="18"/>
                <w:szCs w:val="18"/>
                <w:lang w:eastAsia="bg-BG"/>
              </w:rPr>
              <w:t>МИНИСТЕРСТВО НА ЗДРАВЕОПАЗВАНЕТО</w:t>
            </w:r>
          </w:p>
        </w:tc>
        <w:tc>
          <w:tcPr>
            <w:tcW w:w="994" w:type="dxa"/>
            <w:tcBorders>
              <w:top w:val="nil"/>
              <w:left w:val="nil"/>
              <w:bottom w:val="single" w:sz="8" w:space="0" w:color="auto"/>
              <w:right w:val="single" w:sz="8" w:space="0" w:color="auto"/>
            </w:tcBorders>
            <w:noWrap/>
            <w:vAlign w:val="center"/>
            <w:hideMark/>
          </w:tcPr>
          <w:p w14:paraId="59965759" w14:textId="77777777" w:rsidR="00E10F4D" w:rsidRPr="00E10F4D" w:rsidRDefault="00E10F4D" w:rsidP="00E10F4D">
            <w:pPr>
              <w:spacing w:line="276" w:lineRule="auto"/>
              <w:jc w:val="right"/>
              <w:rPr>
                <w:color w:val="000000"/>
                <w:sz w:val="18"/>
                <w:szCs w:val="18"/>
                <w:lang w:eastAsia="bg-BG"/>
              </w:rPr>
            </w:pPr>
            <w:r w:rsidRPr="00E10F4D">
              <w:rPr>
                <w:color w:val="000000"/>
                <w:sz w:val="18"/>
                <w:szCs w:val="18"/>
                <w:lang w:eastAsia="bg-BG"/>
              </w:rPr>
              <w:t>547,4</w:t>
            </w:r>
          </w:p>
        </w:tc>
        <w:tc>
          <w:tcPr>
            <w:tcW w:w="992" w:type="dxa"/>
            <w:tcBorders>
              <w:top w:val="nil"/>
              <w:left w:val="nil"/>
              <w:bottom w:val="single" w:sz="8" w:space="0" w:color="auto"/>
              <w:right w:val="single" w:sz="8" w:space="0" w:color="auto"/>
            </w:tcBorders>
            <w:noWrap/>
            <w:vAlign w:val="center"/>
            <w:hideMark/>
          </w:tcPr>
          <w:p w14:paraId="77A1E4B8" w14:textId="77777777" w:rsidR="00E10F4D" w:rsidRPr="00E10F4D" w:rsidRDefault="00E10F4D" w:rsidP="00E10F4D">
            <w:pPr>
              <w:spacing w:line="276" w:lineRule="auto"/>
              <w:jc w:val="right"/>
              <w:rPr>
                <w:color w:val="000000"/>
                <w:sz w:val="18"/>
                <w:szCs w:val="18"/>
                <w:lang w:eastAsia="bg-BG"/>
              </w:rPr>
            </w:pPr>
            <w:r w:rsidRPr="00E10F4D">
              <w:rPr>
                <w:color w:val="000000"/>
                <w:sz w:val="18"/>
                <w:szCs w:val="18"/>
                <w:lang w:eastAsia="bg-BG"/>
              </w:rPr>
              <w:t>228,1</w:t>
            </w:r>
          </w:p>
        </w:tc>
        <w:tc>
          <w:tcPr>
            <w:tcW w:w="1133" w:type="dxa"/>
            <w:tcBorders>
              <w:top w:val="nil"/>
              <w:left w:val="nil"/>
              <w:bottom w:val="single" w:sz="8" w:space="0" w:color="auto"/>
              <w:right w:val="single" w:sz="8" w:space="0" w:color="auto"/>
            </w:tcBorders>
            <w:noWrap/>
            <w:vAlign w:val="center"/>
            <w:hideMark/>
          </w:tcPr>
          <w:p w14:paraId="18D05C8F" w14:textId="77777777" w:rsidR="00E10F4D" w:rsidRPr="00E10F4D" w:rsidRDefault="00E10F4D" w:rsidP="00E10F4D">
            <w:pPr>
              <w:spacing w:line="276" w:lineRule="auto"/>
              <w:jc w:val="right"/>
              <w:rPr>
                <w:color w:val="000000"/>
                <w:sz w:val="18"/>
                <w:szCs w:val="18"/>
                <w:lang w:eastAsia="bg-BG"/>
              </w:rPr>
            </w:pPr>
            <w:r w:rsidRPr="00E10F4D">
              <w:rPr>
                <w:color w:val="000000"/>
                <w:sz w:val="18"/>
                <w:szCs w:val="18"/>
                <w:lang w:eastAsia="bg-BG"/>
              </w:rPr>
              <w:t>-319,3</w:t>
            </w:r>
          </w:p>
        </w:tc>
      </w:tr>
      <w:tr w:rsidR="00E10F4D" w:rsidRPr="00E10F4D" w14:paraId="6C766F97" w14:textId="77777777" w:rsidTr="004639C5">
        <w:trPr>
          <w:trHeight w:val="49"/>
        </w:trPr>
        <w:tc>
          <w:tcPr>
            <w:tcW w:w="6171" w:type="dxa"/>
            <w:tcBorders>
              <w:top w:val="nil"/>
              <w:left w:val="single" w:sz="8" w:space="0" w:color="auto"/>
              <w:bottom w:val="single" w:sz="8" w:space="0" w:color="auto"/>
              <w:right w:val="single" w:sz="8" w:space="0" w:color="auto"/>
            </w:tcBorders>
            <w:vAlign w:val="center"/>
            <w:hideMark/>
          </w:tcPr>
          <w:p w14:paraId="7CFE4878" w14:textId="77777777" w:rsidR="00E10F4D" w:rsidRPr="00E10F4D" w:rsidRDefault="00E10F4D" w:rsidP="00E10F4D">
            <w:pPr>
              <w:spacing w:line="276" w:lineRule="auto"/>
              <w:rPr>
                <w:color w:val="000000"/>
                <w:sz w:val="18"/>
                <w:szCs w:val="18"/>
                <w:lang w:eastAsia="bg-BG"/>
              </w:rPr>
            </w:pPr>
            <w:r w:rsidRPr="00E10F4D">
              <w:rPr>
                <w:color w:val="000000"/>
                <w:sz w:val="18"/>
                <w:szCs w:val="18"/>
                <w:lang w:eastAsia="bg-BG"/>
              </w:rPr>
              <w:t>МИНИСТЕРСТВО НА ВЪТРЕШНИТЕ РАБОТИ</w:t>
            </w:r>
          </w:p>
        </w:tc>
        <w:tc>
          <w:tcPr>
            <w:tcW w:w="994" w:type="dxa"/>
            <w:tcBorders>
              <w:top w:val="nil"/>
              <w:left w:val="nil"/>
              <w:bottom w:val="single" w:sz="8" w:space="0" w:color="auto"/>
              <w:right w:val="single" w:sz="8" w:space="0" w:color="auto"/>
            </w:tcBorders>
            <w:noWrap/>
            <w:vAlign w:val="center"/>
            <w:hideMark/>
          </w:tcPr>
          <w:p w14:paraId="422F2C57" w14:textId="77777777" w:rsidR="00E10F4D" w:rsidRPr="00E10F4D" w:rsidRDefault="00E10F4D" w:rsidP="00E10F4D">
            <w:pPr>
              <w:spacing w:line="276" w:lineRule="auto"/>
              <w:jc w:val="right"/>
              <w:rPr>
                <w:color w:val="000000"/>
                <w:sz w:val="18"/>
                <w:szCs w:val="18"/>
                <w:lang w:eastAsia="bg-BG"/>
              </w:rPr>
            </w:pPr>
            <w:r w:rsidRPr="00E10F4D">
              <w:rPr>
                <w:color w:val="000000"/>
                <w:sz w:val="18"/>
                <w:szCs w:val="18"/>
                <w:lang w:eastAsia="bg-BG"/>
              </w:rPr>
              <w:t>213,3</w:t>
            </w:r>
          </w:p>
        </w:tc>
        <w:tc>
          <w:tcPr>
            <w:tcW w:w="992" w:type="dxa"/>
            <w:tcBorders>
              <w:top w:val="nil"/>
              <w:left w:val="nil"/>
              <w:bottom w:val="single" w:sz="8" w:space="0" w:color="auto"/>
              <w:right w:val="single" w:sz="8" w:space="0" w:color="auto"/>
            </w:tcBorders>
            <w:noWrap/>
            <w:vAlign w:val="center"/>
            <w:hideMark/>
          </w:tcPr>
          <w:p w14:paraId="26C4CC1D" w14:textId="77777777" w:rsidR="00E10F4D" w:rsidRPr="00E10F4D" w:rsidRDefault="00E10F4D" w:rsidP="00E10F4D">
            <w:pPr>
              <w:spacing w:line="276" w:lineRule="auto"/>
              <w:jc w:val="right"/>
              <w:rPr>
                <w:color w:val="000000"/>
                <w:sz w:val="18"/>
                <w:szCs w:val="18"/>
                <w:lang w:eastAsia="bg-BG"/>
              </w:rPr>
            </w:pPr>
            <w:r w:rsidRPr="00E10F4D">
              <w:rPr>
                <w:color w:val="000000"/>
                <w:sz w:val="18"/>
                <w:szCs w:val="18"/>
                <w:lang w:eastAsia="bg-BG"/>
              </w:rPr>
              <w:t>247,7</w:t>
            </w:r>
          </w:p>
        </w:tc>
        <w:tc>
          <w:tcPr>
            <w:tcW w:w="1133" w:type="dxa"/>
            <w:tcBorders>
              <w:top w:val="nil"/>
              <w:left w:val="nil"/>
              <w:bottom w:val="single" w:sz="8" w:space="0" w:color="auto"/>
              <w:right w:val="single" w:sz="8" w:space="0" w:color="auto"/>
            </w:tcBorders>
            <w:noWrap/>
            <w:vAlign w:val="center"/>
            <w:hideMark/>
          </w:tcPr>
          <w:p w14:paraId="66D74B73" w14:textId="77777777" w:rsidR="00E10F4D" w:rsidRPr="00E10F4D" w:rsidRDefault="00E10F4D" w:rsidP="00E10F4D">
            <w:pPr>
              <w:spacing w:line="276" w:lineRule="auto"/>
              <w:jc w:val="right"/>
              <w:rPr>
                <w:color w:val="000000"/>
                <w:sz w:val="18"/>
                <w:szCs w:val="18"/>
                <w:lang w:eastAsia="bg-BG"/>
              </w:rPr>
            </w:pPr>
            <w:r w:rsidRPr="00E10F4D">
              <w:rPr>
                <w:color w:val="000000"/>
                <w:sz w:val="18"/>
                <w:szCs w:val="18"/>
                <w:lang w:eastAsia="bg-BG"/>
              </w:rPr>
              <w:t>34,3</w:t>
            </w:r>
          </w:p>
        </w:tc>
      </w:tr>
      <w:tr w:rsidR="00E10F4D" w:rsidRPr="00E10F4D" w14:paraId="24D70A01" w14:textId="77777777" w:rsidTr="004639C5">
        <w:trPr>
          <w:trHeight w:val="92"/>
        </w:trPr>
        <w:tc>
          <w:tcPr>
            <w:tcW w:w="6171" w:type="dxa"/>
            <w:tcBorders>
              <w:top w:val="nil"/>
              <w:left w:val="single" w:sz="8" w:space="0" w:color="auto"/>
              <w:bottom w:val="single" w:sz="8" w:space="0" w:color="auto"/>
              <w:right w:val="single" w:sz="8" w:space="0" w:color="auto"/>
            </w:tcBorders>
            <w:vAlign w:val="center"/>
            <w:hideMark/>
          </w:tcPr>
          <w:p w14:paraId="16A3D484" w14:textId="77777777" w:rsidR="00E10F4D" w:rsidRPr="00E10F4D" w:rsidRDefault="00E10F4D" w:rsidP="00E10F4D">
            <w:pPr>
              <w:spacing w:line="276" w:lineRule="auto"/>
              <w:rPr>
                <w:color w:val="000000"/>
                <w:sz w:val="18"/>
                <w:szCs w:val="18"/>
                <w:lang w:eastAsia="bg-BG"/>
              </w:rPr>
            </w:pPr>
            <w:r w:rsidRPr="00E10F4D">
              <w:rPr>
                <w:color w:val="000000"/>
                <w:sz w:val="18"/>
                <w:szCs w:val="18"/>
                <w:lang w:eastAsia="bg-BG"/>
              </w:rPr>
              <w:t>МИНИСТЕРСТВО НА ОТБРАНАТА</w:t>
            </w:r>
          </w:p>
        </w:tc>
        <w:tc>
          <w:tcPr>
            <w:tcW w:w="994" w:type="dxa"/>
            <w:tcBorders>
              <w:top w:val="nil"/>
              <w:left w:val="nil"/>
              <w:bottom w:val="single" w:sz="8" w:space="0" w:color="auto"/>
              <w:right w:val="single" w:sz="8" w:space="0" w:color="auto"/>
            </w:tcBorders>
            <w:noWrap/>
            <w:vAlign w:val="center"/>
            <w:hideMark/>
          </w:tcPr>
          <w:p w14:paraId="261C8BB8" w14:textId="77777777" w:rsidR="00E10F4D" w:rsidRPr="00E10F4D" w:rsidRDefault="00E10F4D" w:rsidP="00E10F4D">
            <w:pPr>
              <w:spacing w:line="276" w:lineRule="auto"/>
              <w:jc w:val="right"/>
              <w:rPr>
                <w:color w:val="000000"/>
                <w:sz w:val="18"/>
                <w:szCs w:val="18"/>
                <w:lang w:eastAsia="bg-BG"/>
              </w:rPr>
            </w:pPr>
            <w:r w:rsidRPr="00E10F4D">
              <w:rPr>
                <w:color w:val="000000"/>
                <w:sz w:val="18"/>
                <w:szCs w:val="18"/>
                <w:lang w:eastAsia="bg-BG"/>
              </w:rPr>
              <w:t>468,8</w:t>
            </w:r>
          </w:p>
        </w:tc>
        <w:tc>
          <w:tcPr>
            <w:tcW w:w="992" w:type="dxa"/>
            <w:tcBorders>
              <w:top w:val="nil"/>
              <w:left w:val="nil"/>
              <w:bottom w:val="single" w:sz="8" w:space="0" w:color="auto"/>
              <w:right w:val="single" w:sz="8" w:space="0" w:color="auto"/>
            </w:tcBorders>
            <w:noWrap/>
            <w:vAlign w:val="center"/>
            <w:hideMark/>
          </w:tcPr>
          <w:p w14:paraId="3028DB6D" w14:textId="77777777" w:rsidR="00E10F4D" w:rsidRPr="00E10F4D" w:rsidRDefault="00E10F4D" w:rsidP="00E10F4D">
            <w:pPr>
              <w:spacing w:line="276" w:lineRule="auto"/>
              <w:jc w:val="right"/>
              <w:rPr>
                <w:color w:val="000000"/>
                <w:sz w:val="18"/>
                <w:szCs w:val="18"/>
                <w:lang w:eastAsia="bg-BG"/>
              </w:rPr>
            </w:pPr>
            <w:r w:rsidRPr="00E10F4D">
              <w:rPr>
                <w:color w:val="000000"/>
                <w:sz w:val="18"/>
                <w:szCs w:val="18"/>
                <w:lang w:eastAsia="bg-BG"/>
              </w:rPr>
              <w:t>242,1</w:t>
            </w:r>
          </w:p>
        </w:tc>
        <w:tc>
          <w:tcPr>
            <w:tcW w:w="1133" w:type="dxa"/>
            <w:tcBorders>
              <w:top w:val="nil"/>
              <w:left w:val="nil"/>
              <w:bottom w:val="single" w:sz="8" w:space="0" w:color="auto"/>
              <w:right w:val="single" w:sz="8" w:space="0" w:color="auto"/>
            </w:tcBorders>
            <w:noWrap/>
            <w:vAlign w:val="center"/>
            <w:hideMark/>
          </w:tcPr>
          <w:p w14:paraId="2A76A650" w14:textId="77777777" w:rsidR="00E10F4D" w:rsidRPr="00E10F4D" w:rsidRDefault="00E10F4D" w:rsidP="00E10F4D">
            <w:pPr>
              <w:spacing w:line="276" w:lineRule="auto"/>
              <w:jc w:val="right"/>
              <w:rPr>
                <w:color w:val="000000"/>
                <w:sz w:val="18"/>
                <w:szCs w:val="18"/>
                <w:lang w:eastAsia="bg-BG"/>
              </w:rPr>
            </w:pPr>
            <w:r w:rsidRPr="00E10F4D">
              <w:rPr>
                <w:color w:val="000000"/>
                <w:sz w:val="18"/>
                <w:szCs w:val="18"/>
                <w:lang w:eastAsia="bg-BG"/>
              </w:rPr>
              <w:t>-226,8</w:t>
            </w:r>
          </w:p>
        </w:tc>
      </w:tr>
      <w:tr w:rsidR="00E10F4D" w:rsidRPr="00E10F4D" w14:paraId="2C3FCF52" w14:textId="77777777" w:rsidTr="004639C5">
        <w:trPr>
          <w:trHeight w:val="124"/>
        </w:trPr>
        <w:tc>
          <w:tcPr>
            <w:tcW w:w="6171" w:type="dxa"/>
            <w:tcBorders>
              <w:top w:val="nil"/>
              <w:left w:val="single" w:sz="8" w:space="0" w:color="auto"/>
              <w:bottom w:val="single" w:sz="8" w:space="0" w:color="auto"/>
              <w:right w:val="single" w:sz="8" w:space="0" w:color="auto"/>
            </w:tcBorders>
            <w:vAlign w:val="center"/>
            <w:hideMark/>
          </w:tcPr>
          <w:p w14:paraId="68A79204" w14:textId="77777777" w:rsidR="00E10F4D" w:rsidRPr="00E10F4D" w:rsidRDefault="00E10F4D" w:rsidP="00E10F4D">
            <w:pPr>
              <w:spacing w:line="276" w:lineRule="auto"/>
              <w:rPr>
                <w:color w:val="000000"/>
                <w:sz w:val="18"/>
                <w:szCs w:val="18"/>
                <w:lang w:eastAsia="bg-BG"/>
              </w:rPr>
            </w:pPr>
            <w:r w:rsidRPr="00E10F4D">
              <w:rPr>
                <w:color w:val="000000"/>
                <w:sz w:val="18"/>
                <w:szCs w:val="18"/>
                <w:lang w:eastAsia="bg-BG"/>
              </w:rPr>
              <w:t>МИНИСТЕРСТВО НА РЕГОНАЛНОТО РАЗВИТИЕ И БЛАГОУСТРОЙСТВОТО</w:t>
            </w:r>
          </w:p>
        </w:tc>
        <w:tc>
          <w:tcPr>
            <w:tcW w:w="994" w:type="dxa"/>
            <w:tcBorders>
              <w:top w:val="nil"/>
              <w:left w:val="nil"/>
              <w:bottom w:val="single" w:sz="8" w:space="0" w:color="auto"/>
              <w:right w:val="single" w:sz="8" w:space="0" w:color="auto"/>
            </w:tcBorders>
            <w:noWrap/>
            <w:vAlign w:val="center"/>
            <w:hideMark/>
          </w:tcPr>
          <w:p w14:paraId="7F99927E" w14:textId="77777777" w:rsidR="00E10F4D" w:rsidRPr="00E10F4D" w:rsidRDefault="00E10F4D" w:rsidP="00E10F4D">
            <w:pPr>
              <w:spacing w:line="276" w:lineRule="auto"/>
              <w:jc w:val="right"/>
              <w:rPr>
                <w:color w:val="000000"/>
                <w:sz w:val="18"/>
                <w:szCs w:val="18"/>
                <w:lang w:eastAsia="bg-BG"/>
              </w:rPr>
            </w:pPr>
            <w:r w:rsidRPr="00E10F4D">
              <w:rPr>
                <w:color w:val="000000"/>
                <w:sz w:val="18"/>
                <w:szCs w:val="18"/>
                <w:lang w:eastAsia="bg-BG"/>
              </w:rPr>
              <w:t>780,9</w:t>
            </w:r>
          </w:p>
        </w:tc>
        <w:tc>
          <w:tcPr>
            <w:tcW w:w="992" w:type="dxa"/>
            <w:tcBorders>
              <w:top w:val="nil"/>
              <w:left w:val="nil"/>
              <w:bottom w:val="single" w:sz="8" w:space="0" w:color="auto"/>
              <w:right w:val="single" w:sz="8" w:space="0" w:color="auto"/>
            </w:tcBorders>
            <w:noWrap/>
            <w:vAlign w:val="center"/>
            <w:hideMark/>
          </w:tcPr>
          <w:p w14:paraId="4195F352" w14:textId="77777777" w:rsidR="00E10F4D" w:rsidRPr="00E10F4D" w:rsidRDefault="00E10F4D" w:rsidP="00E10F4D">
            <w:pPr>
              <w:spacing w:line="276" w:lineRule="auto"/>
              <w:jc w:val="right"/>
              <w:rPr>
                <w:color w:val="000000"/>
                <w:sz w:val="18"/>
                <w:szCs w:val="18"/>
                <w:lang w:eastAsia="bg-BG"/>
              </w:rPr>
            </w:pPr>
            <w:r w:rsidRPr="00E10F4D">
              <w:rPr>
                <w:color w:val="000000"/>
                <w:sz w:val="18"/>
                <w:szCs w:val="18"/>
                <w:lang w:eastAsia="bg-BG"/>
              </w:rPr>
              <w:t>183,0</w:t>
            </w:r>
          </w:p>
        </w:tc>
        <w:tc>
          <w:tcPr>
            <w:tcW w:w="1133" w:type="dxa"/>
            <w:tcBorders>
              <w:top w:val="nil"/>
              <w:left w:val="nil"/>
              <w:bottom w:val="single" w:sz="8" w:space="0" w:color="auto"/>
              <w:right w:val="single" w:sz="8" w:space="0" w:color="auto"/>
            </w:tcBorders>
            <w:noWrap/>
            <w:vAlign w:val="center"/>
            <w:hideMark/>
          </w:tcPr>
          <w:p w14:paraId="30A45AE5" w14:textId="77777777" w:rsidR="00E10F4D" w:rsidRPr="00E10F4D" w:rsidRDefault="00E10F4D" w:rsidP="00E10F4D">
            <w:pPr>
              <w:spacing w:line="276" w:lineRule="auto"/>
              <w:jc w:val="right"/>
              <w:rPr>
                <w:color w:val="000000"/>
                <w:sz w:val="18"/>
                <w:szCs w:val="18"/>
                <w:lang w:eastAsia="bg-BG"/>
              </w:rPr>
            </w:pPr>
            <w:r w:rsidRPr="00E10F4D">
              <w:rPr>
                <w:color w:val="000000"/>
                <w:sz w:val="18"/>
                <w:szCs w:val="18"/>
                <w:lang w:eastAsia="bg-BG"/>
              </w:rPr>
              <w:t>-597,8</w:t>
            </w:r>
          </w:p>
        </w:tc>
      </w:tr>
      <w:tr w:rsidR="00E10F4D" w:rsidRPr="00E10F4D" w14:paraId="3D268167" w14:textId="77777777" w:rsidTr="004639C5">
        <w:trPr>
          <w:trHeight w:val="185"/>
        </w:trPr>
        <w:tc>
          <w:tcPr>
            <w:tcW w:w="6171" w:type="dxa"/>
            <w:tcBorders>
              <w:top w:val="nil"/>
              <w:left w:val="single" w:sz="8" w:space="0" w:color="auto"/>
              <w:bottom w:val="single" w:sz="8" w:space="0" w:color="auto"/>
              <w:right w:val="single" w:sz="8" w:space="0" w:color="auto"/>
            </w:tcBorders>
            <w:vAlign w:val="center"/>
            <w:hideMark/>
          </w:tcPr>
          <w:p w14:paraId="2701453F" w14:textId="77777777" w:rsidR="00E10F4D" w:rsidRPr="00E10F4D" w:rsidRDefault="00E10F4D" w:rsidP="00E10F4D">
            <w:pPr>
              <w:spacing w:line="276" w:lineRule="auto"/>
              <w:rPr>
                <w:color w:val="000000"/>
                <w:sz w:val="18"/>
                <w:szCs w:val="18"/>
                <w:lang w:eastAsia="bg-BG"/>
              </w:rPr>
            </w:pPr>
            <w:r w:rsidRPr="00E10F4D">
              <w:rPr>
                <w:color w:val="000000"/>
                <w:sz w:val="18"/>
                <w:szCs w:val="18"/>
                <w:lang w:eastAsia="bg-BG"/>
              </w:rPr>
              <w:t>ВИСШ СЪДЕБЕН СЪВЕТ</w:t>
            </w:r>
          </w:p>
        </w:tc>
        <w:tc>
          <w:tcPr>
            <w:tcW w:w="994" w:type="dxa"/>
            <w:tcBorders>
              <w:top w:val="nil"/>
              <w:left w:val="nil"/>
              <w:bottom w:val="single" w:sz="8" w:space="0" w:color="auto"/>
              <w:right w:val="single" w:sz="8" w:space="0" w:color="auto"/>
            </w:tcBorders>
            <w:noWrap/>
            <w:vAlign w:val="center"/>
            <w:hideMark/>
          </w:tcPr>
          <w:p w14:paraId="76CA4E29" w14:textId="77777777" w:rsidR="00E10F4D" w:rsidRPr="00E10F4D" w:rsidRDefault="00E10F4D" w:rsidP="00E10F4D">
            <w:pPr>
              <w:spacing w:line="276" w:lineRule="auto"/>
              <w:jc w:val="right"/>
              <w:rPr>
                <w:color w:val="000000"/>
                <w:sz w:val="18"/>
                <w:szCs w:val="18"/>
                <w:lang w:eastAsia="bg-BG"/>
              </w:rPr>
            </w:pPr>
            <w:r w:rsidRPr="00E10F4D">
              <w:rPr>
                <w:color w:val="000000"/>
                <w:sz w:val="18"/>
                <w:szCs w:val="18"/>
                <w:lang w:eastAsia="bg-BG"/>
              </w:rPr>
              <w:t>108,0</w:t>
            </w:r>
          </w:p>
        </w:tc>
        <w:tc>
          <w:tcPr>
            <w:tcW w:w="992" w:type="dxa"/>
            <w:tcBorders>
              <w:top w:val="nil"/>
              <w:left w:val="nil"/>
              <w:bottom w:val="single" w:sz="8" w:space="0" w:color="auto"/>
              <w:right w:val="single" w:sz="8" w:space="0" w:color="auto"/>
            </w:tcBorders>
            <w:noWrap/>
            <w:vAlign w:val="center"/>
            <w:hideMark/>
          </w:tcPr>
          <w:p w14:paraId="4A2577A6" w14:textId="77777777" w:rsidR="00E10F4D" w:rsidRPr="00E10F4D" w:rsidRDefault="00E10F4D" w:rsidP="00E10F4D">
            <w:pPr>
              <w:spacing w:line="276" w:lineRule="auto"/>
              <w:jc w:val="right"/>
              <w:rPr>
                <w:color w:val="000000"/>
                <w:sz w:val="18"/>
                <w:szCs w:val="18"/>
                <w:lang w:eastAsia="bg-BG"/>
              </w:rPr>
            </w:pPr>
            <w:r w:rsidRPr="00E10F4D">
              <w:rPr>
                <w:color w:val="000000"/>
                <w:sz w:val="18"/>
                <w:szCs w:val="18"/>
                <w:lang w:eastAsia="bg-BG"/>
              </w:rPr>
              <w:t>128,5</w:t>
            </w:r>
          </w:p>
        </w:tc>
        <w:tc>
          <w:tcPr>
            <w:tcW w:w="1133" w:type="dxa"/>
            <w:tcBorders>
              <w:top w:val="nil"/>
              <w:left w:val="nil"/>
              <w:bottom w:val="single" w:sz="8" w:space="0" w:color="auto"/>
              <w:right w:val="single" w:sz="8" w:space="0" w:color="auto"/>
            </w:tcBorders>
            <w:noWrap/>
            <w:vAlign w:val="center"/>
            <w:hideMark/>
          </w:tcPr>
          <w:p w14:paraId="1A6C05C8" w14:textId="77777777" w:rsidR="00E10F4D" w:rsidRPr="00E10F4D" w:rsidRDefault="00E10F4D" w:rsidP="00E10F4D">
            <w:pPr>
              <w:spacing w:line="276" w:lineRule="auto"/>
              <w:jc w:val="right"/>
              <w:rPr>
                <w:color w:val="000000"/>
                <w:sz w:val="18"/>
                <w:szCs w:val="18"/>
                <w:lang w:eastAsia="bg-BG"/>
              </w:rPr>
            </w:pPr>
            <w:r w:rsidRPr="00E10F4D">
              <w:rPr>
                <w:color w:val="000000"/>
                <w:sz w:val="18"/>
                <w:szCs w:val="18"/>
                <w:lang w:eastAsia="bg-BG"/>
              </w:rPr>
              <w:t>20,5</w:t>
            </w:r>
          </w:p>
        </w:tc>
      </w:tr>
      <w:tr w:rsidR="00E10F4D" w:rsidRPr="00E10F4D" w14:paraId="0BC3AB27" w14:textId="77777777" w:rsidTr="004639C5">
        <w:trPr>
          <w:trHeight w:val="74"/>
        </w:trPr>
        <w:tc>
          <w:tcPr>
            <w:tcW w:w="6171" w:type="dxa"/>
            <w:tcBorders>
              <w:top w:val="nil"/>
              <w:left w:val="single" w:sz="8" w:space="0" w:color="auto"/>
              <w:bottom w:val="single" w:sz="8" w:space="0" w:color="auto"/>
              <w:right w:val="single" w:sz="8" w:space="0" w:color="auto"/>
            </w:tcBorders>
            <w:vAlign w:val="center"/>
            <w:hideMark/>
          </w:tcPr>
          <w:p w14:paraId="093F2BA8" w14:textId="77777777" w:rsidR="00E10F4D" w:rsidRPr="00E10F4D" w:rsidRDefault="00E10F4D" w:rsidP="00E10F4D">
            <w:pPr>
              <w:spacing w:line="276" w:lineRule="auto"/>
              <w:rPr>
                <w:color w:val="000000"/>
                <w:sz w:val="18"/>
                <w:szCs w:val="18"/>
                <w:lang w:eastAsia="bg-BG"/>
              </w:rPr>
            </w:pPr>
            <w:r w:rsidRPr="00E10F4D">
              <w:rPr>
                <w:color w:val="000000"/>
                <w:sz w:val="18"/>
                <w:szCs w:val="18"/>
                <w:lang w:eastAsia="bg-BG"/>
              </w:rPr>
              <w:t>МИНИСТЕРСТВО НА ТРАНСПОРТА, ИНФОРМАЦИОННИТЕ ТЕХНОЛОГИИ И СЪОБЩЕНИЯТА</w:t>
            </w:r>
          </w:p>
        </w:tc>
        <w:tc>
          <w:tcPr>
            <w:tcW w:w="994" w:type="dxa"/>
            <w:tcBorders>
              <w:top w:val="nil"/>
              <w:left w:val="nil"/>
              <w:bottom w:val="single" w:sz="8" w:space="0" w:color="auto"/>
              <w:right w:val="single" w:sz="8" w:space="0" w:color="auto"/>
            </w:tcBorders>
            <w:noWrap/>
            <w:vAlign w:val="center"/>
            <w:hideMark/>
          </w:tcPr>
          <w:p w14:paraId="577A7A56" w14:textId="77777777" w:rsidR="00E10F4D" w:rsidRPr="00E10F4D" w:rsidRDefault="00E10F4D" w:rsidP="00E10F4D">
            <w:pPr>
              <w:spacing w:line="276" w:lineRule="auto"/>
              <w:jc w:val="right"/>
              <w:rPr>
                <w:color w:val="000000"/>
                <w:sz w:val="18"/>
                <w:szCs w:val="18"/>
                <w:lang w:eastAsia="bg-BG"/>
              </w:rPr>
            </w:pPr>
            <w:r w:rsidRPr="00E10F4D">
              <w:rPr>
                <w:color w:val="000000"/>
                <w:sz w:val="18"/>
                <w:szCs w:val="18"/>
                <w:lang w:eastAsia="bg-BG"/>
              </w:rPr>
              <w:t>37,0</w:t>
            </w:r>
          </w:p>
        </w:tc>
        <w:tc>
          <w:tcPr>
            <w:tcW w:w="992" w:type="dxa"/>
            <w:tcBorders>
              <w:top w:val="nil"/>
              <w:left w:val="nil"/>
              <w:bottom w:val="single" w:sz="8" w:space="0" w:color="auto"/>
              <w:right w:val="single" w:sz="8" w:space="0" w:color="auto"/>
            </w:tcBorders>
            <w:noWrap/>
            <w:vAlign w:val="center"/>
            <w:hideMark/>
          </w:tcPr>
          <w:p w14:paraId="10B418D3" w14:textId="77777777" w:rsidR="00E10F4D" w:rsidRPr="00E10F4D" w:rsidRDefault="00E10F4D" w:rsidP="00E10F4D">
            <w:pPr>
              <w:spacing w:line="276" w:lineRule="auto"/>
              <w:jc w:val="right"/>
              <w:rPr>
                <w:color w:val="000000"/>
                <w:sz w:val="18"/>
                <w:szCs w:val="18"/>
                <w:lang w:eastAsia="bg-BG"/>
              </w:rPr>
            </w:pPr>
            <w:r w:rsidRPr="00E10F4D">
              <w:rPr>
                <w:color w:val="000000"/>
                <w:sz w:val="18"/>
                <w:szCs w:val="18"/>
                <w:lang w:eastAsia="bg-BG"/>
              </w:rPr>
              <w:t>114,3</w:t>
            </w:r>
          </w:p>
        </w:tc>
        <w:tc>
          <w:tcPr>
            <w:tcW w:w="1133" w:type="dxa"/>
            <w:tcBorders>
              <w:top w:val="nil"/>
              <w:left w:val="nil"/>
              <w:bottom w:val="single" w:sz="8" w:space="0" w:color="auto"/>
              <w:right w:val="single" w:sz="8" w:space="0" w:color="auto"/>
            </w:tcBorders>
            <w:noWrap/>
            <w:vAlign w:val="center"/>
            <w:hideMark/>
          </w:tcPr>
          <w:p w14:paraId="6829197C" w14:textId="77777777" w:rsidR="00E10F4D" w:rsidRPr="00E10F4D" w:rsidRDefault="00E10F4D" w:rsidP="00E10F4D">
            <w:pPr>
              <w:spacing w:line="276" w:lineRule="auto"/>
              <w:jc w:val="right"/>
              <w:rPr>
                <w:color w:val="000000"/>
                <w:sz w:val="18"/>
                <w:szCs w:val="18"/>
                <w:lang w:eastAsia="bg-BG"/>
              </w:rPr>
            </w:pPr>
            <w:r w:rsidRPr="00E10F4D">
              <w:rPr>
                <w:color w:val="000000"/>
                <w:sz w:val="18"/>
                <w:szCs w:val="18"/>
                <w:lang w:eastAsia="bg-BG"/>
              </w:rPr>
              <w:t>77,2</w:t>
            </w:r>
          </w:p>
        </w:tc>
      </w:tr>
      <w:tr w:rsidR="00E10F4D" w:rsidRPr="00E10F4D" w14:paraId="3D1BFEE5" w14:textId="77777777" w:rsidTr="004639C5">
        <w:trPr>
          <w:trHeight w:val="49"/>
        </w:trPr>
        <w:tc>
          <w:tcPr>
            <w:tcW w:w="6171" w:type="dxa"/>
            <w:tcBorders>
              <w:top w:val="nil"/>
              <w:left w:val="single" w:sz="8" w:space="0" w:color="auto"/>
              <w:bottom w:val="single" w:sz="8" w:space="0" w:color="auto"/>
              <w:right w:val="single" w:sz="8" w:space="0" w:color="auto"/>
            </w:tcBorders>
            <w:vAlign w:val="center"/>
            <w:hideMark/>
          </w:tcPr>
          <w:p w14:paraId="6C89A95E" w14:textId="77777777" w:rsidR="00E10F4D" w:rsidRPr="00E10F4D" w:rsidRDefault="00E10F4D" w:rsidP="00E10F4D">
            <w:pPr>
              <w:spacing w:line="276" w:lineRule="auto"/>
              <w:rPr>
                <w:color w:val="000000"/>
                <w:sz w:val="18"/>
                <w:szCs w:val="18"/>
                <w:lang w:eastAsia="bg-BG"/>
              </w:rPr>
            </w:pPr>
            <w:r w:rsidRPr="00E10F4D">
              <w:rPr>
                <w:color w:val="000000"/>
                <w:sz w:val="18"/>
                <w:szCs w:val="18"/>
                <w:lang w:eastAsia="bg-BG"/>
              </w:rPr>
              <w:t>МИНИСТЕРСТВО НА ОБРАЗОВАНИЕТО И НАУКАТА</w:t>
            </w:r>
          </w:p>
        </w:tc>
        <w:tc>
          <w:tcPr>
            <w:tcW w:w="994" w:type="dxa"/>
            <w:tcBorders>
              <w:top w:val="nil"/>
              <w:left w:val="nil"/>
              <w:bottom w:val="single" w:sz="8" w:space="0" w:color="auto"/>
              <w:right w:val="single" w:sz="8" w:space="0" w:color="auto"/>
            </w:tcBorders>
            <w:noWrap/>
            <w:vAlign w:val="center"/>
            <w:hideMark/>
          </w:tcPr>
          <w:p w14:paraId="78336FCF" w14:textId="77777777" w:rsidR="00E10F4D" w:rsidRPr="00E10F4D" w:rsidRDefault="00E10F4D" w:rsidP="00E10F4D">
            <w:pPr>
              <w:spacing w:line="276" w:lineRule="auto"/>
              <w:jc w:val="right"/>
              <w:rPr>
                <w:color w:val="000000"/>
                <w:sz w:val="18"/>
                <w:szCs w:val="18"/>
                <w:lang w:eastAsia="bg-BG"/>
              </w:rPr>
            </w:pPr>
            <w:r w:rsidRPr="00E10F4D">
              <w:rPr>
                <w:color w:val="000000"/>
                <w:sz w:val="18"/>
                <w:szCs w:val="18"/>
                <w:lang w:eastAsia="bg-BG"/>
              </w:rPr>
              <w:t>117,3</w:t>
            </w:r>
          </w:p>
        </w:tc>
        <w:tc>
          <w:tcPr>
            <w:tcW w:w="992" w:type="dxa"/>
            <w:tcBorders>
              <w:top w:val="nil"/>
              <w:left w:val="nil"/>
              <w:bottom w:val="single" w:sz="8" w:space="0" w:color="auto"/>
              <w:right w:val="single" w:sz="8" w:space="0" w:color="auto"/>
            </w:tcBorders>
            <w:noWrap/>
            <w:vAlign w:val="center"/>
            <w:hideMark/>
          </w:tcPr>
          <w:p w14:paraId="6855515B" w14:textId="77777777" w:rsidR="00E10F4D" w:rsidRPr="00E10F4D" w:rsidRDefault="00E10F4D" w:rsidP="00E10F4D">
            <w:pPr>
              <w:spacing w:line="276" w:lineRule="auto"/>
              <w:jc w:val="right"/>
              <w:rPr>
                <w:color w:val="000000"/>
                <w:sz w:val="18"/>
                <w:szCs w:val="18"/>
                <w:lang w:eastAsia="bg-BG"/>
              </w:rPr>
            </w:pPr>
            <w:r w:rsidRPr="00E10F4D">
              <w:rPr>
                <w:color w:val="000000"/>
                <w:sz w:val="18"/>
                <w:szCs w:val="18"/>
                <w:lang w:eastAsia="bg-BG"/>
              </w:rPr>
              <w:t>113,2</w:t>
            </w:r>
          </w:p>
        </w:tc>
        <w:tc>
          <w:tcPr>
            <w:tcW w:w="1133" w:type="dxa"/>
            <w:tcBorders>
              <w:top w:val="nil"/>
              <w:left w:val="nil"/>
              <w:bottom w:val="single" w:sz="8" w:space="0" w:color="auto"/>
              <w:right w:val="single" w:sz="8" w:space="0" w:color="auto"/>
            </w:tcBorders>
            <w:noWrap/>
            <w:vAlign w:val="center"/>
            <w:hideMark/>
          </w:tcPr>
          <w:p w14:paraId="2C1F0553" w14:textId="77777777" w:rsidR="00E10F4D" w:rsidRPr="00E10F4D" w:rsidRDefault="00E10F4D" w:rsidP="00E10F4D">
            <w:pPr>
              <w:spacing w:line="276" w:lineRule="auto"/>
              <w:jc w:val="right"/>
              <w:rPr>
                <w:color w:val="000000"/>
                <w:sz w:val="18"/>
                <w:szCs w:val="18"/>
                <w:lang w:eastAsia="bg-BG"/>
              </w:rPr>
            </w:pPr>
            <w:r w:rsidRPr="00E10F4D">
              <w:rPr>
                <w:color w:val="000000"/>
                <w:sz w:val="18"/>
                <w:szCs w:val="18"/>
                <w:lang w:eastAsia="bg-BG"/>
              </w:rPr>
              <w:t>-4,1</w:t>
            </w:r>
          </w:p>
        </w:tc>
      </w:tr>
      <w:tr w:rsidR="00E10F4D" w:rsidRPr="00E10F4D" w14:paraId="39984C05" w14:textId="77777777" w:rsidTr="004639C5">
        <w:trPr>
          <w:trHeight w:val="98"/>
        </w:trPr>
        <w:tc>
          <w:tcPr>
            <w:tcW w:w="6171" w:type="dxa"/>
            <w:tcBorders>
              <w:top w:val="nil"/>
              <w:left w:val="single" w:sz="8" w:space="0" w:color="auto"/>
              <w:bottom w:val="single" w:sz="8" w:space="0" w:color="auto"/>
              <w:right w:val="single" w:sz="8" w:space="0" w:color="auto"/>
            </w:tcBorders>
            <w:vAlign w:val="center"/>
            <w:hideMark/>
          </w:tcPr>
          <w:p w14:paraId="760E6471" w14:textId="77777777" w:rsidR="00E10F4D" w:rsidRPr="00E10F4D" w:rsidRDefault="00E10F4D" w:rsidP="00E10F4D">
            <w:pPr>
              <w:spacing w:line="276" w:lineRule="auto"/>
              <w:rPr>
                <w:color w:val="000000"/>
                <w:sz w:val="18"/>
                <w:szCs w:val="18"/>
                <w:lang w:eastAsia="bg-BG"/>
              </w:rPr>
            </w:pPr>
            <w:r w:rsidRPr="00E10F4D">
              <w:rPr>
                <w:color w:val="000000"/>
                <w:sz w:val="18"/>
                <w:szCs w:val="18"/>
                <w:lang w:eastAsia="bg-BG"/>
              </w:rPr>
              <w:t>МИНИСТЕРСТВО НА ФИНАНСИТЕ</w:t>
            </w:r>
          </w:p>
        </w:tc>
        <w:tc>
          <w:tcPr>
            <w:tcW w:w="994" w:type="dxa"/>
            <w:tcBorders>
              <w:top w:val="nil"/>
              <w:left w:val="nil"/>
              <w:bottom w:val="single" w:sz="8" w:space="0" w:color="auto"/>
              <w:right w:val="single" w:sz="8" w:space="0" w:color="auto"/>
            </w:tcBorders>
            <w:noWrap/>
            <w:vAlign w:val="center"/>
            <w:hideMark/>
          </w:tcPr>
          <w:p w14:paraId="2130274F" w14:textId="77777777" w:rsidR="00E10F4D" w:rsidRPr="00E10F4D" w:rsidRDefault="00E10F4D" w:rsidP="00E10F4D">
            <w:pPr>
              <w:spacing w:line="276" w:lineRule="auto"/>
              <w:jc w:val="right"/>
              <w:rPr>
                <w:color w:val="000000"/>
                <w:sz w:val="18"/>
                <w:szCs w:val="18"/>
                <w:lang w:eastAsia="bg-BG"/>
              </w:rPr>
            </w:pPr>
            <w:r w:rsidRPr="00E10F4D">
              <w:rPr>
                <w:color w:val="000000"/>
                <w:sz w:val="18"/>
                <w:szCs w:val="18"/>
                <w:lang w:eastAsia="bg-BG"/>
              </w:rPr>
              <w:t>86,1</w:t>
            </w:r>
          </w:p>
        </w:tc>
        <w:tc>
          <w:tcPr>
            <w:tcW w:w="992" w:type="dxa"/>
            <w:tcBorders>
              <w:top w:val="nil"/>
              <w:left w:val="nil"/>
              <w:bottom w:val="single" w:sz="8" w:space="0" w:color="auto"/>
              <w:right w:val="single" w:sz="8" w:space="0" w:color="auto"/>
            </w:tcBorders>
            <w:noWrap/>
            <w:vAlign w:val="center"/>
            <w:hideMark/>
          </w:tcPr>
          <w:p w14:paraId="4F60B6AC" w14:textId="77777777" w:rsidR="00E10F4D" w:rsidRPr="00E10F4D" w:rsidRDefault="00E10F4D" w:rsidP="00E10F4D">
            <w:pPr>
              <w:spacing w:line="276" w:lineRule="auto"/>
              <w:jc w:val="right"/>
              <w:rPr>
                <w:color w:val="000000"/>
                <w:sz w:val="18"/>
                <w:szCs w:val="18"/>
                <w:lang w:eastAsia="bg-BG"/>
              </w:rPr>
            </w:pPr>
            <w:r w:rsidRPr="00E10F4D">
              <w:rPr>
                <w:color w:val="000000"/>
                <w:sz w:val="18"/>
                <w:szCs w:val="18"/>
                <w:lang w:eastAsia="bg-BG"/>
              </w:rPr>
              <w:t>89,5</w:t>
            </w:r>
          </w:p>
        </w:tc>
        <w:tc>
          <w:tcPr>
            <w:tcW w:w="1133" w:type="dxa"/>
            <w:tcBorders>
              <w:top w:val="nil"/>
              <w:left w:val="nil"/>
              <w:bottom w:val="single" w:sz="8" w:space="0" w:color="auto"/>
              <w:right w:val="single" w:sz="8" w:space="0" w:color="auto"/>
            </w:tcBorders>
            <w:noWrap/>
            <w:vAlign w:val="center"/>
            <w:hideMark/>
          </w:tcPr>
          <w:p w14:paraId="4C4CCE6F" w14:textId="77777777" w:rsidR="00E10F4D" w:rsidRPr="00E10F4D" w:rsidRDefault="00E10F4D" w:rsidP="00E10F4D">
            <w:pPr>
              <w:spacing w:line="276" w:lineRule="auto"/>
              <w:jc w:val="right"/>
              <w:rPr>
                <w:color w:val="000000"/>
                <w:sz w:val="18"/>
                <w:szCs w:val="18"/>
                <w:lang w:eastAsia="bg-BG"/>
              </w:rPr>
            </w:pPr>
            <w:r w:rsidRPr="00E10F4D">
              <w:rPr>
                <w:color w:val="000000"/>
                <w:sz w:val="18"/>
                <w:szCs w:val="18"/>
                <w:lang w:eastAsia="bg-BG"/>
              </w:rPr>
              <w:t>3,4</w:t>
            </w:r>
          </w:p>
        </w:tc>
      </w:tr>
      <w:tr w:rsidR="00E10F4D" w:rsidRPr="00E10F4D" w14:paraId="5D816F8F" w14:textId="77777777" w:rsidTr="004639C5">
        <w:trPr>
          <w:trHeight w:val="300"/>
        </w:trPr>
        <w:tc>
          <w:tcPr>
            <w:tcW w:w="6171" w:type="dxa"/>
            <w:tcBorders>
              <w:top w:val="single" w:sz="8" w:space="0" w:color="auto"/>
              <w:left w:val="single" w:sz="8" w:space="0" w:color="auto"/>
              <w:bottom w:val="single" w:sz="8" w:space="0" w:color="auto"/>
              <w:right w:val="single" w:sz="8" w:space="0" w:color="auto"/>
            </w:tcBorders>
            <w:shd w:val="clear" w:color="auto" w:fill="FFC000"/>
            <w:vAlign w:val="center"/>
            <w:hideMark/>
          </w:tcPr>
          <w:p w14:paraId="22A93189" w14:textId="77777777" w:rsidR="00E10F4D" w:rsidRPr="00E10F4D" w:rsidRDefault="00E10F4D" w:rsidP="00E10F4D">
            <w:pPr>
              <w:rPr>
                <w:b/>
                <w:bCs/>
                <w:color w:val="000000"/>
                <w:sz w:val="18"/>
                <w:szCs w:val="18"/>
                <w:lang w:eastAsia="bg-BG"/>
              </w:rPr>
            </w:pPr>
            <w:r w:rsidRPr="00E10F4D">
              <w:rPr>
                <w:b/>
                <w:bCs/>
                <w:color w:val="000000"/>
                <w:sz w:val="18"/>
                <w:szCs w:val="18"/>
                <w:lang w:eastAsia="bg-BG"/>
              </w:rPr>
              <w:t>ОБЩО ЗА ПОСОЧЕНИТЕ ПРБ</w:t>
            </w:r>
          </w:p>
        </w:tc>
        <w:tc>
          <w:tcPr>
            <w:tcW w:w="994" w:type="dxa"/>
            <w:tcBorders>
              <w:top w:val="single" w:sz="8" w:space="0" w:color="auto"/>
              <w:left w:val="nil"/>
              <w:bottom w:val="single" w:sz="8" w:space="0" w:color="auto"/>
              <w:right w:val="single" w:sz="8" w:space="0" w:color="auto"/>
            </w:tcBorders>
            <w:shd w:val="clear" w:color="auto" w:fill="FFC000"/>
            <w:noWrap/>
            <w:vAlign w:val="center"/>
            <w:hideMark/>
          </w:tcPr>
          <w:p w14:paraId="4FDE26D1" w14:textId="77777777" w:rsidR="00E10F4D" w:rsidRPr="00E10F4D" w:rsidRDefault="00E10F4D" w:rsidP="00E10F4D">
            <w:pPr>
              <w:jc w:val="right"/>
              <w:rPr>
                <w:b/>
                <w:bCs/>
                <w:color w:val="000000"/>
                <w:sz w:val="18"/>
                <w:szCs w:val="18"/>
                <w:lang w:eastAsia="bg-BG"/>
              </w:rPr>
            </w:pPr>
            <w:r w:rsidRPr="00E10F4D">
              <w:rPr>
                <w:b/>
                <w:bCs/>
                <w:color w:val="000000"/>
                <w:sz w:val="18"/>
                <w:szCs w:val="18"/>
                <w:lang w:eastAsia="bg-BG"/>
              </w:rPr>
              <w:t>2 507,2</w:t>
            </w:r>
          </w:p>
        </w:tc>
        <w:tc>
          <w:tcPr>
            <w:tcW w:w="992" w:type="dxa"/>
            <w:tcBorders>
              <w:top w:val="single" w:sz="8" w:space="0" w:color="auto"/>
              <w:left w:val="nil"/>
              <w:bottom w:val="single" w:sz="8" w:space="0" w:color="auto"/>
              <w:right w:val="single" w:sz="8" w:space="0" w:color="auto"/>
            </w:tcBorders>
            <w:shd w:val="clear" w:color="auto" w:fill="FFC000"/>
            <w:noWrap/>
            <w:vAlign w:val="center"/>
            <w:hideMark/>
          </w:tcPr>
          <w:p w14:paraId="1883F5CC" w14:textId="77777777" w:rsidR="00E10F4D" w:rsidRPr="00E10F4D" w:rsidRDefault="00E10F4D" w:rsidP="00E10F4D">
            <w:pPr>
              <w:jc w:val="right"/>
              <w:rPr>
                <w:b/>
                <w:bCs/>
                <w:color w:val="000000"/>
                <w:sz w:val="18"/>
                <w:szCs w:val="18"/>
                <w:lang w:eastAsia="bg-BG"/>
              </w:rPr>
            </w:pPr>
            <w:r w:rsidRPr="00E10F4D">
              <w:rPr>
                <w:b/>
                <w:bCs/>
                <w:color w:val="000000"/>
                <w:sz w:val="18"/>
                <w:szCs w:val="18"/>
                <w:lang w:eastAsia="bg-BG"/>
              </w:rPr>
              <w:t>3 006,2</w:t>
            </w:r>
          </w:p>
        </w:tc>
        <w:tc>
          <w:tcPr>
            <w:tcW w:w="1133" w:type="dxa"/>
            <w:tcBorders>
              <w:top w:val="single" w:sz="8" w:space="0" w:color="auto"/>
              <w:left w:val="nil"/>
              <w:bottom w:val="single" w:sz="8" w:space="0" w:color="auto"/>
              <w:right w:val="single" w:sz="8" w:space="0" w:color="auto"/>
            </w:tcBorders>
            <w:shd w:val="clear" w:color="auto" w:fill="FFC000"/>
            <w:noWrap/>
            <w:vAlign w:val="center"/>
            <w:hideMark/>
          </w:tcPr>
          <w:p w14:paraId="19794CBB" w14:textId="77777777" w:rsidR="00E10F4D" w:rsidRPr="00E10F4D" w:rsidRDefault="00E10F4D" w:rsidP="00E10F4D">
            <w:pPr>
              <w:jc w:val="right"/>
              <w:rPr>
                <w:b/>
                <w:bCs/>
                <w:color w:val="000000"/>
                <w:sz w:val="18"/>
                <w:szCs w:val="18"/>
                <w:lang w:eastAsia="bg-BG"/>
              </w:rPr>
            </w:pPr>
            <w:r w:rsidRPr="00E10F4D">
              <w:rPr>
                <w:b/>
                <w:bCs/>
                <w:color w:val="000000"/>
                <w:sz w:val="18"/>
                <w:szCs w:val="18"/>
                <w:lang w:eastAsia="bg-BG"/>
              </w:rPr>
              <w:t>499,1</w:t>
            </w:r>
          </w:p>
        </w:tc>
      </w:tr>
      <w:tr w:rsidR="00E10F4D" w:rsidRPr="00E10F4D" w14:paraId="5298598F" w14:textId="77777777" w:rsidTr="004639C5">
        <w:trPr>
          <w:trHeight w:val="262"/>
        </w:trPr>
        <w:tc>
          <w:tcPr>
            <w:tcW w:w="6171" w:type="dxa"/>
            <w:tcBorders>
              <w:top w:val="nil"/>
              <w:left w:val="single" w:sz="8" w:space="0" w:color="auto"/>
              <w:bottom w:val="single" w:sz="8" w:space="0" w:color="auto"/>
              <w:right w:val="single" w:sz="8" w:space="0" w:color="auto"/>
            </w:tcBorders>
            <w:vAlign w:val="center"/>
            <w:hideMark/>
          </w:tcPr>
          <w:p w14:paraId="49A1A1AE" w14:textId="77777777" w:rsidR="00E10F4D" w:rsidRPr="00E10F4D" w:rsidRDefault="00E10F4D" w:rsidP="00E10F4D">
            <w:pPr>
              <w:rPr>
                <w:b/>
                <w:bCs/>
                <w:color w:val="000000"/>
                <w:sz w:val="18"/>
                <w:szCs w:val="18"/>
                <w:lang w:eastAsia="bg-BG"/>
              </w:rPr>
            </w:pPr>
            <w:r w:rsidRPr="00E10F4D">
              <w:rPr>
                <w:b/>
                <w:bCs/>
                <w:color w:val="000000"/>
                <w:sz w:val="18"/>
                <w:szCs w:val="18"/>
                <w:lang w:eastAsia="bg-BG"/>
              </w:rPr>
              <w:t>ОБЩО РАЗХОДИ ПО ДЪРЖАВНИЯ БЮДЖЕТ (БЕЗ ВНОСКА В ЕС)</w:t>
            </w:r>
          </w:p>
        </w:tc>
        <w:tc>
          <w:tcPr>
            <w:tcW w:w="994" w:type="dxa"/>
            <w:tcBorders>
              <w:top w:val="nil"/>
              <w:left w:val="nil"/>
              <w:bottom w:val="single" w:sz="8" w:space="0" w:color="auto"/>
              <w:right w:val="single" w:sz="8" w:space="0" w:color="auto"/>
            </w:tcBorders>
            <w:noWrap/>
            <w:vAlign w:val="center"/>
            <w:hideMark/>
          </w:tcPr>
          <w:p w14:paraId="58C47D28" w14:textId="77777777" w:rsidR="00E10F4D" w:rsidRPr="00E10F4D" w:rsidRDefault="00E10F4D" w:rsidP="00E10F4D">
            <w:pPr>
              <w:jc w:val="right"/>
              <w:rPr>
                <w:color w:val="000000"/>
                <w:sz w:val="18"/>
                <w:szCs w:val="18"/>
                <w:lang w:eastAsia="bg-BG"/>
              </w:rPr>
            </w:pPr>
            <w:r w:rsidRPr="00E10F4D">
              <w:rPr>
                <w:color w:val="000000"/>
                <w:sz w:val="18"/>
                <w:szCs w:val="18"/>
                <w:lang w:eastAsia="bg-BG"/>
              </w:rPr>
              <w:t>3 250,8</w:t>
            </w:r>
          </w:p>
        </w:tc>
        <w:tc>
          <w:tcPr>
            <w:tcW w:w="992" w:type="dxa"/>
            <w:tcBorders>
              <w:top w:val="nil"/>
              <w:left w:val="nil"/>
              <w:bottom w:val="single" w:sz="8" w:space="0" w:color="auto"/>
              <w:right w:val="single" w:sz="8" w:space="0" w:color="auto"/>
            </w:tcBorders>
            <w:noWrap/>
            <w:vAlign w:val="center"/>
            <w:hideMark/>
          </w:tcPr>
          <w:p w14:paraId="0502456C" w14:textId="77777777" w:rsidR="00E10F4D" w:rsidRPr="00E10F4D" w:rsidRDefault="00E10F4D" w:rsidP="00E10F4D">
            <w:pPr>
              <w:jc w:val="right"/>
              <w:rPr>
                <w:color w:val="000000"/>
                <w:sz w:val="18"/>
                <w:szCs w:val="18"/>
                <w:lang w:eastAsia="bg-BG"/>
              </w:rPr>
            </w:pPr>
            <w:r w:rsidRPr="00E10F4D">
              <w:rPr>
                <w:color w:val="000000"/>
                <w:sz w:val="18"/>
                <w:szCs w:val="18"/>
                <w:lang w:eastAsia="bg-BG"/>
              </w:rPr>
              <w:t>3 659,1</w:t>
            </w:r>
          </w:p>
        </w:tc>
        <w:tc>
          <w:tcPr>
            <w:tcW w:w="1133" w:type="dxa"/>
            <w:tcBorders>
              <w:top w:val="nil"/>
              <w:left w:val="nil"/>
              <w:bottom w:val="single" w:sz="8" w:space="0" w:color="auto"/>
              <w:right w:val="single" w:sz="8" w:space="0" w:color="auto"/>
            </w:tcBorders>
            <w:noWrap/>
            <w:vAlign w:val="center"/>
            <w:hideMark/>
          </w:tcPr>
          <w:p w14:paraId="432DE433" w14:textId="77777777" w:rsidR="00E10F4D" w:rsidRPr="00E10F4D" w:rsidRDefault="00E10F4D" w:rsidP="00E10F4D">
            <w:pPr>
              <w:jc w:val="right"/>
              <w:rPr>
                <w:color w:val="000000"/>
                <w:sz w:val="18"/>
                <w:szCs w:val="18"/>
                <w:lang w:eastAsia="bg-BG"/>
              </w:rPr>
            </w:pPr>
            <w:r w:rsidRPr="00E10F4D">
              <w:rPr>
                <w:color w:val="000000"/>
                <w:sz w:val="18"/>
                <w:szCs w:val="18"/>
                <w:lang w:eastAsia="bg-BG"/>
              </w:rPr>
              <w:t>408,3</w:t>
            </w:r>
          </w:p>
        </w:tc>
      </w:tr>
      <w:tr w:rsidR="00E10F4D" w:rsidRPr="00E10F4D" w14:paraId="311A551F" w14:textId="77777777" w:rsidTr="004639C5">
        <w:trPr>
          <w:trHeight w:val="124"/>
        </w:trPr>
        <w:tc>
          <w:tcPr>
            <w:tcW w:w="6171" w:type="dxa"/>
            <w:tcBorders>
              <w:top w:val="nil"/>
              <w:left w:val="single" w:sz="8" w:space="0" w:color="auto"/>
              <w:bottom w:val="single" w:sz="8" w:space="0" w:color="auto"/>
              <w:right w:val="single" w:sz="8" w:space="0" w:color="auto"/>
            </w:tcBorders>
            <w:vAlign w:val="center"/>
            <w:hideMark/>
          </w:tcPr>
          <w:p w14:paraId="39B0A568" w14:textId="77777777" w:rsidR="00E10F4D" w:rsidRPr="00E10F4D" w:rsidRDefault="00E10F4D" w:rsidP="00E10F4D">
            <w:pPr>
              <w:rPr>
                <w:b/>
                <w:bCs/>
                <w:color w:val="000000"/>
                <w:sz w:val="18"/>
                <w:szCs w:val="18"/>
                <w:lang w:eastAsia="bg-BG"/>
              </w:rPr>
            </w:pPr>
            <w:r w:rsidRPr="00E10F4D">
              <w:rPr>
                <w:b/>
                <w:bCs/>
                <w:color w:val="000000"/>
                <w:sz w:val="18"/>
                <w:szCs w:val="18"/>
                <w:lang w:eastAsia="bg-BG"/>
              </w:rPr>
              <w:t>% РАЗХОДИ НА 10-те ПРБ ОТ ОБЩИТЕ РАЗХОДИ ПО ДЪРЖАВНИЯ БЮДЖЕТ</w:t>
            </w:r>
          </w:p>
        </w:tc>
        <w:tc>
          <w:tcPr>
            <w:tcW w:w="994" w:type="dxa"/>
            <w:tcBorders>
              <w:top w:val="nil"/>
              <w:left w:val="nil"/>
              <w:bottom w:val="single" w:sz="8" w:space="0" w:color="auto"/>
              <w:right w:val="single" w:sz="8" w:space="0" w:color="auto"/>
            </w:tcBorders>
            <w:noWrap/>
            <w:vAlign w:val="center"/>
            <w:hideMark/>
          </w:tcPr>
          <w:p w14:paraId="48C6542F" w14:textId="77777777" w:rsidR="00E10F4D" w:rsidRPr="00E10F4D" w:rsidRDefault="00E10F4D" w:rsidP="00E10F4D">
            <w:pPr>
              <w:jc w:val="right"/>
              <w:rPr>
                <w:b/>
                <w:bCs/>
                <w:color w:val="000000"/>
                <w:sz w:val="18"/>
                <w:szCs w:val="18"/>
                <w:lang w:eastAsia="bg-BG"/>
              </w:rPr>
            </w:pPr>
            <w:r w:rsidRPr="00E10F4D">
              <w:rPr>
                <w:b/>
                <w:bCs/>
                <w:color w:val="000000"/>
                <w:sz w:val="18"/>
                <w:szCs w:val="18"/>
                <w:lang w:eastAsia="bg-BG"/>
              </w:rPr>
              <w:t>77,1%</w:t>
            </w:r>
          </w:p>
        </w:tc>
        <w:tc>
          <w:tcPr>
            <w:tcW w:w="992" w:type="dxa"/>
            <w:tcBorders>
              <w:top w:val="nil"/>
              <w:left w:val="nil"/>
              <w:bottom w:val="single" w:sz="8" w:space="0" w:color="auto"/>
              <w:right w:val="single" w:sz="8" w:space="0" w:color="auto"/>
            </w:tcBorders>
            <w:noWrap/>
            <w:vAlign w:val="center"/>
            <w:hideMark/>
          </w:tcPr>
          <w:p w14:paraId="7B985AE6" w14:textId="77777777" w:rsidR="00E10F4D" w:rsidRPr="00E10F4D" w:rsidRDefault="00E10F4D" w:rsidP="00E10F4D">
            <w:pPr>
              <w:jc w:val="right"/>
              <w:rPr>
                <w:b/>
                <w:bCs/>
                <w:color w:val="000000"/>
                <w:sz w:val="18"/>
                <w:szCs w:val="18"/>
                <w:lang w:eastAsia="bg-BG"/>
              </w:rPr>
            </w:pPr>
            <w:r w:rsidRPr="00E10F4D">
              <w:rPr>
                <w:b/>
                <w:bCs/>
                <w:color w:val="000000"/>
                <w:sz w:val="18"/>
                <w:szCs w:val="18"/>
                <w:lang w:eastAsia="bg-BG"/>
              </w:rPr>
              <w:t>82,2%</w:t>
            </w:r>
          </w:p>
        </w:tc>
        <w:tc>
          <w:tcPr>
            <w:tcW w:w="1133" w:type="dxa"/>
            <w:tcBorders>
              <w:top w:val="nil"/>
              <w:left w:val="nil"/>
              <w:bottom w:val="single" w:sz="8" w:space="0" w:color="auto"/>
              <w:right w:val="single" w:sz="8" w:space="0" w:color="auto"/>
            </w:tcBorders>
            <w:noWrap/>
            <w:vAlign w:val="center"/>
            <w:hideMark/>
          </w:tcPr>
          <w:p w14:paraId="1EE422DE" w14:textId="77777777" w:rsidR="00E10F4D" w:rsidRPr="00E10F4D" w:rsidRDefault="00E10F4D" w:rsidP="00E10F4D">
            <w:pPr>
              <w:jc w:val="right"/>
              <w:rPr>
                <w:color w:val="000000"/>
                <w:sz w:val="18"/>
                <w:szCs w:val="18"/>
                <w:lang w:eastAsia="bg-BG"/>
              </w:rPr>
            </w:pPr>
          </w:p>
        </w:tc>
      </w:tr>
    </w:tbl>
    <w:p w14:paraId="45C5B85B" w14:textId="77777777" w:rsidR="004639C5" w:rsidRPr="004639C5" w:rsidRDefault="004639C5" w:rsidP="00E10F4D">
      <w:pPr>
        <w:jc w:val="both"/>
        <w:rPr>
          <w:sz w:val="12"/>
          <w:szCs w:val="12"/>
          <w:lang w:eastAsia="bg-BG"/>
        </w:rPr>
      </w:pPr>
    </w:p>
    <w:p w14:paraId="7301339F" w14:textId="505AC85F" w:rsidR="00E10F4D" w:rsidRPr="00E10F4D" w:rsidRDefault="00E10F4D" w:rsidP="00E10F4D">
      <w:pPr>
        <w:jc w:val="both"/>
        <w:rPr>
          <w:lang w:eastAsia="bg-BG"/>
        </w:rPr>
      </w:pPr>
      <w:r w:rsidRPr="00E10F4D">
        <w:rPr>
          <w:lang w:eastAsia="bg-BG"/>
        </w:rPr>
        <w:t>Посочените първостепенни разпоредители с бюджет (ПРБ) формират 82,2% от разходите по държавния бюджет за декември 2021 година. С най-голям размер на разходите за декември 2021 г. е Министерството на енергетиката (1 316,4 млн. лв.), което е свързано с:</w:t>
      </w:r>
    </w:p>
    <w:p w14:paraId="10265E57" w14:textId="77777777" w:rsidR="00E10F4D" w:rsidRPr="00E10F4D" w:rsidRDefault="00E10F4D" w:rsidP="00E10F4D">
      <w:pPr>
        <w:numPr>
          <w:ilvl w:val="0"/>
          <w:numId w:val="29"/>
        </w:numPr>
        <w:ind w:left="0" w:firstLine="0"/>
        <w:contextualSpacing/>
        <w:jc w:val="both"/>
        <w:rPr>
          <w:lang w:eastAsia="bg-BG"/>
        </w:rPr>
      </w:pPr>
      <w:r w:rsidRPr="00E10F4D">
        <w:rPr>
          <w:lang w:eastAsia="bg-BG"/>
        </w:rPr>
        <w:t>изплащане през декември на дължими за периода от 1 октомври 2021 г. до 30 ноември 2021 г. компенсации по Програмата за компенсиране на небитовите крайни клиенти на електрическа енергия, одобрена с Решение № 739 на Министерския съвет от 2021 г., изменена с Решения № 771 и № 885 на Министерския съвет от 2021 г. и разход към сметка за чужди средства през месец декември 2021 г., на тези които ще бъдат изплатени до 28 февруари 2022 г., вкл. и по Програмата за компенсиране на разходите на операторите на електропреносната и електроразпределителните мрежи за закупуване на количествата електрическа енергия, потребена за технологични разходи, одобрена с Решение № 893 на Министерския съвет от 2021 г. (общо в размер на 0,86 млрд. лв., вкл. 410 млн. лв., одобрени с Постановление № 476 на Министерския съвет от 2021 г.);</w:t>
      </w:r>
    </w:p>
    <w:p w14:paraId="2AFDE196" w14:textId="77777777" w:rsidR="00E10F4D" w:rsidRPr="00E10F4D" w:rsidRDefault="00E10F4D" w:rsidP="00E10F4D">
      <w:pPr>
        <w:numPr>
          <w:ilvl w:val="0"/>
          <w:numId w:val="30"/>
        </w:numPr>
        <w:spacing w:before="600" w:after="160"/>
        <w:ind w:left="0" w:firstLine="0"/>
        <w:contextualSpacing/>
        <w:jc w:val="both"/>
        <w:rPr>
          <w:lang w:eastAsia="bg-BG"/>
        </w:rPr>
      </w:pPr>
      <w:r w:rsidRPr="00E10F4D">
        <w:rPr>
          <w:lang w:eastAsia="bg-BG"/>
        </w:rPr>
        <w:t>разход към сметка за чужди средства на Министерство на енергетиката във връзка с одобрените допълнителни разходи (450 млн. лв.) по държавния бюджет в изпълнение на Решение на Народното събрание от 23.12.2021 г. за одобряване на допълнителни разходи и трансфери по държавния бюджет за 2021 г. за сметка на преизпълнение на данъчните приходи по държавния бюджет за 2021 г. (ДВ, бр. 110 от 24.12.2021 г.) за изплащане на компенсации за високите цени на електрическата енергия и природния газ през първото тримесечие на 2022 г. (0,45 млрд. лв.).</w:t>
      </w:r>
    </w:p>
    <w:p w14:paraId="68C3F0E3" w14:textId="77777777" w:rsidR="00E10F4D" w:rsidRPr="00E10F4D" w:rsidRDefault="00E10F4D" w:rsidP="00E10F4D">
      <w:pPr>
        <w:spacing w:before="120" w:after="120"/>
        <w:jc w:val="both"/>
        <w:rPr>
          <w:lang w:eastAsia="bg-BG"/>
        </w:rPr>
      </w:pPr>
      <w:r w:rsidRPr="00E10F4D">
        <w:rPr>
          <w:lang w:eastAsia="bg-BG"/>
        </w:rPr>
        <w:t xml:space="preserve">На следващо място сред първостепенните разпоредители с бюджет по държавния бюджет, при които се отчита значителен ръст на разходите за декември 2021 г. спрямо декември 2020 г. са разходите на Министерството на труда и социалната политика. По бюджета на министерството са отчетени общо разходи за декември 2021 г. в размер на 343,4 млн. лв., в т.ч. 219,4 млн. лв. за мерки и социална подкрепа на правоимащите лица и семейства, с оглед недопускане на социално напрежение в сложната епидемична и икономическа обстановка в страната. Имено в това направление са отчетени и по-високи разходи спрямо същия месец на предходната година, с което на съпоставима база общите разходи на Министерството на труда и социалната политика през декември 2021 г. са по-високи с 0,2 млрд. лв. спрямо отчетените за декември 2020 г. Ръст на съпоставима база за декември 2021 г. се отчита също и по бюджета на Министерството на транспорта, информационните технологии и съобщенията, който е свързан с извършването на разходи за сметка на одобрените с разчетите към ЗИД на ЗДБРБ за 2021 г. (ДВ, бр. 77 от 16.09.2021 г.) средства за подпомагане на автобусните и въздушните превозвачи по чл. 1, ал. 5, т. 6 на ЗДБРБ за 2021 г. По-високи са и разходите по бюджетите на Министерството на вътрешните работи, Висшия съдебен съвет и други. </w:t>
      </w:r>
    </w:p>
    <w:p w14:paraId="3FFD138D" w14:textId="67A9C86B" w:rsidR="00E10F4D" w:rsidRPr="00E10F4D" w:rsidRDefault="00E10F4D" w:rsidP="00E10F4D">
      <w:pPr>
        <w:spacing w:before="120" w:after="120"/>
        <w:jc w:val="both"/>
        <w:rPr>
          <w:lang w:eastAsia="bg-BG"/>
        </w:rPr>
      </w:pPr>
      <w:r w:rsidRPr="00E10F4D">
        <w:rPr>
          <w:lang w:eastAsia="bg-BG"/>
        </w:rPr>
        <w:lastRenderedPageBreak/>
        <w:t>От друга страна, съпоставено с декември 2020 г. се отчита намаление на разходите за декември 2021 г. при редица ПРБ по държавния бюджет. Най-значително намаление се отчита при разходите по бюджета на МРРБ (с 597,8 млн. лв.), във връзка с одобрени допълнителни средства по бюджета на МРРБ за 2020 г. за финансиране на инфраструктурни обекти в размер на около 0,8 млрд. лева. Съществено намаление се отчита и по бюджета на Министерството на здравеопазването (с около 319,3 млн. лв.), което основно е свързано с разход към сметка за чужди средства на министерството за закупуване на ваксини, медикаменти и други разходи, свързани с пандемията от COVID-19, извършен през декември 2020 г.</w:t>
      </w:r>
    </w:p>
    <w:p w14:paraId="6AE3CEF4" w14:textId="77777777" w:rsidR="00E10F4D" w:rsidRPr="00E10F4D" w:rsidRDefault="00E10F4D" w:rsidP="00E10F4D">
      <w:pPr>
        <w:jc w:val="both"/>
        <w:rPr>
          <w:lang w:eastAsia="bg-BG"/>
        </w:rPr>
      </w:pPr>
      <w:r w:rsidRPr="00E10F4D">
        <w:rPr>
          <w:lang w:eastAsia="bg-BG"/>
        </w:rPr>
        <w:t>От изложеното е видно, че основните направления, по които нарастват разходите за декември 2021 г. спрямо отчетените за същия месец на предходната година са социалната сфера и прилаганите през 2021 г. нови програми за компенсиране на небитовите потребители на електрическа енергия за справяне с последиците от съществените и неблагоприятни колебания на цените на електрическата енергия.</w:t>
      </w:r>
    </w:p>
    <w:p w14:paraId="7DB7FB4B" w14:textId="77777777" w:rsidR="000B7CE5" w:rsidRPr="004866AA" w:rsidRDefault="000B7CE5" w:rsidP="000B7CE5">
      <w:pPr>
        <w:numPr>
          <w:ilvl w:val="0"/>
          <w:numId w:val="9"/>
        </w:numPr>
        <w:tabs>
          <w:tab w:val="num" w:pos="0"/>
          <w:tab w:val="left" w:pos="426"/>
          <w:tab w:val="left" w:pos="720"/>
        </w:tabs>
        <w:spacing w:before="240" w:after="60"/>
        <w:ind w:left="0" w:firstLine="0"/>
        <w:jc w:val="both"/>
        <w:rPr>
          <w:sz w:val="22"/>
        </w:rPr>
      </w:pPr>
      <w:r w:rsidRPr="004866AA">
        <w:rPr>
          <w:b/>
          <w:szCs w:val="28"/>
        </w:rPr>
        <w:t>Общият размер</w:t>
      </w:r>
      <w:r w:rsidRPr="004866AA">
        <w:rPr>
          <w:bCs/>
          <w:sz w:val="22"/>
        </w:rPr>
        <w:t xml:space="preserve"> </w:t>
      </w:r>
      <w:r w:rsidRPr="004866AA">
        <w:rPr>
          <w:b/>
          <w:bCs/>
          <w:szCs w:val="28"/>
        </w:rPr>
        <w:t>на касовите постъпления от ЕС</w:t>
      </w:r>
      <w:r w:rsidRPr="004866AA">
        <w:rPr>
          <w:bCs/>
          <w:szCs w:val="28"/>
        </w:rPr>
        <w:t xml:space="preserve"> (от Структурните и Кохезионния фондове, от</w:t>
      </w:r>
      <w:r w:rsidRPr="004866AA">
        <w:rPr>
          <w:szCs w:val="28"/>
        </w:rPr>
        <w:t xml:space="preserve"> ЕЗФРСР и ЕФР</w:t>
      </w:r>
      <w:r w:rsidRPr="004866AA">
        <w:rPr>
          <w:bCs/>
          <w:szCs w:val="28"/>
        </w:rPr>
        <w:t xml:space="preserve">, от средства за директни плащания към земеделските производители и плащания по пазарни мерки и др.) за </w:t>
      </w:r>
      <w:r w:rsidRPr="004866AA">
        <w:rPr>
          <w:szCs w:val="28"/>
        </w:rPr>
        <w:t>2021</w:t>
      </w:r>
      <w:r w:rsidRPr="004866AA">
        <w:rPr>
          <w:bCs/>
          <w:szCs w:val="28"/>
        </w:rPr>
        <w:t xml:space="preserve"> г. е </w:t>
      </w:r>
      <w:r w:rsidRPr="004866AA">
        <w:rPr>
          <w:b/>
          <w:bCs/>
          <w:szCs w:val="28"/>
        </w:rPr>
        <w:t>4 841,3 млн. лв.</w:t>
      </w:r>
      <w:r w:rsidRPr="004866AA">
        <w:rPr>
          <w:b/>
          <w:szCs w:val="28"/>
        </w:rPr>
        <w:t xml:space="preserve"> </w:t>
      </w:r>
      <w:r w:rsidRPr="004866AA">
        <w:rPr>
          <w:b/>
          <w:bCs/>
          <w:szCs w:val="28"/>
        </w:rPr>
        <w:t xml:space="preserve">Нетните постъпления от ЕС към 31.12.2021 г. </w:t>
      </w:r>
      <w:r w:rsidRPr="004866AA">
        <w:rPr>
          <w:bCs/>
          <w:szCs w:val="28"/>
        </w:rPr>
        <w:t xml:space="preserve">(касови постъпления от ЕС, намалени с вноската в общия бюджет на ЕС) са положителни в размер на </w:t>
      </w:r>
      <w:r w:rsidRPr="004866AA">
        <w:rPr>
          <w:b/>
          <w:bCs/>
          <w:szCs w:val="28"/>
        </w:rPr>
        <w:t>3 160,2 млн. лева</w:t>
      </w:r>
      <w:r w:rsidRPr="004866AA">
        <w:rPr>
          <w:sz w:val="22"/>
        </w:rPr>
        <w:t>.</w:t>
      </w:r>
    </w:p>
    <w:p w14:paraId="1630743E" w14:textId="3A43ADAD" w:rsidR="000B7CE5" w:rsidRPr="00EE3B35" w:rsidRDefault="000B7CE5" w:rsidP="000B7CE5">
      <w:pPr>
        <w:numPr>
          <w:ilvl w:val="2"/>
          <w:numId w:val="16"/>
        </w:numPr>
        <w:tabs>
          <w:tab w:val="left" w:pos="426"/>
        </w:tabs>
        <w:spacing w:before="120" w:after="120"/>
        <w:ind w:left="0" w:firstLine="0"/>
        <w:jc w:val="both"/>
        <w:rPr>
          <w:sz w:val="8"/>
          <w:szCs w:val="8"/>
        </w:rPr>
      </w:pPr>
      <w:r w:rsidRPr="007C5F55">
        <w:rPr>
          <w:b/>
        </w:rPr>
        <w:t>Фискалният резерв</w:t>
      </w:r>
      <w:r w:rsidRPr="007C5F55">
        <w:rPr>
          <w:b/>
          <w:bCs/>
          <w:vertAlign w:val="superscript"/>
          <w:lang w:eastAsia="bg-BG"/>
        </w:rPr>
        <w:footnoteReference w:id="8"/>
      </w:r>
      <w:r w:rsidRPr="007C5F55">
        <w:rPr>
          <w:bCs/>
          <w:lang w:eastAsia="bg-BG"/>
        </w:rPr>
        <w:t xml:space="preserve"> </w:t>
      </w:r>
      <w:r w:rsidR="009B10E8">
        <w:rPr>
          <w:bCs/>
          <w:lang w:eastAsia="bg-BG"/>
        </w:rPr>
        <w:t xml:space="preserve">към </w:t>
      </w:r>
      <w:r w:rsidRPr="007C5F55">
        <w:rPr>
          <w:bCs/>
        </w:rPr>
        <w:t>31.12.2021</w:t>
      </w:r>
      <w:r w:rsidRPr="007C5F55">
        <w:rPr>
          <w:rFonts w:eastAsia="Calibri"/>
        </w:rPr>
        <w:t xml:space="preserve"> г. </w:t>
      </w:r>
      <w:r w:rsidRPr="007C5F55">
        <w:rPr>
          <w:bCs/>
        </w:rPr>
        <w:t xml:space="preserve">е </w:t>
      </w:r>
      <w:r w:rsidRPr="007C5F55">
        <w:rPr>
          <w:b/>
          <w:bCs/>
        </w:rPr>
        <w:t>10,7 млрд. лв</w:t>
      </w:r>
      <w:r w:rsidRPr="007C5F55">
        <w:rPr>
          <w:bCs/>
        </w:rPr>
        <w:t>., в т.ч. 9,7 млрд. лв. депозити на фискалния резерв в БНБ и банки и 1,0 млрд. лв. вземания от фондовете на Европейския съюз за сертифицирани разходи, аванси и други</w:t>
      </w:r>
      <w:r w:rsidRPr="007C5F55">
        <w:rPr>
          <w:bCs/>
          <w:lang w:eastAsia="bg-BG"/>
        </w:rPr>
        <w:t>.</w:t>
      </w:r>
      <w:r w:rsidRPr="007C5F55">
        <w:rPr>
          <w:bCs/>
        </w:rPr>
        <w:t xml:space="preserve"> </w:t>
      </w:r>
    </w:p>
    <w:p w14:paraId="77557EAA" w14:textId="77777777" w:rsidR="000B7CE5" w:rsidRPr="00BA4AB9" w:rsidRDefault="000B7CE5" w:rsidP="000B7CE5">
      <w:pPr>
        <w:tabs>
          <w:tab w:val="left" w:pos="426"/>
        </w:tabs>
        <w:spacing w:before="120" w:after="120"/>
        <w:jc w:val="both"/>
        <w:rPr>
          <w:color w:val="0070C0"/>
          <w:sz w:val="8"/>
          <w:szCs w:val="8"/>
        </w:rPr>
      </w:pPr>
    </w:p>
    <w:p w14:paraId="25E930D4" w14:textId="77777777" w:rsidR="000B7CE5" w:rsidRPr="00AF1596" w:rsidRDefault="000B7CE5" w:rsidP="000B7CE5">
      <w:pPr>
        <w:pStyle w:val="Heading1"/>
        <w:numPr>
          <w:ilvl w:val="0"/>
          <w:numId w:val="10"/>
        </w:numPr>
        <w:tabs>
          <w:tab w:val="clear" w:pos="5430"/>
          <w:tab w:val="num" w:pos="532"/>
        </w:tabs>
        <w:ind w:left="532" w:right="-108"/>
        <w:jc w:val="both"/>
        <w:rPr>
          <w:sz w:val="24"/>
        </w:rPr>
      </w:pPr>
      <w:r w:rsidRPr="00AF1596">
        <w:rPr>
          <w:sz w:val="24"/>
        </w:rPr>
        <w:t>Изпълнение на държавния бюджет</w:t>
      </w:r>
      <w:r w:rsidRPr="00AF1596">
        <w:rPr>
          <w:sz w:val="24"/>
          <w:vertAlign w:val="superscript"/>
        </w:rPr>
        <w:footnoteReference w:id="9"/>
      </w:r>
      <w:r w:rsidRPr="00AF1596">
        <w:rPr>
          <w:sz w:val="24"/>
        </w:rPr>
        <w:t xml:space="preserve"> за</w:t>
      </w:r>
      <w:r w:rsidRPr="00AF1596">
        <w:t xml:space="preserve"> </w:t>
      </w:r>
      <w:r w:rsidRPr="00AF1596">
        <w:rPr>
          <w:sz w:val="24"/>
        </w:rPr>
        <w:t>2021г.</w:t>
      </w:r>
    </w:p>
    <w:p w14:paraId="7E02EC3C" w14:textId="2BED81D0" w:rsidR="000B7CE5" w:rsidRDefault="000B7CE5" w:rsidP="000B7CE5">
      <w:pPr>
        <w:pStyle w:val="BodyTextIndent"/>
        <w:tabs>
          <w:tab w:val="left" w:pos="1080"/>
        </w:tabs>
        <w:spacing w:before="120" w:after="0"/>
        <w:ind w:left="0"/>
        <w:jc w:val="both"/>
      </w:pPr>
      <w:r w:rsidRPr="0082472B">
        <w:t>Изпълнението на основните показатели по държавния бюджет на база месечните отчети на първостепенните разпоредители с бюджет е, както следва:</w:t>
      </w:r>
    </w:p>
    <w:p w14:paraId="5066CAF9" w14:textId="77777777" w:rsidR="000B7CE5" w:rsidRPr="0082472B" w:rsidRDefault="000B7CE5" w:rsidP="000B7CE5">
      <w:pPr>
        <w:pStyle w:val="BodyTextIndent"/>
        <w:tabs>
          <w:tab w:val="left" w:pos="1080"/>
        </w:tabs>
        <w:spacing w:before="120" w:after="0"/>
        <w:ind w:left="0"/>
        <w:jc w:val="both"/>
        <w:rPr>
          <w:sz w:val="6"/>
        </w:rPr>
      </w:pPr>
    </w:p>
    <w:p w14:paraId="1285A447" w14:textId="4F05FB26" w:rsidR="000B7CE5" w:rsidRDefault="000B7CE5" w:rsidP="000B7CE5">
      <w:pPr>
        <w:ind w:right="-242"/>
        <w:rPr>
          <w:b/>
          <w:bCs/>
          <w:sz w:val="20"/>
          <w:szCs w:val="20"/>
        </w:rPr>
      </w:pPr>
      <w:r w:rsidRPr="0082472B">
        <w:rPr>
          <w:b/>
          <w:bCs/>
          <w:sz w:val="20"/>
          <w:szCs w:val="20"/>
        </w:rPr>
        <w:t xml:space="preserve">            </w:t>
      </w:r>
      <w:r w:rsidRPr="00393435">
        <w:rPr>
          <w:b/>
          <w:bCs/>
          <w:sz w:val="20"/>
          <w:szCs w:val="20"/>
        </w:rPr>
        <w:t>Таблица</w:t>
      </w:r>
      <w:r w:rsidRPr="00393435">
        <w:rPr>
          <w:rStyle w:val="FootnoteReference"/>
        </w:rPr>
        <w:footnoteReference w:id="10"/>
      </w:r>
      <w:r w:rsidRPr="00393435">
        <w:rPr>
          <w:b/>
          <w:bCs/>
          <w:sz w:val="20"/>
          <w:szCs w:val="20"/>
        </w:rPr>
        <w:t xml:space="preserve">  №1      </w:t>
      </w:r>
      <w:r w:rsidRPr="00393435">
        <w:rPr>
          <w:b/>
          <w:bCs/>
          <w:sz w:val="20"/>
          <w:szCs w:val="20"/>
        </w:rPr>
        <w:tab/>
      </w:r>
      <w:r w:rsidRPr="00393435">
        <w:rPr>
          <w:b/>
          <w:bCs/>
          <w:sz w:val="20"/>
          <w:szCs w:val="20"/>
        </w:rPr>
        <w:tab/>
        <w:t xml:space="preserve">                                          </w:t>
      </w:r>
      <w:r w:rsidRPr="00393435">
        <w:rPr>
          <w:b/>
          <w:bCs/>
          <w:sz w:val="20"/>
          <w:szCs w:val="20"/>
        </w:rPr>
        <w:tab/>
      </w:r>
      <w:r w:rsidRPr="00393435">
        <w:rPr>
          <w:b/>
          <w:bCs/>
          <w:sz w:val="20"/>
          <w:szCs w:val="20"/>
        </w:rPr>
        <w:tab/>
      </w:r>
      <w:r w:rsidRPr="00393435">
        <w:rPr>
          <w:b/>
          <w:bCs/>
          <w:sz w:val="20"/>
          <w:szCs w:val="20"/>
        </w:rPr>
        <w:tab/>
      </w:r>
      <w:r w:rsidRPr="00393435">
        <w:rPr>
          <w:b/>
          <w:bCs/>
          <w:sz w:val="20"/>
          <w:szCs w:val="20"/>
        </w:rPr>
        <w:tab/>
        <w:t xml:space="preserve">  (млн. лв.)</w:t>
      </w:r>
    </w:p>
    <w:p w14:paraId="3380BADF" w14:textId="77777777" w:rsidR="000A358A" w:rsidRPr="000A358A" w:rsidRDefault="000A358A" w:rsidP="000B7CE5">
      <w:pPr>
        <w:ind w:right="-242"/>
        <w:rPr>
          <w:b/>
          <w:bCs/>
          <w:sz w:val="4"/>
          <w:szCs w:val="20"/>
        </w:rPr>
      </w:pPr>
    </w:p>
    <w:tbl>
      <w:tblPr>
        <w:tblW w:w="9050" w:type="dxa"/>
        <w:jc w:val="center"/>
        <w:tblCellMar>
          <w:left w:w="70" w:type="dxa"/>
          <w:right w:w="70" w:type="dxa"/>
        </w:tblCellMar>
        <w:tblLook w:val="0000" w:firstRow="0" w:lastRow="0" w:firstColumn="0" w:lastColumn="0" w:noHBand="0" w:noVBand="0"/>
      </w:tblPr>
      <w:tblGrid>
        <w:gridCol w:w="4854"/>
        <w:gridCol w:w="1276"/>
        <w:gridCol w:w="1616"/>
        <w:gridCol w:w="1304"/>
      </w:tblGrid>
      <w:tr w:rsidR="004639C5" w:rsidRPr="004639C5" w14:paraId="569D042D" w14:textId="77777777" w:rsidTr="004639C5">
        <w:trPr>
          <w:trHeight w:val="520"/>
          <w:jc w:val="center"/>
        </w:trPr>
        <w:tc>
          <w:tcPr>
            <w:tcW w:w="4854" w:type="dxa"/>
            <w:tcBorders>
              <w:top w:val="single" w:sz="8" w:space="0" w:color="auto"/>
              <w:left w:val="single" w:sz="8" w:space="0" w:color="auto"/>
              <w:bottom w:val="nil"/>
              <w:right w:val="single" w:sz="8" w:space="0" w:color="auto"/>
            </w:tcBorders>
            <w:shd w:val="clear" w:color="auto" w:fill="auto"/>
            <w:noWrap/>
            <w:vAlign w:val="center"/>
          </w:tcPr>
          <w:p w14:paraId="1BD1CFAA" w14:textId="77777777" w:rsidR="004639C5" w:rsidRPr="004639C5" w:rsidRDefault="004639C5" w:rsidP="004639C5">
            <w:pPr>
              <w:jc w:val="center"/>
              <w:rPr>
                <w:b/>
                <w:bCs/>
                <w:sz w:val="18"/>
                <w:szCs w:val="18"/>
                <w:lang w:eastAsia="bg-BG"/>
              </w:rPr>
            </w:pPr>
            <w:r w:rsidRPr="004639C5">
              <w:rPr>
                <w:b/>
                <w:bCs/>
                <w:sz w:val="18"/>
                <w:szCs w:val="18"/>
                <w:lang w:eastAsia="bg-BG"/>
              </w:rPr>
              <w:t>ПОКАЗАТЕЛИ</w:t>
            </w:r>
          </w:p>
        </w:tc>
        <w:tc>
          <w:tcPr>
            <w:tcW w:w="1276" w:type="dxa"/>
            <w:tcBorders>
              <w:top w:val="single" w:sz="8" w:space="0" w:color="auto"/>
              <w:left w:val="nil"/>
              <w:bottom w:val="single" w:sz="4" w:space="0" w:color="auto"/>
              <w:right w:val="nil"/>
            </w:tcBorders>
            <w:shd w:val="clear" w:color="auto" w:fill="auto"/>
            <w:vAlign w:val="center"/>
          </w:tcPr>
          <w:p w14:paraId="5B1869AC" w14:textId="77777777" w:rsidR="004639C5" w:rsidRPr="004639C5" w:rsidRDefault="004639C5" w:rsidP="004639C5">
            <w:pPr>
              <w:jc w:val="center"/>
              <w:rPr>
                <w:b/>
                <w:bCs/>
                <w:sz w:val="18"/>
                <w:szCs w:val="18"/>
                <w:lang w:eastAsia="bg-BG"/>
              </w:rPr>
            </w:pPr>
            <w:r w:rsidRPr="004639C5">
              <w:rPr>
                <w:b/>
                <w:bCs/>
                <w:sz w:val="18"/>
                <w:szCs w:val="18"/>
                <w:lang w:eastAsia="bg-BG"/>
              </w:rPr>
              <w:t>ЗДБРБ     2021 г.</w:t>
            </w:r>
            <w:r w:rsidRPr="004639C5">
              <w:rPr>
                <w:b/>
                <w:bCs/>
                <w:sz w:val="18"/>
                <w:szCs w:val="18"/>
                <w:vertAlign w:val="superscript"/>
                <w:lang w:eastAsia="bg-BG"/>
              </w:rPr>
              <w:footnoteReference w:id="11"/>
            </w:r>
          </w:p>
        </w:tc>
        <w:tc>
          <w:tcPr>
            <w:tcW w:w="1616" w:type="dxa"/>
            <w:tcBorders>
              <w:top w:val="single" w:sz="8" w:space="0" w:color="auto"/>
              <w:left w:val="nil"/>
              <w:bottom w:val="single" w:sz="4" w:space="0" w:color="auto"/>
              <w:right w:val="nil"/>
            </w:tcBorders>
            <w:shd w:val="clear" w:color="auto" w:fill="auto"/>
            <w:vAlign w:val="center"/>
          </w:tcPr>
          <w:p w14:paraId="529ADF2C" w14:textId="77777777" w:rsidR="004639C5" w:rsidRPr="004639C5" w:rsidRDefault="004639C5" w:rsidP="004639C5">
            <w:pPr>
              <w:jc w:val="center"/>
              <w:rPr>
                <w:b/>
                <w:bCs/>
                <w:sz w:val="18"/>
                <w:szCs w:val="18"/>
                <w:lang w:eastAsia="bg-BG"/>
              </w:rPr>
            </w:pPr>
            <w:r w:rsidRPr="004639C5">
              <w:rPr>
                <w:b/>
                <w:bCs/>
                <w:sz w:val="18"/>
                <w:szCs w:val="18"/>
                <w:lang w:eastAsia="bg-BG"/>
              </w:rPr>
              <w:t xml:space="preserve">Отчет </w:t>
            </w:r>
          </w:p>
          <w:p w14:paraId="1A708636" w14:textId="77777777" w:rsidR="004639C5" w:rsidRPr="004639C5" w:rsidRDefault="004639C5" w:rsidP="004639C5">
            <w:pPr>
              <w:jc w:val="center"/>
              <w:rPr>
                <w:b/>
                <w:bCs/>
                <w:sz w:val="18"/>
                <w:szCs w:val="18"/>
                <w:lang w:eastAsia="bg-BG"/>
              </w:rPr>
            </w:pPr>
            <w:r w:rsidRPr="004639C5">
              <w:rPr>
                <w:b/>
                <w:bCs/>
                <w:sz w:val="18"/>
                <w:szCs w:val="18"/>
                <w:lang w:eastAsia="bg-BG"/>
              </w:rPr>
              <w:t>2021 г.</w:t>
            </w:r>
          </w:p>
        </w:tc>
        <w:tc>
          <w:tcPr>
            <w:tcW w:w="1304" w:type="dxa"/>
            <w:tcBorders>
              <w:top w:val="single" w:sz="8" w:space="0" w:color="auto"/>
              <w:left w:val="nil"/>
              <w:bottom w:val="single" w:sz="4" w:space="0" w:color="auto"/>
              <w:right w:val="single" w:sz="8" w:space="0" w:color="auto"/>
            </w:tcBorders>
            <w:shd w:val="clear" w:color="auto" w:fill="auto"/>
            <w:vAlign w:val="center"/>
          </w:tcPr>
          <w:p w14:paraId="69D97651" w14:textId="77777777" w:rsidR="004639C5" w:rsidRPr="004639C5" w:rsidRDefault="004639C5" w:rsidP="004639C5">
            <w:pPr>
              <w:jc w:val="center"/>
              <w:rPr>
                <w:b/>
                <w:bCs/>
                <w:sz w:val="18"/>
                <w:szCs w:val="18"/>
                <w:lang w:eastAsia="bg-BG"/>
              </w:rPr>
            </w:pPr>
            <w:r w:rsidRPr="004639C5">
              <w:rPr>
                <w:b/>
                <w:bCs/>
                <w:sz w:val="18"/>
                <w:szCs w:val="18"/>
                <w:lang w:eastAsia="bg-BG"/>
              </w:rPr>
              <w:t>Изпълнение спрямо    закон 2021 г.</w:t>
            </w:r>
          </w:p>
        </w:tc>
      </w:tr>
      <w:tr w:rsidR="004639C5" w:rsidRPr="004639C5" w14:paraId="73EB95DF" w14:textId="77777777" w:rsidTr="004639C5">
        <w:trPr>
          <w:trHeight w:val="92"/>
          <w:jc w:val="center"/>
        </w:trPr>
        <w:tc>
          <w:tcPr>
            <w:tcW w:w="485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60B60AC3" w14:textId="77777777" w:rsidR="004639C5" w:rsidRPr="004639C5" w:rsidRDefault="004639C5" w:rsidP="004639C5">
            <w:pPr>
              <w:rPr>
                <w:b/>
                <w:bCs/>
                <w:sz w:val="18"/>
                <w:szCs w:val="18"/>
                <w:lang w:eastAsia="bg-BG"/>
              </w:rPr>
            </w:pPr>
            <w:r w:rsidRPr="004639C5">
              <w:rPr>
                <w:b/>
                <w:bCs/>
                <w:sz w:val="18"/>
                <w:szCs w:val="18"/>
                <w:lang w:eastAsia="bg-BG"/>
              </w:rPr>
              <w:t>Общо приходи, помощи и дарения</w:t>
            </w:r>
          </w:p>
        </w:tc>
        <w:tc>
          <w:tcPr>
            <w:tcW w:w="1276" w:type="dxa"/>
            <w:tcBorders>
              <w:top w:val="single" w:sz="4" w:space="0" w:color="auto"/>
              <w:left w:val="nil"/>
              <w:bottom w:val="single" w:sz="4" w:space="0" w:color="auto"/>
              <w:right w:val="nil"/>
            </w:tcBorders>
            <w:shd w:val="clear" w:color="auto" w:fill="auto"/>
            <w:noWrap/>
            <w:vAlign w:val="bottom"/>
          </w:tcPr>
          <w:p w14:paraId="42C7C191" w14:textId="77777777" w:rsidR="004639C5" w:rsidRPr="004639C5" w:rsidRDefault="004639C5" w:rsidP="004639C5">
            <w:pPr>
              <w:jc w:val="right"/>
              <w:rPr>
                <w:b/>
                <w:bCs/>
                <w:sz w:val="18"/>
                <w:szCs w:val="18"/>
                <w:lang w:eastAsia="bg-BG"/>
              </w:rPr>
            </w:pPr>
            <w:r w:rsidRPr="004639C5">
              <w:rPr>
                <w:b/>
                <w:bCs/>
                <w:sz w:val="18"/>
                <w:szCs w:val="18"/>
                <w:lang w:eastAsia="bg-BG"/>
              </w:rPr>
              <w:t>28 942,8</w:t>
            </w:r>
          </w:p>
        </w:tc>
        <w:tc>
          <w:tcPr>
            <w:tcW w:w="1616" w:type="dxa"/>
            <w:tcBorders>
              <w:top w:val="single" w:sz="4" w:space="0" w:color="auto"/>
              <w:left w:val="nil"/>
              <w:bottom w:val="single" w:sz="4" w:space="0" w:color="auto"/>
              <w:right w:val="nil"/>
            </w:tcBorders>
            <w:shd w:val="clear" w:color="auto" w:fill="auto"/>
            <w:noWrap/>
            <w:vAlign w:val="bottom"/>
          </w:tcPr>
          <w:p w14:paraId="0459B2A5" w14:textId="77777777" w:rsidR="004639C5" w:rsidRPr="004639C5" w:rsidRDefault="004639C5" w:rsidP="004639C5">
            <w:pPr>
              <w:jc w:val="right"/>
              <w:rPr>
                <w:b/>
                <w:bCs/>
                <w:sz w:val="18"/>
                <w:szCs w:val="18"/>
                <w:lang w:eastAsia="bg-BG"/>
              </w:rPr>
            </w:pPr>
            <w:r w:rsidRPr="004639C5">
              <w:rPr>
                <w:b/>
                <w:bCs/>
                <w:sz w:val="18"/>
                <w:szCs w:val="18"/>
                <w:lang w:eastAsia="bg-BG"/>
              </w:rPr>
              <w:t>30 921,1</w:t>
            </w:r>
          </w:p>
        </w:tc>
        <w:tc>
          <w:tcPr>
            <w:tcW w:w="1304" w:type="dxa"/>
            <w:tcBorders>
              <w:top w:val="single" w:sz="4" w:space="0" w:color="auto"/>
              <w:left w:val="nil"/>
              <w:bottom w:val="single" w:sz="4" w:space="0" w:color="auto"/>
              <w:right w:val="single" w:sz="8" w:space="0" w:color="auto"/>
            </w:tcBorders>
            <w:shd w:val="clear" w:color="auto" w:fill="auto"/>
            <w:noWrap/>
            <w:vAlign w:val="bottom"/>
          </w:tcPr>
          <w:p w14:paraId="002704B0" w14:textId="77777777" w:rsidR="004639C5" w:rsidRPr="004639C5" w:rsidRDefault="004639C5" w:rsidP="004639C5">
            <w:pPr>
              <w:jc w:val="right"/>
              <w:rPr>
                <w:b/>
                <w:bCs/>
                <w:sz w:val="18"/>
                <w:szCs w:val="18"/>
                <w:lang w:eastAsia="bg-BG"/>
              </w:rPr>
            </w:pPr>
            <w:r w:rsidRPr="004639C5">
              <w:rPr>
                <w:b/>
                <w:bCs/>
                <w:sz w:val="18"/>
                <w:szCs w:val="18"/>
                <w:lang w:eastAsia="bg-BG"/>
              </w:rPr>
              <w:t>106,8%</w:t>
            </w:r>
          </w:p>
        </w:tc>
      </w:tr>
      <w:tr w:rsidR="004639C5" w:rsidRPr="004639C5" w14:paraId="2B8CD1F5" w14:textId="77777777" w:rsidTr="004639C5">
        <w:trPr>
          <w:trHeight w:val="80"/>
          <w:jc w:val="center"/>
        </w:trPr>
        <w:tc>
          <w:tcPr>
            <w:tcW w:w="4854" w:type="dxa"/>
            <w:tcBorders>
              <w:top w:val="single" w:sz="4" w:space="0" w:color="auto"/>
              <w:left w:val="single" w:sz="8" w:space="0" w:color="auto"/>
              <w:bottom w:val="nil"/>
              <w:right w:val="single" w:sz="8" w:space="0" w:color="auto"/>
            </w:tcBorders>
            <w:shd w:val="clear" w:color="auto" w:fill="auto"/>
            <w:noWrap/>
            <w:vAlign w:val="bottom"/>
          </w:tcPr>
          <w:p w14:paraId="2FE18639" w14:textId="77777777" w:rsidR="004639C5" w:rsidRPr="004639C5" w:rsidRDefault="004639C5" w:rsidP="004639C5">
            <w:pPr>
              <w:rPr>
                <w:sz w:val="18"/>
                <w:szCs w:val="18"/>
                <w:lang w:eastAsia="bg-BG"/>
              </w:rPr>
            </w:pPr>
            <w:r w:rsidRPr="004639C5">
              <w:rPr>
                <w:sz w:val="18"/>
                <w:szCs w:val="18"/>
                <w:lang w:eastAsia="bg-BG"/>
              </w:rPr>
              <w:t xml:space="preserve">   -Данъчни приходи</w:t>
            </w:r>
          </w:p>
        </w:tc>
        <w:tc>
          <w:tcPr>
            <w:tcW w:w="1276" w:type="dxa"/>
            <w:tcBorders>
              <w:top w:val="single" w:sz="4" w:space="0" w:color="auto"/>
              <w:left w:val="nil"/>
              <w:right w:val="nil"/>
            </w:tcBorders>
            <w:shd w:val="clear" w:color="auto" w:fill="auto"/>
            <w:noWrap/>
            <w:vAlign w:val="bottom"/>
          </w:tcPr>
          <w:p w14:paraId="79E70475" w14:textId="77777777" w:rsidR="004639C5" w:rsidRPr="004639C5" w:rsidRDefault="004639C5" w:rsidP="004639C5">
            <w:pPr>
              <w:jc w:val="right"/>
              <w:rPr>
                <w:sz w:val="18"/>
                <w:szCs w:val="18"/>
                <w:lang w:eastAsia="bg-BG"/>
              </w:rPr>
            </w:pPr>
            <w:r w:rsidRPr="004639C5">
              <w:rPr>
                <w:sz w:val="18"/>
                <w:szCs w:val="18"/>
                <w:lang w:eastAsia="bg-BG"/>
              </w:rPr>
              <w:t>25 992,7</w:t>
            </w:r>
          </w:p>
        </w:tc>
        <w:tc>
          <w:tcPr>
            <w:tcW w:w="1616" w:type="dxa"/>
            <w:tcBorders>
              <w:top w:val="single" w:sz="4" w:space="0" w:color="auto"/>
              <w:left w:val="nil"/>
              <w:bottom w:val="nil"/>
              <w:right w:val="nil"/>
            </w:tcBorders>
            <w:shd w:val="clear" w:color="auto" w:fill="auto"/>
            <w:noWrap/>
            <w:vAlign w:val="bottom"/>
          </w:tcPr>
          <w:p w14:paraId="2EA2EED9" w14:textId="77777777" w:rsidR="004639C5" w:rsidRPr="004639C5" w:rsidRDefault="004639C5" w:rsidP="004639C5">
            <w:pPr>
              <w:jc w:val="right"/>
              <w:rPr>
                <w:sz w:val="18"/>
                <w:szCs w:val="18"/>
                <w:lang w:eastAsia="bg-BG"/>
              </w:rPr>
            </w:pPr>
            <w:r w:rsidRPr="004639C5">
              <w:rPr>
                <w:sz w:val="18"/>
                <w:szCs w:val="18"/>
                <w:lang w:eastAsia="bg-BG"/>
              </w:rPr>
              <w:t>27 336,5</w:t>
            </w:r>
          </w:p>
        </w:tc>
        <w:tc>
          <w:tcPr>
            <w:tcW w:w="1304" w:type="dxa"/>
            <w:tcBorders>
              <w:top w:val="single" w:sz="4" w:space="0" w:color="auto"/>
              <w:left w:val="nil"/>
              <w:bottom w:val="nil"/>
              <w:right w:val="single" w:sz="8" w:space="0" w:color="auto"/>
            </w:tcBorders>
            <w:shd w:val="clear" w:color="auto" w:fill="auto"/>
            <w:noWrap/>
            <w:vAlign w:val="bottom"/>
          </w:tcPr>
          <w:p w14:paraId="3BB1B580" w14:textId="77777777" w:rsidR="004639C5" w:rsidRPr="004639C5" w:rsidRDefault="004639C5" w:rsidP="004639C5">
            <w:pPr>
              <w:jc w:val="right"/>
              <w:rPr>
                <w:sz w:val="18"/>
                <w:szCs w:val="18"/>
                <w:lang w:eastAsia="bg-BG"/>
              </w:rPr>
            </w:pPr>
            <w:r w:rsidRPr="004639C5">
              <w:rPr>
                <w:sz w:val="18"/>
                <w:szCs w:val="18"/>
                <w:lang w:eastAsia="bg-BG"/>
              </w:rPr>
              <w:t>105,2%</w:t>
            </w:r>
          </w:p>
        </w:tc>
      </w:tr>
      <w:tr w:rsidR="004639C5" w:rsidRPr="004639C5" w14:paraId="08A32CAA" w14:textId="77777777" w:rsidTr="004639C5">
        <w:trPr>
          <w:trHeight w:val="80"/>
          <w:jc w:val="center"/>
        </w:trPr>
        <w:tc>
          <w:tcPr>
            <w:tcW w:w="4854" w:type="dxa"/>
            <w:tcBorders>
              <w:left w:val="single" w:sz="8" w:space="0" w:color="auto"/>
              <w:right w:val="single" w:sz="8" w:space="0" w:color="auto"/>
            </w:tcBorders>
            <w:shd w:val="clear" w:color="auto" w:fill="auto"/>
            <w:noWrap/>
            <w:vAlign w:val="bottom"/>
          </w:tcPr>
          <w:p w14:paraId="545F7167" w14:textId="77777777" w:rsidR="004639C5" w:rsidRPr="004639C5" w:rsidRDefault="004639C5" w:rsidP="004639C5">
            <w:pPr>
              <w:rPr>
                <w:sz w:val="18"/>
                <w:szCs w:val="18"/>
                <w:lang w:eastAsia="bg-BG"/>
              </w:rPr>
            </w:pPr>
            <w:r w:rsidRPr="004639C5">
              <w:rPr>
                <w:sz w:val="18"/>
                <w:szCs w:val="18"/>
                <w:lang w:eastAsia="bg-BG"/>
              </w:rPr>
              <w:t xml:space="preserve">      Корпоративни данъци</w:t>
            </w:r>
          </w:p>
        </w:tc>
        <w:tc>
          <w:tcPr>
            <w:tcW w:w="1276" w:type="dxa"/>
            <w:tcBorders>
              <w:left w:val="nil"/>
              <w:bottom w:val="nil"/>
              <w:right w:val="nil"/>
            </w:tcBorders>
            <w:shd w:val="clear" w:color="auto" w:fill="auto"/>
            <w:noWrap/>
            <w:vAlign w:val="bottom"/>
          </w:tcPr>
          <w:p w14:paraId="6C8E6E9B" w14:textId="77777777" w:rsidR="004639C5" w:rsidRPr="004639C5" w:rsidRDefault="004639C5" w:rsidP="004639C5">
            <w:pPr>
              <w:jc w:val="right"/>
              <w:rPr>
                <w:bCs/>
                <w:sz w:val="18"/>
                <w:szCs w:val="18"/>
                <w:lang w:eastAsia="bg-BG"/>
              </w:rPr>
            </w:pPr>
            <w:r w:rsidRPr="004639C5">
              <w:rPr>
                <w:bCs/>
                <w:sz w:val="18"/>
                <w:szCs w:val="18"/>
                <w:lang w:eastAsia="bg-BG"/>
              </w:rPr>
              <w:t>2 975,0</w:t>
            </w:r>
          </w:p>
        </w:tc>
        <w:tc>
          <w:tcPr>
            <w:tcW w:w="1616" w:type="dxa"/>
            <w:tcBorders>
              <w:left w:val="nil"/>
              <w:bottom w:val="nil"/>
              <w:right w:val="nil"/>
            </w:tcBorders>
            <w:shd w:val="clear" w:color="auto" w:fill="auto"/>
            <w:noWrap/>
            <w:vAlign w:val="bottom"/>
          </w:tcPr>
          <w:p w14:paraId="2F36299E" w14:textId="77777777" w:rsidR="004639C5" w:rsidRPr="004639C5" w:rsidRDefault="004639C5" w:rsidP="004639C5">
            <w:pPr>
              <w:jc w:val="right"/>
              <w:rPr>
                <w:sz w:val="18"/>
                <w:szCs w:val="18"/>
                <w:lang w:eastAsia="bg-BG"/>
              </w:rPr>
            </w:pPr>
            <w:r w:rsidRPr="004639C5">
              <w:rPr>
                <w:sz w:val="18"/>
                <w:szCs w:val="18"/>
                <w:lang w:eastAsia="bg-BG"/>
              </w:rPr>
              <w:t>3 406,4</w:t>
            </w:r>
          </w:p>
        </w:tc>
        <w:tc>
          <w:tcPr>
            <w:tcW w:w="1304" w:type="dxa"/>
            <w:tcBorders>
              <w:left w:val="nil"/>
              <w:bottom w:val="nil"/>
              <w:right w:val="single" w:sz="8" w:space="0" w:color="auto"/>
            </w:tcBorders>
            <w:shd w:val="clear" w:color="auto" w:fill="auto"/>
            <w:noWrap/>
            <w:vAlign w:val="bottom"/>
          </w:tcPr>
          <w:p w14:paraId="4BE76F3C" w14:textId="77777777" w:rsidR="004639C5" w:rsidRPr="004639C5" w:rsidRDefault="004639C5" w:rsidP="004639C5">
            <w:pPr>
              <w:jc w:val="right"/>
              <w:rPr>
                <w:sz w:val="18"/>
                <w:szCs w:val="18"/>
                <w:lang w:eastAsia="bg-BG"/>
              </w:rPr>
            </w:pPr>
            <w:r w:rsidRPr="004639C5">
              <w:rPr>
                <w:sz w:val="18"/>
                <w:szCs w:val="18"/>
                <w:lang w:eastAsia="bg-BG"/>
              </w:rPr>
              <w:t>114,5%</w:t>
            </w:r>
          </w:p>
        </w:tc>
      </w:tr>
      <w:tr w:rsidR="004639C5" w:rsidRPr="004639C5" w14:paraId="304D3062" w14:textId="77777777" w:rsidTr="004639C5">
        <w:trPr>
          <w:trHeight w:val="165"/>
          <w:jc w:val="center"/>
        </w:trPr>
        <w:tc>
          <w:tcPr>
            <w:tcW w:w="4854" w:type="dxa"/>
            <w:tcBorders>
              <w:left w:val="single" w:sz="8" w:space="0" w:color="auto"/>
              <w:right w:val="single" w:sz="8" w:space="0" w:color="auto"/>
            </w:tcBorders>
            <w:shd w:val="clear" w:color="auto" w:fill="auto"/>
            <w:noWrap/>
            <w:vAlign w:val="bottom"/>
          </w:tcPr>
          <w:p w14:paraId="76F51D64" w14:textId="77777777" w:rsidR="004639C5" w:rsidRPr="004639C5" w:rsidRDefault="004639C5" w:rsidP="004639C5">
            <w:pPr>
              <w:rPr>
                <w:sz w:val="18"/>
                <w:szCs w:val="18"/>
                <w:lang w:eastAsia="bg-BG"/>
              </w:rPr>
            </w:pPr>
            <w:r w:rsidRPr="004639C5">
              <w:rPr>
                <w:sz w:val="18"/>
                <w:szCs w:val="18"/>
                <w:lang w:eastAsia="bg-BG"/>
              </w:rPr>
              <w:t xml:space="preserve">     </w:t>
            </w:r>
            <w:r w:rsidRPr="004639C5">
              <w:rPr>
                <w:sz w:val="18"/>
                <w:szCs w:val="18"/>
                <w:lang w:val="en-US" w:eastAsia="bg-BG"/>
              </w:rPr>
              <w:t xml:space="preserve"> </w:t>
            </w:r>
            <w:r w:rsidRPr="004639C5">
              <w:rPr>
                <w:sz w:val="18"/>
                <w:szCs w:val="18"/>
                <w:lang w:eastAsia="bg-BG"/>
              </w:rPr>
              <w:t>ДДФЛ</w:t>
            </w:r>
          </w:p>
        </w:tc>
        <w:tc>
          <w:tcPr>
            <w:tcW w:w="1276" w:type="dxa"/>
            <w:tcBorders>
              <w:left w:val="nil"/>
              <w:bottom w:val="nil"/>
              <w:right w:val="nil"/>
            </w:tcBorders>
            <w:shd w:val="clear" w:color="auto" w:fill="auto"/>
            <w:noWrap/>
            <w:vAlign w:val="bottom"/>
          </w:tcPr>
          <w:p w14:paraId="347588E7" w14:textId="77777777" w:rsidR="004639C5" w:rsidRPr="004639C5" w:rsidRDefault="004639C5" w:rsidP="004639C5">
            <w:pPr>
              <w:jc w:val="right"/>
              <w:rPr>
                <w:sz w:val="18"/>
                <w:szCs w:val="18"/>
                <w:lang w:eastAsia="bg-BG"/>
              </w:rPr>
            </w:pPr>
            <w:r w:rsidRPr="004639C5">
              <w:rPr>
                <w:sz w:val="18"/>
                <w:szCs w:val="18"/>
                <w:lang w:eastAsia="bg-BG"/>
              </w:rPr>
              <w:t>4 692,6</w:t>
            </w:r>
          </w:p>
        </w:tc>
        <w:tc>
          <w:tcPr>
            <w:tcW w:w="1616" w:type="dxa"/>
            <w:tcBorders>
              <w:left w:val="nil"/>
              <w:bottom w:val="nil"/>
              <w:right w:val="nil"/>
            </w:tcBorders>
            <w:shd w:val="clear" w:color="auto" w:fill="auto"/>
            <w:noWrap/>
            <w:vAlign w:val="bottom"/>
          </w:tcPr>
          <w:p w14:paraId="1C11DE43" w14:textId="77777777" w:rsidR="004639C5" w:rsidRPr="004639C5" w:rsidRDefault="004639C5" w:rsidP="004639C5">
            <w:pPr>
              <w:jc w:val="right"/>
              <w:rPr>
                <w:sz w:val="18"/>
                <w:szCs w:val="18"/>
                <w:lang w:eastAsia="bg-BG"/>
              </w:rPr>
            </w:pPr>
            <w:r w:rsidRPr="004639C5">
              <w:rPr>
                <w:sz w:val="18"/>
                <w:szCs w:val="18"/>
                <w:lang w:eastAsia="bg-BG"/>
              </w:rPr>
              <w:t>4 839,3</w:t>
            </w:r>
          </w:p>
        </w:tc>
        <w:tc>
          <w:tcPr>
            <w:tcW w:w="1304" w:type="dxa"/>
            <w:tcBorders>
              <w:left w:val="nil"/>
              <w:bottom w:val="nil"/>
              <w:right w:val="single" w:sz="8" w:space="0" w:color="auto"/>
            </w:tcBorders>
            <w:shd w:val="clear" w:color="auto" w:fill="auto"/>
            <w:noWrap/>
            <w:vAlign w:val="bottom"/>
          </w:tcPr>
          <w:p w14:paraId="748869BB" w14:textId="77777777" w:rsidR="004639C5" w:rsidRPr="004639C5" w:rsidRDefault="004639C5" w:rsidP="004639C5">
            <w:pPr>
              <w:jc w:val="right"/>
              <w:rPr>
                <w:sz w:val="18"/>
                <w:szCs w:val="18"/>
                <w:lang w:eastAsia="bg-BG"/>
              </w:rPr>
            </w:pPr>
            <w:r w:rsidRPr="004639C5">
              <w:rPr>
                <w:sz w:val="18"/>
                <w:szCs w:val="18"/>
                <w:lang w:eastAsia="bg-BG"/>
              </w:rPr>
              <w:t>103,1%</w:t>
            </w:r>
          </w:p>
        </w:tc>
      </w:tr>
      <w:tr w:rsidR="004639C5" w:rsidRPr="004639C5" w14:paraId="47DBBB3A" w14:textId="77777777" w:rsidTr="004639C5">
        <w:trPr>
          <w:trHeight w:val="165"/>
          <w:jc w:val="center"/>
        </w:trPr>
        <w:tc>
          <w:tcPr>
            <w:tcW w:w="4854" w:type="dxa"/>
            <w:tcBorders>
              <w:left w:val="single" w:sz="8" w:space="0" w:color="auto"/>
              <w:right w:val="single" w:sz="8" w:space="0" w:color="auto"/>
            </w:tcBorders>
            <w:shd w:val="clear" w:color="auto" w:fill="auto"/>
            <w:noWrap/>
            <w:vAlign w:val="bottom"/>
          </w:tcPr>
          <w:p w14:paraId="1C45E669" w14:textId="77777777" w:rsidR="004639C5" w:rsidRPr="004639C5" w:rsidRDefault="004639C5" w:rsidP="004639C5">
            <w:pPr>
              <w:rPr>
                <w:sz w:val="18"/>
                <w:szCs w:val="18"/>
                <w:lang w:eastAsia="bg-BG"/>
              </w:rPr>
            </w:pPr>
            <w:r w:rsidRPr="004639C5">
              <w:rPr>
                <w:sz w:val="18"/>
                <w:szCs w:val="18"/>
                <w:lang w:eastAsia="bg-BG"/>
              </w:rPr>
              <w:t xml:space="preserve">     </w:t>
            </w:r>
            <w:r w:rsidRPr="004639C5">
              <w:rPr>
                <w:sz w:val="18"/>
                <w:szCs w:val="18"/>
                <w:lang w:val="en-US" w:eastAsia="bg-BG"/>
              </w:rPr>
              <w:t xml:space="preserve"> </w:t>
            </w:r>
            <w:r w:rsidRPr="004639C5">
              <w:rPr>
                <w:sz w:val="18"/>
                <w:szCs w:val="18"/>
                <w:lang w:eastAsia="bg-BG"/>
              </w:rPr>
              <w:t>ДДС</w:t>
            </w:r>
          </w:p>
        </w:tc>
        <w:tc>
          <w:tcPr>
            <w:tcW w:w="1276" w:type="dxa"/>
            <w:tcBorders>
              <w:left w:val="nil"/>
              <w:bottom w:val="nil"/>
              <w:right w:val="nil"/>
            </w:tcBorders>
            <w:shd w:val="clear" w:color="auto" w:fill="auto"/>
            <w:noWrap/>
            <w:vAlign w:val="bottom"/>
          </w:tcPr>
          <w:p w14:paraId="40A51692" w14:textId="77777777" w:rsidR="004639C5" w:rsidRPr="004639C5" w:rsidRDefault="004639C5" w:rsidP="004639C5">
            <w:pPr>
              <w:jc w:val="right"/>
              <w:rPr>
                <w:sz w:val="18"/>
                <w:szCs w:val="18"/>
                <w:lang w:eastAsia="bg-BG"/>
              </w:rPr>
            </w:pPr>
            <w:r w:rsidRPr="004639C5">
              <w:rPr>
                <w:sz w:val="18"/>
                <w:szCs w:val="18"/>
                <w:lang w:eastAsia="bg-BG"/>
              </w:rPr>
              <w:t>12 277,5</w:t>
            </w:r>
          </w:p>
        </w:tc>
        <w:tc>
          <w:tcPr>
            <w:tcW w:w="1616" w:type="dxa"/>
            <w:tcBorders>
              <w:left w:val="nil"/>
              <w:bottom w:val="nil"/>
              <w:right w:val="nil"/>
            </w:tcBorders>
            <w:shd w:val="clear" w:color="auto" w:fill="auto"/>
            <w:noWrap/>
            <w:vAlign w:val="bottom"/>
          </w:tcPr>
          <w:p w14:paraId="185FC35F" w14:textId="77777777" w:rsidR="004639C5" w:rsidRPr="004639C5" w:rsidRDefault="004639C5" w:rsidP="004639C5">
            <w:pPr>
              <w:jc w:val="right"/>
              <w:rPr>
                <w:sz w:val="18"/>
                <w:szCs w:val="18"/>
                <w:lang w:eastAsia="bg-BG"/>
              </w:rPr>
            </w:pPr>
            <w:r w:rsidRPr="004639C5">
              <w:rPr>
                <w:sz w:val="18"/>
                <w:szCs w:val="18"/>
                <w:lang w:eastAsia="bg-BG"/>
              </w:rPr>
              <w:t>12 978,5</w:t>
            </w:r>
          </w:p>
        </w:tc>
        <w:tc>
          <w:tcPr>
            <w:tcW w:w="1304" w:type="dxa"/>
            <w:tcBorders>
              <w:left w:val="nil"/>
              <w:bottom w:val="nil"/>
              <w:right w:val="single" w:sz="8" w:space="0" w:color="auto"/>
            </w:tcBorders>
            <w:shd w:val="clear" w:color="auto" w:fill="auto"/>
            <w:noWrap/>
            <w:vAlign w:val="bottom"/>
          </w:tcPr>
          <w:p w14:paraId="2CD6CF4E" w14:textId="77777777" w:rsidR="004639C5" w:rsidRPr="004639C5" w:rsidRDefault="004639C5" w:rsidP="004639C5">
            <w:pPr>
              <w:jc w:val="right"/>
              <w:rPr>
                <w:sz w:val="18"/>
                <w:szCs w:val="18"/>
                <w:lang w:eastAsia="bg-BG"/>
              </w:rPr>
            </w:pPr>
            <w:r w:rsidRPr="004639C5">
              <w:rPr>
                <w:sz w:val="18"/>
                <w:szCs w:val="18"/>
                <w:lang w:eastAsia="bg-BG"/>
              </w:rPr>
              <w:t>105,7%</w:t>
            </w:r>
          </w:p>
        </w:tc>
      </w:tr>
      <w:tr w:rsidR="004639C5" w:rsidRPr="004639C5" w14:paraId="69EA5818" w14:textId="77777777" w:rsidTr="004639C5">
        <w:trPr>
          <w:trHeight w:val="165"/>
          <w:jc w:val="center"/>
        </w:trPr>
        <w:tc>
          <w:tcPr>
            <w:tcW w:w="4854" w:type="dxa"/>
            <w:tcBorders>
              <w:left w:val="single" w:sz="8" w:space="0" w:color="auto"/>
              <w:right w:val="single" w:sz="8" w:space="0" w:color="auto"/>
            </w:tcBorders>
            <w:shd w:val="clear" w:color="auto" w:fill="auto"/>
            <w:noWrap/>
            <w:vAlign w:val="bottom"/>
          </w:tcPr>
          <w:p w14:paraId="53AA7C62" w14:textId="77777777" w:rsidR="004639C5" w:rsidRPr="004639C5" w:rsidRDefault="004639C5" w:rsidP="004639C5">
            <w:pPr>
              <w:rPr>
                <w:sz w:val="18"/>
                <w:szCs w:val="18"/>
                <w:lang w:eastAsia="bg-BG"/>
              </w:rPr>
            </w:pPr>
            <w:r w:rsidRPr="004639C5">
              <w:rPr>
                <w:sz w:val="18"/>
                <w:szCs w:val="18"/>
                <w:lang w:eastAsia="bg-BG"/>
              </w:rPr>
              <w:t xml:space="preserve">     </w:t>
            </w:r>
            <w:r w:rsidRPr="004639C5">
              <w:rPr>
                <w:sz w:val="18"/>
                <w:szCs w:val="18"/>
                <w:lang w:val="en-US" w:eastAsia="bg-BG"/>
              </w:rPr>
              <w:t xml:space="preserve"> </w:t>
            </w:r>
            <w:r w:rsidRPr="004639C5">
              <w:rPr>
                <w:sz w:val="18"/>
                <w:szCs w:val="18"/>
                <w:lang w:eastAsia="bg-BG"/>
              </w:rPr>
              <w:t xml:space="preserve">Акцизи </w:t>
            </w:r>
          </w:p>
        </w:tc>
        <w:tc>
          <w:tcPr>
            <w:tcW w:w="1276" w:type="dxa"/>
            <w:tcBorders>
              <w:left w:val="nil"/>
              <w:bottom w:val="nil"/>
              <w:right w:val="nil"/>
            </w:tcBorders>
            <w:shd w:val="clear" w:color="auto" w:fill="auto"/>
            <w:noWrap/>
            <w:vAlign w:val="bottom"/>
          </w:tcPr>
          <w:p w14:paraId="4E728D0C" w14:textId="77777777" w:rsidR="004639C5" w:rsidRPr="004639C5" w:rsidRDefault="004639C5" w:rsidP="004639C5">
            <w:pPr>
              <w:jc w:val="right"/>
              <w:rPr>
                <w:sz w:val="18"/>
                <w:szCs w:val="18"/>
                <w:lang w:eastAsia="bg-BG"/>
              </w:rPr>
            </w:pPr>
            <w:r w:rsidRPr="004639C5">
              <w:rPr>
                <w:sz w:val="18"/>
                <w:szCs w:val="18"/>
                <w:lang w:eastAsia="bg-BG"/>
              </w:rPr>
              <w:t>5 640,5</w:t>
            </w:r>
          </w:p>
        </w:tc>
        <w:tc>
          <w:tcPr>
            <w:tcW w:w="1616" w:type="dxa"/>
            <w:tcBorders>
              <w:left w:val="nil"/>
              <w:bottom w:val="nil"/>
              <w:right w:val="nil"/>
            </w:tcBorders>
            <w:shd w:val="clear" w:color="auto" w:fill="auto"/>
            <w:noWrap/>
            <w:vAlign w:val="bottom"/>
          </w:tcPr>
          <w:p w14:paraId="1B99F036" w14:textId="77777777" w:rsidR="004639C5" w:rsidRPr="004639C5" w:rsidRDefault="004639C5" w:rsidP="004639C5">
            <w:pPr>
              <w:jc w:val="right"/>
              <w:rPr>
                <w:sz w:val="18"/>
                <w:szCs w:val="18"/>
                <w:lang w:eastAsia="bg-BG"/>
              </w:rPr>
            </w:pPr>
            <w:r w:rsidRPr="004639C5">
              <w:rPr>
                <w:sz w:val="18"/>
                <w:szCs w:val="18"/>
                <w:lang w:eastAsia="bg-BG"/>
              </w:rPr>
              <w:t>5 659,8</w:t>
            </w:r>
          </w:p>
        </w:tc>
        <w:tc>
          <w:tcPr>
            <w:tcW w:w="1304" w:type="dxa"/>
            <w:tcBorders>
              <w:left w:val="nil"/>
              <w:bottom w:val="nil"/>
              <w:right w:val="single" w:sz="8" w:space="0" w:color="auto"/>
            </w:tcBorders>
            <w:shd w:val="clear" w:color="auto" w:fill="auto"/>
            <w:noWrap/>
            <w:vAlign w:val="bottom"/>
          </w:tcPr>
          <w:p w14:paraId="7BA0FBD7" w14:textId="77777777" w:rsidR="004639C5" w:rsidRPr="004639C5" w:rsidRDefault="004639C5" w:rsidP="004639C5">
            <w:pPr>
              <w:jc w:val="right"/>
              <w:rPr>
                <w:sz w:val="18"/>
                <w:szCs w:val="18"/>
                <w:lang w:eastAsia="bg-BG"/>
              </w:rPr>
            </w:pPr>
            <w:r w:rsidRPr="004639C5">
              <w:rPr>
                <w:sz w:val="18"/>
                <w:szCs w:val="18"/>
                <w:lang w:eastAsia="bg-BG"/>
              </w:rPr>
              <w:t>100,3%</w:t>
            </w:r>
          </w:p>
        </w:tc>
      </w:tr>
      <w:tr w:rsidR="004639C5" w:rsidRPr="004639C5" w14:paraId="6CD68F22" w14:textId="77777777" w:rsidTr="004639C5">
        <w:trPr>
          <w:trHeight w:val="165"/>
          <w:jc w:val="center"/>
        </w:trPr>
        <w:tc>
          <w:tcPr>
            <w:tcW w:w="4854" w:type="dxa"/>
            <w:tcBorders>
              <w:left w:val="single" w:sz="8" w:space="0" w:color="auto"/>
              <w:right w:val="single" w:sz="8" w:space="0" w:color="auto"/>
            </w:tcBorders>
            <w:shd w:val="clear" w:color="auto" w:fill="auto"/>
            <w:noWrap/>
            <w:vAlign w:val="bottom"/>
          </w:tcPr>
          <w:p w14:paraId="5E428D9F" w14:textId="77777777" w:rsidR="004639C5" w:rsidRPr="004639C5" w:rsidRDefault="004639C5" w:rsidP="004639C5">
            <w:pPr>
              <w:rPr>
                <w:sz w:val="18"/>
                <w:szCs w:val="18"/>
                <w:lang w:eastAsia="bg-BG"/>
              </w:rPr>
            </w:pPr>
            <w:r w:rsidRPr="004639C5">
              <w:rPr>
                <w:sz w:val="18"/>
                <w:szCs w:val="18"/>
                <w:lang w:eastAsia="bg-BG"/>
              </w:rPr>
              <w:t xml:space="preserve">      Данък в/у застрахователните премии</w:t>
            </w:r>
          </w:p>
        </w:tc>
        <w:tc>
          <w:tcPr>
            <w:tcW w:w="1276" w:type="dxa"/>
            <w:tcBorders>
              <w:left w:val="nil"/>
              <w:bottom w:val="nil"/>
              <w:right w:val="nil"/>
            </w:tcBorders>
            <w:shd w:val="clear" w:color="auto" w:fill="auto"/>
            <w:noWrap/>
            <w:vAlign w:val="bottom"/>
          </w:tcPr>
          <w:p w14:paraId="3A400519" w14:textId="77777777" w:rsidR="004639C5" w:rsidRPr="004639C5" w:rsidRDefault="004639C5" w:rsidP="004639C5">
            <w:pPr>
              <w:jc w:val="right"/>
              <w:rPr>
                <w:sz w:val="18"/>
                <w:szCs w:val="18"/>
                <w:lang w:eastAsia="bg-BG"/>
              </w:rPr>
            </w:pPr>
            <w:r w:rsidRPr="004639C5">
              <w:rPr>
                <w:sz w:val="18"/>
                <w:szCs w:val="18"/>
                <w:lang w:eastAsia="bg-BG"/>
              </w:rPr>
              <w:t>50,0</w:t>
            </w:r>
          </w:p>
        </w:tc>
        <w:tc>
          <w:tcPr>
            <w:tcW w:w="1616" w:type="dxa"/>
            <w:tcBorders>
              <w:left w:val="nil"/>
              <w:bottom w:val="nil"/>
              <w:right w:val="nil"/>
            </w:tcBorders>
            <w:shd w:val="clear" w:color="auto" w:fill="auto"/>
            <w:noWrap/>
            <w:vAlign w:val="bottom"/>
          </w:tcPr>
          <w:p w14:paraId="45105EFB" w14:textId="77777777" w:rsidR="004639C5" w:rsidRPr="004639C5" w:rsidRDefault="004639C5" w:rsidP="004639C5">
            <w:pPr>
              <w:jc w:val="right"/>
              <w:rPr>
                <w:sz w:val="18"/>
                <w:szCs w:val="18"/>
                <w:lang w:eastAsia="bg-BG"/>
              </w:rPr>
            </w:pPr>
            <w:r w:rsidRPr="004639C5">
              <w:rPr>
                <w:sz w:val="18"/>
                <w:szCs w:val="18"/>
                <w:lang w:eastAsia="bg-BG"/>
              </w:rPr>
              <w:t>48,3</w:t>
            </w:r>
          </w:p>
        </w:tc>
        <w:tc>
          <w:tcPr>
            <w:tcW w:w="1304" w:type="dxa"/>
            <w:tcBorders>
              <w:left w:val="nil"/>
              <w:bottom w:val="nil"/>
              <w:right w:val="single" w:sz="8" w:space="0" w:color="auto"/>
            </w:tcBorders>
            <w:shd w:val="clear" w:color="auto" w:fill="auto"/>
            <w:noWrap/>
            <w:vAlign w:val="bottom"/>
          </w:tcPr>
          <w:p w14:paraId="2018A74A" w14:textId="77777777" w:rsidR="004639C5" w:rsidRPr="004639C5" w:rsidRDefault="004639C5" w:rsidP="004639C5">
            <w:pPr>
              <w:jc w:val="right"/>
              <w:rPr>
                <w:sz w:val="18"/>
                <w:szCs w:val="18"/>
                <w:lang w:eastAsia="bg-BG"/>
              </w:rPr>
            </w:pPr>
            <w:r w:rsidRPr="004639C5">
              <w:rPr>
                <w:sz w:val="18"/>
                <w:szCs w:val="18"/>
                <w:lang w:eastAsia="bg-BG"/>
              </w:rPr>
              <w:t>96,6%</w:t>
            </w:r>
          </w:p>
        </w:tc>
      </w:tr>
      <w:tr w:rsidR="004639C5" w:rsidRPr="004639C5" w14:paraId="7CE71D6F" w14:textId="77777777" w:rsidTr="004639C5">
        <w:trPr>
          <w:trHeight w:val="165"/>
          <w:jc w:val="center"/>
        </w:trPr>
        <w:tc>
          <w:tcPr>
            <w:tcW w:w="4854" w:type="dxa"/>
            <w:tcBorders>
              <w:left w:val="single" w:sz="8" w:space="0" w:color="auto"/>
              <w:right w:val="single" w:sz="8" w:space="0" w:color="auto"/>
            </w:tcBorders>
            <w:shd w:val="clear" w:color="auto" w:fill="auto"/>
            <w:noWrap/>
            <w:vAlign w:val="bottom"/>
          </w:tcPr>
          <w:p w14:paraId="7E3DEF9A" w14:textId="77777777" w:rsidR="004639C5" w:rsidRPr="004639C5" w:rsidRDefault="004639C5" w:rsidP="004639C5">
            <w:pPr>
              <w:rPr>
                <w:sz w:val="18"/>
                <w:szCs w:val="18"/>
                <w:lang w:eastAsia="bg-BG"/>
              </w:rPr>
            </w:pPr>
            <w:r w:rsidRPr="004639C5">
              <w:rPr>
                <w:sz w:val="18"/>
                <w:szCs w:val="18"/>
                <w:lang w:eastAsia="bg-BG"/>
              </w:rPr>
              <w:t xml:space="preserve">     </w:t>
            </w:r>
            <w:r w:rsidRPr="004639C5">
              <w:rPr>
                <w:sz w:val="18"/>
                <w:szCs w:val="18"/>
                <w:lang w:val="en-US" w:eastAsia="bg-BG"/>
              </w:rPr>
              <w:t xml:space="preserve"> </w:t>
            </w:r>
            <w:r w:rsidRPr="004639C5">
              <w:rPr>
                <w:sz w:val="18"/>
                <w:szCs w:val="18"/>
                <w:lang w:eastAsia="bg-BG"/>
              </w:rPr>
              <w:t>Мита и митнически такси</w:t>
            </w:r>
          </w:p>
        </w:tc>
        <w:tc>
          <w:tcPr>
            <w:tcW w:w="1276" w:type="dxa"/>
            <w:tcBorders>
              <w:left w:val="nil"/>
              <w:bottom w:val="nil"/>
              <w:right w:val="nil"/>
            </w:tcBorders>
            <w:shd w:val="clear" w:color="auto" w:fill="auto"/>
            <w:noWrap/>
            <w:vAlign w:val="bottom"/>
          </w:tcPr>
          <w:p w14:paraId="291DE8A6" w14:textId="77777777" w:rsidR="004639C5" w:rsidRPr="004639C5" w:rsidRDefault="004639C5" w:rsidP="004639C5">
            <w:pPr>
              <w:jc w:val="right"/>
              <w:rPr>
                <w:sz w:val="18"/>
                <w:szCs w:val="18"/>
                <w:lang w:eastAsia="bg-BG"/>
              </w:rPr>
            </w:pPr>
            <w:r w:rsidRPr="004639C5">
              <w:rPr>
                <w:sz w:val="18"/>
                <w:szCs w:val="18"/>
                <w:lang w:eastAsia="bg-BG"/>
              </w:rPr>
              <w:t>241,3</w:t>
            </w:r>
          </w:p>
        </w:tc>
        <w:tc>
          <w:tcPr>
            <w:tcW w:w="1616" w:type="dxa"/>
            <w:tcBorders>
              <w:left w:val="nil"/>
              <w:bottom w:val="nil"/>
              <w:right w:val="nil"/>
            </w:tcBorders>
            <w:shd w:val="clear" w:color="auto" w:fill="auto"/>
            <w:noWrap/>
            <w:vAlign w:val="bottom"/>
          </w:tcPr>
          <w:p w14:paraId="7B72EBF6" w14:textId="77777777" w:rsidR="004639C5" w:rsidRPr="004639C5" w:rsidRDefault="004639C5" w:rsidP="004639C5">
            <w:pPr>
              <w:jc w:val="right"/>
              <w:rPr>
                <w:sz w:val="18"/>
                <w:szCs w:val="18"/>
                <w:lang w:eastAsia="bg-BG"/>
              </w:rPr>
            </w:pPr>
            <w:r w:rsidRPr="004639C5">
              <w:rPr>
                <w:sz w:val="18"/>
                <w:szCs w:val="18"/>
                <w:lang w:eastAsia="bg-BG"/>
              </w:rPr>
              <w:t>289,7</w:t>
            </w:r>
          </w:p>
        </w:tc>
        <w:tc>
          <w:tcPr>
            <w:tcW w:w="1304" w:type="dxa"/>
            <w:tcBorders>
              <w:left w:val="nil"/>
              <w:bottom w:val="nil"/>
              <w:right w:val="single" w:sz="8" w:space="0" w:color="auto"/>
            </w:tcBorders>
            <w:shd w:val="clear" w:color="auto" w:fill="auto"/>
            <w:noWrap/>
            <w:vAlign w:val="bottom"/>
          </w:tcPr>
          <w:p w14:paraId="02D33D66" w14:textId="77777777" w:rsidR="004639C5" w:rsidRPr="004639C5" w:rsidRDefault="004639C5" w:rsidP="004639C5">
            <w:pPr>
              <w:jc w:val="right"/>
              <w:rPr>
                <w:sz w:val="18"/>
                <w:szCs w:val="18"/>
                <w:lang w:eastAsia="bg-BG"/>
              </w:rPr>
            </w:pPr>
            <w:r w:rsidRPr="004639C5">
              <w:rPr>
                <w:sz w:val="18"/>
                <w:szCs w:val="18"/>
                <w:lang w:eastAsia="bg-BG"/>
              </w:rPr>
              <w:t>120,1%</w:t>
            </w:r>
          </w:p>
        </w:tc>
      </w:tr>
      <w:tr w:rsidR="004639C5" w:rsidRPr="004639C5" w14:paraId="3605D878" w14:textId="77777777" w:rsidTr="004639C5">
        <w:trPr>
          <w:trHeight w:val="165"/>
          <w:jc w:val="center"/>
        </w:trPr>
        <w:tc>
          <w:tcPr>
            <w:tcW w:w="4854" w:type="dxa"/>
            <w:tcBorders>
              <w:left w:val="single" w:sz="8" w:space="0" w:color="auto"/>
              <w:right w:val="single" w:sz="8" w:space="0" w:color="auto"/>
            </w:tcBorders>
            <w:shd w:val="clear" w:color="auto" w:fill="auto"/>
            <w:noWrap/>
            <w:vAlign w:val="bottom"/>
          </w:tcPr>
          <w:p w14:paraId="4961320C" w14:textId="77777777" w:rsidR="004639C5" w:rsidRPr="004639C5" w:rsidRDefault="004639C5" w:rsidP="004639C5">
            <w:pPr>
              <w:rPr>
                <w:sz w:val="18"/>
                <w:szCs w:val="18"/>
                <w:lang w:eastAsia="bg-BG"/>
              </w:rPr>
            </w:pPr>
            <w:r w:rsidRPr="004639C5">
              <w:rPr>
                <w:sz w:val="18"/>
                <w:szCs w:val="18"/>
                <w:lang w:eastAsia="bg-BG"/>
              </w:rPr>
              <w:t xml:space="preserve">     </w:t>
            </w:r>
            <w:r w:rsidRPr="004639C5">
              <w:rPr>
                <w:sz w:val="18"/>
                <w:szCs w:val="18"/>
                <w:lang w:val="en-US" w:eastAsia="bg-BG"/>
              </w:rPr>
              <w:t xml:space="preserve"> </w:t>
            </w:r>
            <w:r w:rsidRPr="004639C5">
              <w:rPr>
                <w:sz w:val="18"/>
                <w:szCs w:val="18"/>
                <w:lang w:eastAsia="bg-BG"/>
              </w:rPr>
              <w:t>Други данъци</w:t>
            </w:r>
          </w:p>
        </w:tc>
        <w:tc>
          <w:tcPr>
            <w:tcW w:w="1276" w:type="dxa"/>
            <w:tcBorders>
              <w:left w:val="nil"/>
              <w:bottom w:val="nil"/>
              <w:right w:val="nil"/>
            </w:tcBorders>
            <w:shd w:val="clear" w:color="auto" w:fill="auto"/>
            <w:noWrap/>
            <w:vAlign w:val="bottom"/>
          </w:tcPr>
          <w:p w14:paraId="30C9D78B" w14:textId="77777777" w:rsidR="004639C5" w:rsidRPr="004639C5" w:rsidRDefault="004639C5" w:rsidP="004639C5">
            <w:pPr>
              <w:jc w:val="right"/>
              <w:rPr>
                <w:sz w:val="18"/>
                <w:szCs w:val="18"/>
                <w:lang w:eastAsia="bg-BG"/>
              </w:rPr>
            </w:pPr>
            <w:r w:rsidRPr="004639C5">
              <w:rPr>
                <w:sz w:val="18"/>
                <w:szCs w:val="18"/>
                <w:lang w:eastAsia="bg-BG"/>
              </w:rPr>
              <w:t>115,8</w:t>
            </w:r>
          </w:p>
        </w:tc>
        <w:tc>
          <w:tcPr>
            <w:tcW w:w="1616" w:type="dxa"/>
            <w:tcBorders>
              <w:top w:val="nil"/>
              <w:left w:val="nil"/>
              <w:bottom w:val="nil"/>
              <w:right w:val="nil"/>
            </w:tcBorders>
            <w:shd w:val="clear" w:color="auto" w:fill="auto"/>
            <w:noWrap/>
            <w:vAlign w:val="bottom"/>
          </w:tcPr>
          <w:p w14:paraId="4A5EB986" w14:textId="77777777" w:rsidR="004639C5" w:rsidRPr="004639C5" w:rsidRDefault="004639C5" w:rsidP="004639C5">
            <w:pPr>
              <w:jc w:val="right"/>
              <w:rPr>
                <w:sz w:val="18"/>
                <w:szCs w:val="18"/>
                <w:lang w:eastAsia="bg-BG"/>
              </w:rPr>
            </w:pPr>
            <w:r w:rsidRPr="004639C5">
              <w:rPr>
                <w:sz w:val="18"/>
                <w:szCs w:val="18"/>
                <w:lang w:eastAsia="bg-BG"/>
              </w:rPr>
              <w:t>114,5</w:t>
            </w:r>
          </w:p>
        </w:tc>
        <w:tc>
          <w:tcPr>
            <w:tcW w:w="1304" w:type="dxa"/>
            <w:tcBorders>
              <w:top w:val="nil"/>
              <w:left w:val="nil"/>
              <w:bottom w:val="nil"/>
              <w:right w:val="single" w:sz="8" w:space="0" w:color="auto"/>
            </w:tcBorders>
            <w:shd w:val="clear" w:color="auto" w:fill="auto"/>
            <w:noWrap/>
            <w:vAlign w:val="bottom"/>
          </w:tcPr>
          <w:p w14:paraId="2F003534" w14:textId="77777777" w:rsidR="004639C5" w:rsidRPr="004639C5" w:rsidRDefault="004639C5" w:rsidP="004639C5">
            <w:pPr>
              <w:jc w:val="right"/>
              <w:rPr>
                <w:sz w:val="18"/>
                <w:szCs w:val="18"/>
                <w:lang w:eastAsia="bg-BG"/>
              </w:rPr>
            </w:pPr>
            <w:r w:rsidRPr="004639C5">
              <w:rPr>
                <w:sz w:val="18"/>
                <w:szCs w:val="18"/>
                <w:lang w:eastAsia="bg-BG"/>
              </w:rPr>
              <w:t>98,9%</w:t>
            </w:r>
          </w:p>
        </w:tc>
      </w:tr>
      <w:tr w:rsidR="004639C5" w:rsidRPr="004639C5" w14:paraId="46ECB4B0" w14:textId="77777777" w:rsidTr="004639C5">
        <w:trPr>
          <w:trHeight w:val="165"/>
          <w:jc w:val="center"/>
        </w:trPr>
        <w:tc>
          <w:tcPr>
            <w:tcW w:w="4854" w:type="dxa"/>
            <w:tcBorders>
              <w:left w:val="single" w:sz="8" w:space="0" w:color="auto"/>
              <w:right w:val="single" w:sz="8" w:space="0" w:color="auto"/>
            </w:tcBorders>
            <w:shd w:val="clear" w:color="auto" w:fill="auto"/>
            <w:noWrap/>
            <w:vAlign w:val="bottom"/>
          </w:tcPr>
          <w:p w14:paraId="194E3F80" w14:textId="77777777" w:rsidR="004639C5" w:rsidRPr="004639C5" w:rsidRDefault="004639C5" w:rsidP="004639C5">
            <w:pPr>
              <w:rPr>
                <w:sz w:val="18"/>
                <w:szCs w:val="18"/>
                <w:lang w:eastAsia="bg-BG"/>
              </w:rPr>
            </w:pPr>
            <w:r w:rsidRPr="004639C5">
              <w:rPr>
                <w:sz w:val="18"/>
                <w:szCs w:val="18"/>
                <w:lang w:eastAsia="bg-BG"/>
              </w:rPr>
              <w:t xml:space="preserve">   -Неданъчни приходи</w:t>
            </w:r>
          </w:p>
        </w:tc>
        <w:tc>
          <w:tcPr>
            <w:tcW w:w="1276" w:type="dxa"/>
            <w:tcBorders>
              <w:left w:val="nil"/>
              <w:bottom w:val="nil"/>
              <w:right w:val="nil"/>
            </w:tcBorders>
            <w:shd w:val="clear" w:color="auto" w:fill="auto"/>
            <w:noWrap/>
            <w:vAlign w:val="bottom"/>
          </w:tcPr>
          <w:p w14:paraId="69E6C50C" w14:textId="77777777" w:rsidR="004639C5" w:rsidRPr="004639C5" w:rsidRDefault="004639C5" w:rsidP="004639C5">
            <w:pPr>
              <w:jc w:val="right"/>
              <w:rPr>
                <w:sz w:val="18"/>
                <w:szCs w:val="18"/>
                <w:lang w:eastAsia="bg-BG"/>
              </w:rPr>
            </w:pPr>
            <w:r w:rsidRPr="004639C5">
              <w:rPr>
                <w:sz w:val="18"/>
                <w:szCs w:val="18"/>
                <w:lang w:eastAsia="bg-BG"/>
              </w:rPr>
              <w:t>2 950,1</w:t>
            </w:r>
          </w:p>
        </w:tc>
        <w:tc>
          <w:tcPr>
            <w:tcW w:w="1616" w:type="dxa"/>
            <w:tcBorders>
              <w:top w:val="nil"/>
              <w:left w:val="nil"/>
              <w:bottom w:val="nil"/>
              <w:right w:val="nil"/>
            </w:tcBorders>
            <w:shd w:val="clear" w:color="auto" w:fill="auto"/>
            <w:noWrap/>
            <w:vAlign w:val="bottom"/>
          </w:tcPr>
          <w:p w14:paraId="55225C5D" w14:textId="77777777" w:rsidR="004639C5" w:rsidRPr="004639C5" w:rsidRDefault="004639C5" w:rsidP="004639C5">
            <w:pPr>
              <w:jc w:val="right"/>
              <w:rPr>
                <w:sz w:val="18"/>
                <w:szCs w:val="18"/>
                <w:lang w:eastAsia="bg-BG"/>
              </w:rPr>
            </w:pPr>
            <w:r w:rsidRPr="004639C5">
              <w:rPr>
                <w:sz w:val="18"/>
                <w:szCs w:val="18"/>
                <w:lang w:eastAsia="bg-BG"/>
              </w:rPr>
              <w:t>3 130,9</w:t>
            </w:r>
          </w:p>
        </w:tc>
        <w:tc>
          <w:tcPr>
            <w:tcW w:w="1304" w:type="dxa"/>
            <w:tcBorders>
              <w:top w:val="nil"/>
              <w:left w:val="nil"/>
              <w:bottom w:val="nil"/>
              <w:right w:val="single" w:sz="8" w:space="0" w:color="auto"/>
            </w:tcBorders>
            <w:shd w:val="clear" w:color="auto" w:fill="auto"/>
            <w:noWrap/>
            <w:vAlign w:val="bottom"/>
          </w:tcPr>
          <w:p w14:paraId="223E310E" w14:textId="77777777" w:rsidR="004639C5" w:rsidRPr="004639C5" w:rsidRDefault="004639C5" w:rsidP="004639C5">
            <w:pPr>
              <w:jc w:val="right"/>
              <w:rPr>
                <w:sz w:val="18"/>
                <w:szCs w:val="18"/>
                <w:lang w:eastAsia="bg-BG"/>
              </w:rPr>
            </w:pPr>
            <w:r w:rsidRPr="004639C5">
              <w:rPr>
                <w:sz w:val="18"/>
                <w:szCs w:val="18"/>
                <w:lang w:eastAsia="bg-BG"/>
              </w:rPr>
              <w:t>106,1%</w:t>
            </w:r>
          </w:p>
        </w:tc>
      </w:tr>
      <w:tr w:rsidR="004639C5" w:rsidRPr="004639C5" w14:paraId="1B1897C4" w14:textId="77777777" w:rsidTr="004639C5">
        <w:trPr>
          <w:trHeight w:val="165"/>
          <w:jc w:val="center"/>
        </w:trPr>
        <w:tc>
          <w:tcPr>
            <w:tcW w:w="4854" w:type="dxa"/>
            <w:tcBorders>
              <w:left w:val="single" w:sz="8" w:space="0" w:color="auto"/>
              <w:bottom w:val="single" w:sz="4" w:space="0" w:color="auto"/>
              <w:right w:val="single" w:sz="8" w:space="0" w:color="auto"/>
            </w:tcBorders>
            <w:shd w:val="clear" w:color="auto" w:fill="auto"/>
            <w:noWrap/>
            <w:vAlign w:val="bottom"/>
          </w:tcPr>
          <w:p w14:paraId="01DC8C2C" w14:textId="77777777" w:rsidR="004639C5" w:rsidRPr="004639C5" w:rsidRDefault="004639C5" w:rsidP="004639C5">
            <w:pPr>
              <w:rPr>
                <w:sz w:val="18"/>
                <w:szCs w:val="18"/>
                <w:lang w:eastAsia="bg-BG"/>
              </w:rPr>
            </w:pPr>
            <w:r w:rsidRPr="004639C5">
              <w:rPr>
                <w:sz w:val="18"/>
                <w:szCs w:val="18"/>
                <w:lang w:eastAsia="bg-BG"/>
              </w:rPr>
              <w:t xml:space="preserve">   -Помощи и дарения</w:t>
            </w:r>
          </w:p>
        </w:tc>
        <w:tc>
          <w:tcPr>
            <w:tcW w:w="1276" w:type="dxa"/>
            <w:tcBorders>
              <w:left w:val="nil"/>
              <w:bottom w:val="single" w:sz="4" w:space="0" w:color="auto"/>
              <w:right w:val="nil"/>
            </w:tcBorders>
            <w:shd w:val="clear" w:color="auto" w:fill="auto"/>
            <w:noWrap/>
            <w:vAlign w:val="bottom"/>
          </w:tcPr>
          <w:p w14:paraId="04FA2B5C" w14:textId="77777777" w:rsidR="004639C5" w:rsidRPr="004639C5" w:rsidRDefault="004639C5" w:rsidP="004639C5">
            <w:pPr>
              <w:jc w:val="right"/>
              <w:rPr>
                <w:sz w:val="18"/>
                <w:szCs w:val="18"/>
                <w:lang w:eastAsia="bg-BG"/>
              </w:rPr>
            </w:pPr>
            <w:r w:rsidRPr="004639C5">
              <w:rPr>
                <w:sz w:val="18"/>
                <w:szCs w:val="18"/>
                <w:lang w:eastAsia="bg-BG"/>
              </w:rPr>
              <w:t>0,0</w:t>
            </w:r>
          </w:p>
        </w:tc>
        <w:tc>
          <w:tcPr>
            <w:tcW w:w="1616" w:type="dxa"/>
            <w:tcBorders>
              <w:top w:val="nil"/>
              <w:left w:val="nil"/>
              <w:bottom w:val="single" w:sz="4" w:space="0" w:color="auto"/>
              <w:right w:val="nil"/>
            </w:tcBorders>
            <w:shd w:val="clear" w:color="auto" w:fill="auto"/>
            <w:noWrap/>
            <w:vAlign w:val="bottom"/>
          </w:tcPr>
          <w:p w14:paraId="0C5E24D2" w14:textId="77777777" w:rsidR="004639C5" w:rsidRPr="004639C5" w:rsidRDefault="004639C5" w:rsidP="004639C5">
            <w:pPr>
              <w:jc w:val="right"/>
              <w:rPr>
                <w:sz w:val="18"/>
                <w:szCs w:val="18"/>
                <w:lang w:eastAsia="bg-BG"/>
              </w:rPr>
            </w:pPr>
            <w:r w:rsidRPr="004639C5">
              <w:rPr>
                <w:sz w:val="18"/>
                <w:szCs w:val="18"/>
                <w:lang w:eastAsia="bg-BG"/>
              </w:rPr>
              <w:t>453,7</w:t>
            </w:r>
          </w:p>
        </w:tc>
        <w:tc>
          <w:tcPr>
            <w:tcW w:w="1304" w:type="dxa"/>
            <w:tcBorders>
              <w:top w:val="nil"/>
              <w:left w:val="nil"/>
              <w:bottom w:val="single" w:sz="4" w:space="0" w:color="auto"/>
              <w:right w:val="single" w:sz="8" w:space="0" w:color="auto"/>
            </w:tcBorders>
            <w:shd w:val="clear" w:color="auto" w:fill="auto"/>
            <w:noWrap/>
            <w:vAlign w:val="bottom"/>
          </w:tcPr>
          <w:p w14:paraId="12B73FD5" w14:textId="77777777" w:rsidR="004639C5" w:rsidRPr="004639C5" w:rsidRDefault="004639C5" w:rsidP="004639C5">
            <w:pPr>
              <w:jc w:val="center"/>
              <w:rPr>
                <w:sz w:val="18"/>
                <w:szCs w:val="18"/>
                <w:lang w:eastAsia="bg-BG"/>
              </w:rPr>
            </w:pPr>
          </w:p>
        </w:tc>
      </w:tr>
      <w:tr w:rsidR="004639C5" w:rsidRPr="004639C5" w14:paraId="40E1C571" w14:textId="77777777" w:rsidTr="004639C5">
        <w:trPr>
          <w:trHeight w:val="199"/>
          <w:jc w:val="center"/>
        </w:trPr>
        <w:tc>
          <w:tcPr>
            <w:tcW w:w="48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2EE6E" w14:textId="77777777" w:rsidR="004639C5" w:rsidRPr="004639C5" w:rsidRDefault="004639C5" w:rsidP="004639C5">
            <w:pPr>
              <w:rPr>
                <w:b/>
                <w:bCs/>
                <w:sz w:val="18"/>
                <w:szCs w:val="18"/>
                <w:lang w:eastAsia="bg-BG"/>
              </w:rPr>
            </w:pPr>
            <w:r w:rsidRPr="004639C5">
              <w:rPr>
                <w:b/>
                <w:bCs/>
                <w:sz w:val="18"/>
                <w:szCs w:val="18"/>
                <w:lang w:eastAsia="bg-BG"/>
              </w:rPr>
              <w:t xml:space="preserve"> Разходи, трансфери и вноска в бюджета на ЕС </w:t>
            </w:r>
            <w:r w:rsidRPr="004639C5">
              <w:rPr>
                <w:b/>
                <w:bCs/>
                <w:sz w:val="18"/>
                <w:szCs w:val="18"/>
                <w:vertAlign w:val="superscript"/>
                <w:lang w:eastAsia="bg-BG"/>
              </w:rPr>
              <w:footnoteReference w:id="12"/>
            </w:r>
          </w:p>
        </w:tc>
        <w:tc>
          <w:tcPr>
            <w:tcW w:w="1276" w:type="dxa"/>
            <w:tcBorders>
              <w:top w:val="single" w:sz="4" w:space="0" w:color="auto"/>
              <w:left w:val="nil"/>
              <w:bottom w:val="single" w:sz="4" w:space="0" w:color="auto"/>
              <w:right w:val="nil"/>
            </w:tcBorders>
            <w:shd w:val="clear" w:color="auto" w:fill="auto"/>
            <w:noWrap/>
            <w:vAlign w:val="bottom"/>
          </w:tcPr>
          <w:p w14:paraId="4F01BC97" w14:textId="77777777" w:rsidR="004639C5" w:rsidRPr="004639C5" w:rsidRDefault="004639C5" w:rsidP="004639C5">
            <w:pPr>
              <w:jc w:val="right"/>
              <w:rPr>
                <w:b/>
                <w:bCs/>
                <w:sz w:val="18"/>
                <w:szCs w:val="18"/>
                <w:lang w:eastAsia="bg-BG"/>
              </w:rPr>
            </w:pPr>
            <w:r w:rsidRPr="004639C5">
              <w:rPr>
                <w:b/>
                <w:bCs/>
                <w:sz w:val="18"/>
                <w:szCs w:val="18"/>
                <w:lang w:eastAsia="bg-BG"/>
              </w:rPr>
              <w:t>34 568,4</w:t>
            </w:r>
          </w:p>
        </w:tc>
        <w:tc>
          <w:tcPr>
            <w:tcW w:w="1616" w:type="dxa"/>
            <w:tcBorders>
              <w:top w:val="single" w:sz="4" w:space="0" w:color="auto"/>
              <w:left w:val="nil"/>
              <w:bottom w:val="single" w:sz="4" w:space="0" w:color="auto"/>
              <w:right w:val="nil"/>
            </w:tcBorders>
            <w:shd w:val="clear" w:color="auto" w:fill="auto"/>
            <w:noWrap/>
            <w:vAlign w:val="bottom"/>
          </w:tcPr>
          <w:p w14:paraId="10ACC367" w14:textId="77777777" w:rsidR="004639C5" w:rsidRPr="004639C5" w:rsidRDefault="004639C5" w:rsidP="004639C5">
            <w:pPr>
              <w:jc w:val="right"/>
              <w:rPr>
                <w:b/>
                <w:bCs/>
                <w:sz w:val="18"/>
                <w:szCs w:val="18"/>
                <w:lang w:eastAsia="bg-BG"/>
              </w:rPr>
            </w:pPr>
            <w:r w:rsidRPr="004639C5">
              <w:rPr>
                <w:b/>
                <w:bCs/>
                <w:sz w:val="18"/>
                <w:szCs w:val="18"/>
                <w:lang w:eastAsia="bg-BG"/>
              </w:rPr>
              <w:t>35 302,8</w:t>
            </w:r>
          </w:p>
        </w:tc>
        <w:tc>
          <w:tcPr>
            <w:tcW w:w="1304" w:type="dxa"/>
            <w:tcBorders>
              <w:top w:val="single" w:sz="4" w:space="0" w:color="auto"/>
              <w:left w:val="nil"/>
              <w:bottom w:val="single" w:sz="4" w:space="0" w:color="auto"/>
              <w:right w:val="single" w:sz="8" w:space="0" w:color="auto"/>
            </w:tcBorders>
            <w:shd w:val="clear" w:color="auto" w:fill="auto"/>
            <w:noWrap/>
            <w:vAlign w:val="bottom"/>
          </w:tcPr>
          <w:p w14:paraId="4ED0F207" w14:textId="77777777" w:rsidR="004639C5" w:rsidRPr="004639C5" w:rsidRDefault="004639C5" w:rsidP="004639C5">
            <w:pPr>
              <w:jc w:val="right"/>
              <w:rPr>
                <w:b/>
                <w:bCs/>
                <w:sz w:val="18"/>
                <w:szCs w:val="18"/>
                <w:lang w:eastAsia="bg-BG"/>
              </w:rPr>
            </w:pPr>
            <w:r w:rsidRPr="004639C5">
              <w:rPr>
                <w:b/>
                <w:bCs/>
                <w:sz w:val="18"/>
                <w:szCs w:val="18"/>
                <w:lang w:eastAsia="bg-BG"/>
              </w:rPr>
              <w:t>102,1%</w:t>
            </w:r>
          </w:p>
        </w:tc>
      </w:tr>
      <w:tr w:rsidR="004639C5" w:rsidRPr="004639C5" w14:paraId="7DC16F34" w14:textId="77777777" w:rsidTr="004639C5">
        <w:trPr>
          <w:trHeight w:val="101"/>
          <w:jc w:val="center"/>
        </w:trPr>
        <w:tc>
          <w:tcPr>
            <w:tcW w:w="4854" w:type="dxa"/>
            <w:tcBorders>
              <w:top w:val="single" w:sz="4" w:space="0" w:color="auto"/>
              <w:left w:val="single" w:sz="4" w:space="0" w:color="auto"/>
              <w:bottom w:val="nil"/>
              <w:right w:val="single" w:sz="4" w:space="0" w:color="auto"/>
            </w:tcBorders>
            <w:shd w:val="clear" w:color="auto" w:fill="auto"/>
            <w:noWrap/>
            <w:vAlign w:val="bottom"/>
          </w:tcPr>
          <w:p w14:paraId="30606428" w14:textId="77777777" w:rsidR="004639C5" w:rsidRPr="004639C5" w:rsidRDefault="004639C5" w:rsidP="004639C5">
            <w:pPr>
              <w:rPr>
                <w:b/>
                <w:i/>
                <w:sz w:val="18"/>
                <w:szCs w:val="18"/>
                <w:lang w:eastAsia="bg-BG"/>
              </w:rPr>
            </w:pPr>
            <w:r w:rsidRPr="004639C5">
              <w:rPr>
                <w:b/>
                <w:i/>
                <w:sz w:val="18"/>
                <w:szCs w:val="18"/>
                <w:lang w:eastAsia="bg-BG"/>
              </w:rPr>
              <w:t xml:space="preserve">   -Нелихвени разходи</w:t>
            </w:r>
          </w:p>
        </w:tc>
        <w:tc>
          <w:tcPr>
            <w:tcW w:w="1276" w:type="dxa"/>
            <w:tcBorders>
              <w:top w:val="single" w:sz="4" w:space="0" w:color="auto"/>
              <w:left w:val="nil"/>
              <w:bottom w:val="nil"/>
              <w:right w:val="nil"/>
            </w:tcBorders>
            <w:shd w:val="clear" w:color="auto" w:fill="auto"/>
            <w:noWrap/>
            <w:vAlign w:val="bottom"/>
          </w:tcPr>
          <w:p w14:paraId="7CEF1FC7" w14:textId="77777777" w:rsidR="004639C5" w:rsidRPr="004639C5" w:rsidRDefault="004639C5" w:rsidP="004639C5">
            <w:pPr>
              <w:jc w:val="right"/>
              <w:rPr>
                <w:sz w:val="18"/>
                <w:szCs w:val="18"/>
                <w:lang w:eastAsia="bg-BG"/>
              </w:rPr>
            </w:pPr>
            <w:r w:rsidRPr="004639C5">
              <w:rPr>
                <w:sz w:val="18"/>
                <w:szCs w:val="18"/>
                <w:lang w:eastAsia="bg-BG"/>
              </w:rPr>
              <w:t>16 950,7</w:t>
            </w:r>
          </w:p>
        </w:tc>
        <w:tc>
          <w:tcPr>
            <w:tcW w:w="1616" w:type="dxa"/>
            <w:tcBorders>
              <w:top w:val="single" w:sz="4" w:space="0" w:color="auto"/>
              <w:left w:val="nil"/>
              <w:bottom w:val="nil"/>
              <w:right w:val="nil"/>
            </w:tcBorders>
            <w:shd w:val="clear" w:color="auto" w:fill="auto"/>
            <w:noWrap/>
            <w:vAlign w:val="bottom"/>
          </w:tcPr>
          <w:p w14:paraId="7CA31FE8" w14:textId="77777777" w:rsidR="004639C5" w:rsidRPr="004639C5" w:rsidRDefault="004639C5" w:rsidP="004639C5">
            <w:pPr>
              <w:jc w:val="right"/>
              <w:rPr>
                <w:sz w:val="18"/>
                <w:szCs w:val="18"/>
                <w:lang w:eastAsia="bg-BG"/>
              </w:rPr>
            </w:pPr>
            <w:r w:rsidRPr="004639C5">
              <w:rPr>
                <w:sz w:val="18"/>
                <w:szCs w:val="18"/>
                <w:lang w:eastAsia="bg-BG"/>
              </w:rPr>
              <w:t>14 439,2</w:t>
            </w:r>
          </w:p>
        </w:tc>
        <w:tc>
          <w:tcPr>
            <w:tcW w:w="1304" w:type="dxa"/>
            <w:tcBorders>
              <w:top w:val="single" w:sz="4" w:space="0" w:color="auto"/>
              <w:left w:val="nil"/>
              <w:bottom w:val="nil"/>
              <w:right w:val="single" w:sz="8" w:space="0" w:color="auto"/>
            </w:tcBorders>
            <w:shd w:val="clear" w:color="auto" w:fill="auto"/>
            <w:noWrap/>
            <w:vAlign w:val="bottom"/>
          </w:tcPr>
          <w:p w14:paraId="190C08FC" w14:textId="77777777" w:rsidR="004639C5" w:rsidRPr="004639C5" w:rsidRDefault="004639C5" w:rsidP="004639C5">
            <w:pPr>
              <w:jc w:val="right"/>
              <w:rPr>
                <w:sz w:val="18"/>
                <w:szCs w:val="18"/>
                <w:lang w:eastAsia="bg-BG"/>
              </w:rPr>
            </w:pPr>
            <w:r w:rsidRPr="004639C5">
              <w:rPr>
                <w:sz w:val="18"/>
                <w:szCs w:val="18"/>
                <w:lang w:eastAsia="bg-BG"/>
              </w:rPr>
              <w:t>85,2%</w:t>
            </w:r>
          </w:p>
        </w:tc>
      </w:tr>
      <w:tr w:rsidR="004639C5" w:rsidRPr="004639C5" w14:paraId="05D635F9" w14:textId="77777777" w:rsidTr="004639C5">
        <w:trPr>
          <w:trHeight w:val="80"/>
          <w:jc w:val="center"/>
        </w:trPr>
        <w:tc>
          <w:tcPr>
            <w:tcW w:w="4854" w:type="dxa"/>
            <w:tcBorders>
              <w:top w:val="nil"/>
              <w:left w:val="single" w:sz="4" w:space="0" w:color="auto"/>
              <w:bottom w:val="nil"/>
              <w:right w:val="single" w:sz="4" w:space="0" w:color="auto"/>
            </w:tcBorders>
            <w:shd w:val="clear" w:color="auto" w:fill="auto"/>
            <w:noWrap/>
            <w:vAlign w:val="bottom"/>
          </w:tcPr>
          <w:p w14:paraId="00D41EEC" w14:textId="77777777" w:rsidR="004639C5" w:rsidRPr="004639C5" w:rsidRDefault="004639C5" w:rsidP="004639C5">
            <w:pPr>
              <w:rPr>
                <w:sz w:val="18"/>
                <w:szCs w:val="18"/>
                <w:lang w:eastAsia="bg-BG"/>
              </w:rPr>
            </w:pPr>
            <w:r w:rsidRPr="004639C5">
              <w:rPr>
                <w:sz w:val="18"/>
                <w:szCs w:val="18"/>
                <w:lang w:eastAsia="bg-BG"/>
              </w:rPr>
              <w:t xml:space="preserve">      Текущи </w:t>
            </w:r>
          </w:p>
        </w:tc>
        <w:tc>
          <w:tcPr>
            <w:tcW w:w="1276" w:type="dxa"/>
            <w:tcBorders>
              <w:top w:val="nil"/>
              <w:left w:val="nil"/>
              <w:bottom w:val="nil"/>
              <w:right w:val="nil"/>
            </w:tcBorders>
            <w:shd w:val="clear" w:color="auto" w:fill="auto"/>
            <w:noWrap/>
            <w:vAlign w:val="bottom"/>
          </w:tcPr>
          <w:p w14:paraId="64B2EF1E" w14:textId="77777777" w:rsidR="004639C5" w:rsidRPr="004639C5" w:rsidRDefault="004639C5" w:rsidP="004639C5">
            <w:pPr>
              <w:jc w:val="right"/>
              <w:rPr>
                <w:sz w:val="18"/>
                <w:szCs w:val="18"/>
                <w:lang w:eastAsia="bg-BG"/>
              </w:rPr>
            </w:pPr>
            <w:r w:rsidRPr="004639C5">
              <w:rPr>
                <w:sz w:val="18"/>
                <w:szCs w:val="18"/>
                <w:lang w:eastAsia="bg-BG"/>
              </w:rPr>
              <w:t>14 366,7</w:t>
            </w:r>
          </w:p>
        </w:tc>
        <w:tc>
          <w:tcPr>
            <w:tcW w:w="1616" w:type="dxa"/>
            <w:tcBorders>
              <w:top w:val="nil"/>
              <w:left w:val="nil"/>
              <w:bottom w:val="nil"/>
              <w:right w:val="nil"/>
            </w:tcBorders>
            <w:shd w:val="clear" w:color="auto" w:fill="auto"/>
            <w:noWrap/>
            <w:vAlign w:val="bottom"/>
          </w:tcPr>
          <w:p w14:paraId="3F8C3242" w14:textId="77777777" w:rsidR="004639C5" w:rsidRPr="004639C5" w:rsidRDefault="004639C5" w:rsidP="004639C5">
            <w:pPr>
              <w:jc w:val="right"/>
              <w:rPr>
                <w:sz w:val="18"/>
                <w:szCs w:val="18"/>
                <w:lang w:eastAsia="bg-BG"/>
              </w:rPr>
            </w:pPr>
            <w:r w:rsidRPr="004639C5">
              <w:rPr>
                <w:sz w:val="18"/>
                <w:szCs w:val="18"/>
                <w:lang w:eastAsia="bg-BG"/>
              </w:rPr>
              <w:t>13 618,1</w:t>
            </w:r>
          </w:p>
        </w:tc>
        <w:tc>
          <w:tcPr>
            <w:tcW w:w="1304" w:type="dxa"/>
            <w:tcBorders>
              <w:top w:val="nil"/>
              <w:left w:val="nil"/>
              <w:bottom w:val="nil"/>
              <w:right w:val="single" w:sz="8" w:space="0" w:color="auto"/>
            </w:tcBorders>
            <w:shd w:val="clear" w:color="auto" w:fill="auto"/>
            <w:noWrap/>
            <w:vAlign w:val="bottom"/>
          </w:tcPr>
          <w:p w14:paraId="0070E38D" w14:textId="77777777" w:rsidR="004639C5" w:rsidRPr="004639C5" w:rsidRDefault="004639C5" w:rsidP="004639C5">
            <w:pPr>
              <w:jc w:val="right"/>
              <w:rPr>
                <w:sz w:val="18"/>
                <w:szCs w:val="18"/>
                <w:lang w:eastAsia="bg-BG"/>
              </w:rPr>
            </w:pPr>
            <w:r w:rsidRPr="004639C5">
              <w:rPr>
                <w:sz w:val="18"/>
                <w:szCs w:val="18"/>
                <w:lang w:eastAsia="bg-BG"/>
              </w:rPr>
              <w:t>94,8%</w:t>
            </w:r>
          </w:p>
        </w:tc>
      </w:tr>
      <w:tr w:rsidR="004639C5" w:rsidRPr="004639C5" w14:paraId="5937331B" w14:textId="77777777" w:rsidTr="004639C5">
        <w:trPr>
          <w:trHeight w:val="80"/>
          <w:jc w:val="center"/>
        </w:trPr>
        <w:tc>
          <w:tcPr>
            <w:tcW w:w="4854" w:type="dxa"/>
            <w:tcBorders>
              <w:top w:val="nil"/>
              <w:left w:val="single" w:sz="4" w:space="0" w:color="auto"/>
              <w:bottom w:val="nil"/>
              <w:right w:val="single" w:sz="4" w:space="0" w:color="auto"/>
            </w:tcBorders>
            <w:shd w:val="clear" w:color="auto" w:fill="auto"/>
            <w:noWrap/>
            <w:vAlign w:val="bottom"/>
          </w:tcPr>
          <w:p w14:paraId="05E14935" w14:textId="77777777" w:rsidR="004639C5" w:rsidRPr="004639C5" w:rsidRDefault="004639C5" w:rsidP="004639C5">
            <w:pPr>
              <w:rPr>
                <w:sz w:val="18"/>
                <w:szCs w:val="18"/>
                <w:lang w:eastAsia="bg-BG"/>
              </w:rPr>
            </w:pPr>
            <w:r w:rsidRPr="004639C5">
              <w:rPr>
                <w:sz w:val="18"/>
                <w:szCs w:val="18"/>
                <w:lang w:eastAsia="bg-BG"/>
              </w:rPr>
              <w:t xml:space="preserve">      Предоставени тек. и капит. трансфери за чужбина</w:t>
            </w:r>
          </w:p>
        </w:tc>
        <w:tc>
          <w:tcPr>
            <w:tcW w:w="1276" w:type="dxa"/>
            <w:tcBorders>
              <w:top w:val="nil"/>
              <w:left w:val="nil"/>
              <w:bottom w:val="nil"/>
              <w:right w:val="nil"/>
            </w:tcBorders>
            <w:shd w:val="clear" w:color="auto" w:fill="auto"/>
            <w:noWrap/>
            <w:vAlign w:val="bottom"/>
          </w:tcPr>
          <w:p w14:paraId="2EC23A9F" w14:textId="77777777" w:rsidR="004639C5" w:rsidRPr="004639C5" w:rsidRDefault="004639C5" w:rsidP="004639C5">
            <w:pPr>
              <w:jc w:val="right"/>
              <w:rPr>
                <w:sz w:val="18"/>
                <w:szCs w:val="18"/>
                <w:lang w:eastAsia="bg-BG"/>
              </w:rPr>
            </w:pPr>
            <w:r w:rsidRPr="004639C5">
              <w:rPr>
                <w:sz w:val="18"/>
                <w:szCs w:val="18"/>
                <w:lang w:eastAsia="bg-BG"/>
              </w:rPr>
              <w:t>18,0</w:t>
            </w:r>
          </w:p>
        </w:tc>
        <w:tc>
          <w:tcPr>
            <w:tcW w:w="1616" w:type="dxa"/>
            <w:tcBorders>
              <w:top w:val="nil"/>
              <w:left w:val="nil"/>
              <w:bottom w:val="nil"/>
              <w:right w:val="nil"/>
            </w:tcBorders>
            <w:shd w:val="clear" w:color="auto" w:fill="auto"/>
            <w:noWrap/>
            <w:vAlign w:val="bottom"/>
          </w:tcPr>
          <w:p w14:paraId="6C4FC173" w14:textId="77777777" w:rsidR="004639C5" w:rsidRPr="004639C5" w:rsidRDefault="004639C5" w:rsidP="004639C5">
            <w:pPr>
              <w:jc w:val="right"/>
              <w:rPr>
                <w:sz w:val="18"/>
                <w:szCs w:val="18"/>
                <w:lang w:eastAsia="bg-BG"/>
              </w:rPr>
            </w:pPr>
            <w:r w:rsidRPr="004639C5">
              <w:rPr>
                <w:sz w:val="18"/>
                <w:szCs w:val="18"/>
                <w:lang w:eastAsia="bg-BG"/>
              </w:rPr>
              <w:t>21,6</w:t>
            </w:r>
          </w:p>
        </w:tc>
        <w:tc>
          <w:tcPr>
            <w:tcW w:w="1304" w:type="dxa"/>
            <w:tcBorders>
              <w:top w:val="nil"/>
              <w:left w:val="nil"/>
              <w:bottom w:val="nil"/>
              <w:right w:val="single" w:sz="8" w:space="0" w:color="auto"/>
            </w:tcBorders>
            <w:shd w:val="clear" w:color="auto" w:fill="auto"/>
            <w:noWrap/>
            <w:vAlign w:val="bottom"/>
          </w:tcPr>
          <w:p w14:paraId="4ABD3F6E" w14:textId="77777777" w:rsidR="004639C5" w:rsidRPr="004639C5" w:rsidRDefault="004639C5" w:rsidP="004639C5">
            <w:pPr>
              <w:jc w:val="right"/>
              <w:rPr>
                <w:sz w:val="18"/>
                <w:szCs w:val="18"/>
                <w:lang w:eastAsia="bg-BG"/>
              </w:rPr>
            </w:pPr>
            <w:r w:rsidRPr="004639C5">
              <w:rPr>
                <w:sz w:val="18"/>
                <w:szCs w:val="18"/>
                <w:lang w:eastAsia="bg-BG"/>
              </w:rPr>
              <w:t>120,1%</w:t>
            </w:r>
          </w:p>
        </w:tc>
      </w:tr>
      <w:tr w:rsidR="004639C5" w:rsidRPr="004639C5" w14:paraId="2D2C39E7" w14:textId="77777777" w:rsidTr="004639C5">
        <w:trPr>
          <w:trHeight w:val="179"/>
          <w:jc w:val="center"/>
        </w:trPr>
        <w:tc>
          <w:tcPr>
            <w:tcW w:w="4854" w:type="dxa"/>
            <w:tcBorders>
              <w:top w:val="nil"/>
              <w:left w:val="single" w:sz="4" w:space="0" w:color="auto"/>
              <w:bottom w:val="nil"/>
              <w:right w:val="single" w:sz="4" w:space="0" w:color="auto"/>
            </w:tcBorders>
            <w:shd w:val="clear" w:color="auto" w:fill="auto"/>
            <w:noWrap/>
            <w:vAlign w:val="bottom"/>
          </w:tcPr>
          <w:p w14:paraId="35B06BF9" w14:textId="77777777" w:rsidR="004639C5" w:rsidRPr="004639C5" w:rsidRDefault="004639C5" w:rsidP="004639C5">
            <w:pPr>
              <w:rPr>
                <w:sz w:val="18"/>
                <w:szCs w:val="18"/>
                <w:lang w:eastAsia="bg-BG"/>
              </w:rPr>
            </w:pPr>
            <w:r w:rsidRPr="004639C5">
              <w:rPr>
                <w:sz w:val="18"/>
                <w:szCs w:val="18"/>
                <w:lang w:eastAsia="bg-BG"/>
              </w:rPr>
              <w:t xml:space="preserve">      Капиталови</w:t>
            </w:r>
          </w:p>
        </w:tc>
        <w:tc>
          <w:tcPr>
            <w:tcW w:w="1276" w:type="dxa"/>
            <w:tcBorders>
              <w:top w:val="nil"/>
              <w:left w:val="nil"/>
              <w:bottom w:val="nil"/>
              <w:right w:val="nil"/>
            </w:tcBorders>
            <w:shd w:val="clear" w:color="auto" w:fill="auto"/>
            <w:noWrap/>
            <w:vAlign w:val="bottom"/>
          </w:tcPr>
          <w:p w14:paraId="4C2B0F24" w14:textId="77777777" w:rsidR="004639C5" w:rsidRPr="004639C5" w:rsidRDefault="004639C5" w:rsidP="004639C5">
            <w:pPr>
              <w:jc w:val="right"/>
              <w:rPr>
                <w:sz w:val="18"/>
                <w:szCs w:val="18"/>
                <w:lang w:eastAsia="bg-BG"/>
              </w:rPr>
            </w:pPr>
            <w:r w:rsidRPr="004639C5">
              <w:rPr>
                <w:sz w:val="18"/>
                <w:szCs w:val="18"/>
                <w:lang w:eastAsia="bg-BG"/>
              </w:rPr>
              <w:t>2 566,0</w:t>
            </w:r>
          </w:p>
        </w:tc>
        <w:tc>
          <w:tcPr>
            <w:tcW w:w="1616" w:type="dxa"/>
            <w:tcBorders>
              <w:top w:val="nil"/>
              <w:left w:val="nil"/>
              <w:bottom w:val="nil"/>
              <w:right w:val="nil"/>
            </w:tcBorders>
            <w:shd w:val="clear" w:color="auto" w:fill="auto"/>
            <w:noWrap/>
            <w:vAlign w:val="bottom"/>
          </w:tcPr>
          <w:p w14:paraId="2AF0B032" w14:textId="77777777" w:rsidR="004639C5" w:rsidRPr="004639C5" w:rsidRDefault="004639C5" w:rsidP="004639C5">
            <w:pPr>
              <w:jc w:val="right"/>
              <w:rPr>
                <w:sz w:val="18"/>
                <w:szCs w:val="18"/>
                <w:lang w:eastAsia="bg-BG"/>
              </w:rPr>
            </w:pPr>
            <w:r w:rsidRPr="004639C5">
              <w:rPr>
                <w:sz w:val="18"/>
                <w:szCs w:val="18"/>
                <w:lang w:eastAsia="bg-BG"/>
              </w:rPr>
              <w:t>799,5</w:t>
            </w:r>
          </w:p>
        </w:tc>
        <w:tc>
          <w:tcPr>
            <w:tcW w:w="1304" w:type="dxa"/>
            <w:tcBorders>
              <w:top w:val="nil"/>
              <w:left w:val="nil"/>
              <w:bottom w:val="nil"/>
              <w:right w:val="single" w:sz="8" w:space="0" w:color="auto"/>
            </w:tcBorders>
            <w:shd w:val="clear" w:color="auto" w:fill="auto"/>
            <w:noWrap/>
            <w:vAlign w:val="bottom"/>
          </w:tcPr>
          <w:p w14:paraId="6EA43904" w14:textId="77777777" w:rsidR="004639C5" w:rsidRPr="004639C5" w:rsidRDefault="004639C5" w:rsidP="004639C5">
            <w:pPr>
              <w:jc w:val="right"/>
              <w:rPr>
                <w:sz w:val="18"/>
                <w:szCs w:val="18"/>
                <w:lang w:eastAsia="bg-BG"/>
              </w:rPr>
            </w:pPr>
            <w:r w:rsidRPr="004639C5">
              <w:rPr>
                <w:sz w:val="18"/>
                <w:szCs w:val="18"/>
                <w:lang w:eastAsia="bg-BG"/>
              </w:rPr>
              <w:t>31,2%</w:t>
            </w:r>
          </w:p>
        </w:tc>
      </w:tr>
      <w:tr w:rsidR="004639C5" w:rsidRPr="004639C5" w14:paraId="0DEF7031" w14:textId="77777777" w:rsidTr="004639C5">
        <w:trPr>
          <w:trHeight w:val="80"/>
          <w:jc w:val="center"/>
        </w:trPr>
        <w:tc>
          <w:tcPr>
            <w:tcW w:w="4854" w:type="dxa"/>
            <w:tcBorders>
              <w:top w:val="nil"/>
              <w:left w:val="single" w:sz="4" w:space="0" w:color="auto"/>
              <w:bottom w:val="nil"/>
              <w:right w:val="single" w:sz="4" w:space="0" w:color="auto"/>
            </w:tcBorders>
            <w:shd w:val="clear" w:color="auto" w:fill="auto"/>
            <w:noWrap/>
            <w:vAlign w:val="bottom"/>
          </w:tcPr>
          <w:p w14:paraId="14B618AE" w14:textId="77777777" w:rsidR="004639C5" w:rsidRPr="004639C5" w:rsidRDefault="004639C5" w:rsidP="004639C5">
            <w:pPr>
              <w:rPr>
                <w:b/>
                <w:i/>
                <w:sz w:val="18"/>
                <w:szCs w:val="18"/>
                <w:lang w:eastAsia="bg-BG"/>
              </w:rPr>
            </w:pPr>
            <w:r w:rsidRPr="004639C5">
              <w:rPr>
                <w:b/>
                <w:i/>
                <w:sz w:val="18"/>
                <w:szCs w:val="18"/>
                <w:lang w:eastAsia="bg-BG"/>
              </w:rPr>
              <w:t xml:space="preserve">   -Лихви</w:t>
            </w:r>
          </w:p>
        </w:tc>
        <w:tc>
          <w:tcPr>
            <w:tcW w:w="1276" w:type="dxa"/>
            <w:tcBorders>
              <w:top w:val="nil"/>
              <w:left w:val="nil"/>
              <w:bottom w:val="nil"/>
              <w:right w:val="nil"/>
            </w:tcBorders>
            <w:shd w:val="clear" w:color="auto" w:fill="auto"/>
            <w:noWrap/>
            <w:vAlign w:val="bottom"/>
          </w:tcPr>
          <w:p w14:paraId="28DD82CF" w14:textId="77777777" w:rsidR="004639C5" w:rsidRPr="004639C5" w:rsidRDefault="004639C5" w:rsidP="004639C5">
            <w:pPr>
              <w:jc w:val="right"/>
              <w:rPr>
                <w:sz w:val="18"/>
                <w:szCs w:val="18"/>
                <w:lang w:eastAsia="bg-BG"/>
              </w:rPr>
            </w:pPr>
            <w:r w:rsidRPr="004639C5">
              <w:rPr>
                <w:sz w:val="18"/>
                <w:szCs w:val="18"/>
                <w:lang w:eastAsia="bg-BG"/>
              </w:rPr>
              <w:t>622,6</w:t>
            </w:r>
          </w:p>
        </w:tc>
        <w:tc>
          <w:tcPr>
            <w:tcW w:w="1616" w:type="dxa"/>
            <w:tcBorders>
              <w:top w:val="nil"/>
              <w:left w:val="nil"/>
              <w:bottom w:val="nil"/>
              <w:right w:val="nil"/>
            </w:tcBorders>
            <w:shd w:val="clear" w:color="auto" w:fill="auto"/>
            <w:noWrap/>
            <w:vAlign w:val="bottom"/>
          </w:tcPr>
          <w:p w14:paraId="54F0107F" w14:textId="77777777" w:rsidR="004639C5" w:rsidRPr="004639C5" w:rsidRDefault="004639C5" w:rsidP="004639C5">
            <w:pPr>
              <w:jc w:val="right"/>
              <w:rPr>
                <w:sz w:val="18"/>
                <w:szCs w:val="18"/>
                <w:lang w:eastAsia="bg-BG"/>
              </w:rPr>
            </w:pPr>
            <w:r w:rsidRPr="004639C5">
              <w:rPr>
                <w:sz w:val="18"/>
                <w:szCs w:val="18"/>
                <w:lang w:eastAsia="bg-BG"/>
              </w:rPr>
              <w:t>579,0</w:t>
            </w:r>
          </w:p>
        </w:tc>
        <w:tc>
          <w:tcPr>
            <w:tcW w:w="1304" w:type="dxa"/>
            <w:tcBorders>
              <w:top w:val="nil"/>
              <w:left w:val="nil"/>
              <w:bottom w:val="nil"/>
              <w:right w:val="single" w:sz="8" w:space="0" w:color="auto"/>
            </w:tcBorders>
            <w:shd w:val="clear" w:color="auto" w:fill="auto"/>
            <w:noWrap/>
            <w:vAlign w:val="bottom"/>
          </w:tcPr>
          <w:p w14:paraId="18B5B50D" w14:textId="77777777" w:rsidR="004639C5" w:rsidRPr="004639C5" w:rsidRDefault="004639C5" w:rsidP="004639C5">
            <w:pPr>
              <w:jc w:val="right"/>
              <w:rPr>
                <w:sz w:val="18"/>
                <w:szCs w:val="18"/>
                <w:lang w:eastAsia="bg-BG"/>
              </w:rPr>
            </w:pPr>
            <w:r w:rsidRPr="004639C5">
              <w:rPr>
                <w:sz w:val="18"/>
                <w:szCs w:val="18"/>
                <w:lang w:eastAsia="bg-BG"/>
              </w:rPr>
              <w:t>93,0%</w:t>
            </w:r>
          </w:p>
        </w:tc>
      </w:tr>
      <w:tr w:rsidR="004639C5" w:rsidRPr="004639C5" w14:paraId="1B614FFF" w14:textId="77777777" w:rsidTr="004639C5">
        <w:trPr>
          <w:trHeight w:val="80"/>
          <w:jc w:val="center"/>
        </w:trPr>
        <w:tc>
          <w:tcPr>
            <w:tcW w:w="4854" w:type="dxa"/>
            <w:tcBorders>
              <w:top w:val="nil"/>
              <w:left w:val="single" w:sz="4" w:space="0" w:color="auto"/>
              <w:bottom w:val="nil"/>
              <w:right w:val="single" w:sz="4" w:space="0" w:color="auto"/>
            </w:tcBorders>
            <w:shd w:val="clear" w:color="auto" w:fill="auto"/>
            <w:noWrap/>
            <w:vAlign w:val="bottom"/>
          </w:tcPr>
          <w:p w14:paraId="35AFD1AE" w14:textId="77777777" w:rsidR="004639C5" w:rsidRPr="004639C5" w:rsidRDefault="004639C5" w:rsidP="004639C5">
            <w:pPr>
              <w:rPr>
                <w:sz w:val="18"/>
                <w:szCs w:val="18"/>
                <w:lang w:eastAsia="bg-BG"/>
              </w:rPr>
            </w:pPr>
            <w:r w:rsidRPr="004639C5">
              <w:rPr>
                <w:sz w:val="18"/>
                <w:szCs w:val="18"/>
                <w:lang w:eastAsia="bg-BG"/>
              </w:rPr>
              <w:t xml:space="preserve">      По външни заеми</w:t>
            </w:r>
          </w:p>
        </w:tc>
        <w:tc>
          <w:tcPr>
            <w:tcW w:w="1276" w:type="dxa"/>
            <w:tcBorders>
              <w:top w:val="nil"/>
              <w:left w:val="nil"/>
              <w:bottom w:val="nil"/>
              <w:right w:val="nil"/>
            </w:tcBorders>
            <w:shd w:val="clear" w:color="auto" w:fill="auto"/>
            <w:noWrap/>
            <w:vAlign w:val="bottom"/>
          </w:tcPr>
          <w:p w14:paraId="350BDDCC" w14:textId="77777777" w:rsidR="004639C5" w:rsidRPr="004639C5" w:rsidRDefault="004639C5" w:rsidP="004639C5">
            <w:pPr>
              <w:jc w:val="right"/>
              <w:rPr>
                <w:sz w:val="18"/>
                <w:szCs w:val="18"/>
                <w:lang w:eastAsia="bg-BG"/>
              </w:rPr>
            </w:pPr>
            <w:r w:rsidRPr="004639C5">
              <w:rPr>
                <w:sz w:val="18"/>
                <w:szCs w:val="18"/>
                <w:lang w:eastAsia="bg-BG"/>
              </w:rPr>
              <w:t>472,4</w:t>
            </w:r>
          </w:p>
        </w:tc>
        <w:tc>
          <w:tcPr>
            <w:tcW w:w="1616" w:type="dxa"/>
            <w:tcBorders>
              <w:top w:val="nil"/>
              <w:left w:val="nil"/>
              <w:bottom w:val="nil"/>
              <w:right w:val="nil"/>
            </w:tcBorders>
            <w:shd w:val="clear" w:color="auto" w:fill="auto"/>
            <w:noWrap/>
            <w:vAlign w:val="bottom"/>
          </w:tcPr>
          <w:p w14:paraId="2348AFEE" w14:textId="77777777" w:rsidR="004639C5" w:rsidRPr="004639C5" w:rsidRDefault="004639C5" w:rsidP="004639C5">
            <w:pPr>
              <w:jc w:val="right"/>
              <w:rPr>
                <w:sz w:val="18"/>
                <w:szCs w:val="18"/>
                <w:lang w:eastAsia="bg-BG"/>
              </w:rPr>
            </w:pPr>
            <w:r w:rsidRPr="004639C5">
              <w:rPr>
                <w:sz w:val="18"/>
                <w:szCs w:val="18"/>
                <w:lang w:eastAsia="bg-BG"/>
              </w:rPr>
              <w:t>448,3</w:t>
            </w:r>
          </w:p>
        </w:tc>
        <w:tc>
          <w:tcPr>
            <w:tcW w:w="1304" w:type="dxa"/>
            <w:tcBorders>
              <w:top w:val="nil"/>
              <w:left w:val="nil"/>
              <w:bottom w:val="nil"/>
              <w:right w:val="single" w:sz="8" w:space="0" w:color="auto"/>
            </w:tcBorders>
            <w:shd w:val="clear" w:color="auto" w:fill="auto"/>
            <w:noWrap/>
            <w:vAlign w:val="bottom"/>
          </w:tcPr>
          <w:p w14:paraId="3692089D" w14:textId="77777777" w:rsidR="004639C5" w:rsidRPr="004639C5" w:rsidRDefault="004639C5" w:rsidP="004639C5">
            <w:pPr>
              <w:jc w:val="right"/>
              <w:rPr>
                <w:sz w:val="18"/>
                <w:szCs w:val="18"/>
                <w:lang w:eastAsia="bg-BG"/>
              </w:rPr>
            </w:pPr>
            <w:r w:rsidRPr="004639C5">
              <w:rPr>
                <w:sz w:val="18"/>
                <w:szCs w:val="18"/>
                <w:lang w:eastAsia="bg-BG"/>
              </w:rPr>
              <w:t>94,9%</w:t>
            </w:r>
          </w:p>
        </w:tc>
      </w:tr>
      <w:tr w:rsidR="004639C5" w:rsidRPr="004639C5" w14:paraId="6E23C07D" w14:textId="77777777" w:rsidTr="004639C5">
        <w:trPr>
          <w:trHeight w:val="80"/>
          <w:jc w:val="center"/>
        </w:trPr>
        <w:tc>
          <w:tcPr>
            <w:tcW w:w="4854" w:type="dxa"/>
            <w:tcBorders>
              <w:top w:val="nil"/>
              <w:left w:val="single" w:sz="4" w:space="0" w:color="auto"/>
              <w:bottom w:val="nil"/>
              <w:right w:val="single" w:sz="4" w:space="0" w:color="auto"/>
            </w:tcBorders>
            <w:shd w:val="clear" w:color="auto" w:fill="auto"/>
            <w:noWrap/>
            <w:vAlign w:val="bottom"/>
          </w:tcPr>
          <w:p w14:paraId="7F469EC2" w14:textId="77777777" w:rsidR="004639C5" w:rsidRPr="004639C5" w:rsidRDefault="004639C5" w:rsidP="004639C5">
            <w:pPr>
              <w:rPr>
                <w:sz w:val="18"/>
                <w:szCs w:val="18"/>
                <w:lang w:eastAsia="bg-BG"/>
              </w:rPr>
            </w:pPr>
            <w:r w:rsidRPr="004639C5">
              <w:rPr>
                <w:sz w:val="18"/>
                <w:szCs w:val="18"/>
                <w:lang w:eastAsia="bg-BG"/>
              </w:rPr>
              <w:t xml:space="preserve">      По вътрешни заеми</w:t>
            </w:r>
          </w:p>
        </w:tc>
        <w:tc>
          <w:tcPr>
            <w:tcW w:w="1276" w:type="dxa"/>
            <w:tcBorders>
              <w:top w:val="nil"/>
              <w:left w:val="nil"/>
              <w:bottom w:val="nil"/>
              <w:right w:val="nil"/>
            </w:tcBorders>
            <w:shd w:val="clear" w:color="auto" w:fill="auto"/>
            <w:noWrap/>
            <w:vAlign w:val="bottom"/>
          </w:tcPr>
          <w:p w14:paraId="5345705C" w14:textId="77777777" w:rsidR="004639C5" w:rsidRPr="004639C5" w:rsidRDefault="004639C5" w:rsidP="004639C5">
            <w:pPr>
              <w:jc w:val="right"/>
              <w:rPr>
                <w:sz w:val="18"/>
                <w:szCs w:val="18"/>
                <w:lang w:eastAsia="bg-BG"/>
              </w:rPr>
            </w:pPr>
            <w:r w:rsidRPr="004639C5">
              <w:rPr>
                <w:sz w:val="18"/>
                <w:szCs w:val="18"/>
                <w:lang w:eastAsia="bg-BG"/>
              </w:rPr>
              <w:t>150,3</w:t>
            </w:r>
          </w:p>
        </w:tc>
        <w:tc>
          <w:tcPr>
            <w:tcW w:w="1616" w:type="dxa"/>
            <w:tcBorders>
              <w:top w:val="nil"/>
              <w:left w:val="nil"/>
              <w:bottom w:val="nil"/>
              <w:right w:val="nil"/>
            </w:tcBorders>
            <w:shd w:val="clear" w:color="auto" w:fill="auto"/>
            <w:noWrap/>
            <w:vAlign w:val="bottom"/>
          </w:tcPr>
          <w:p w14:paraId="29F46B3D" w14:textId="77777777" w:rsidR="004639C5" w:rsidRPr="004639C5" w:rsidRDefault="004639C5" w:rsidP="004639C5">
            <w:pPr>
              <w:jc w:val="right"/>
              <w:rPr>
                <w:sz w:val="18"/>
                <w:szCs w:val="18"/>
                <w:lang w:eastAsia="bg-BG"/>
              </w:rPr>
            </w:pPr>
            <w:r w:rsidRPr="004639C5">
              <w:rPr>
                <w:sz w:val="18"/>
                <w:szCs w:val="18"/>
                <w:lang w:eastAsia="bg-BG"/>
              </w:rPr>
              <w:t>130,6</w:t>
            </w:r>
          </w:p>
        </w:tc>
        <w:tc>
          <w:tcPr>
            <w:tcW w:w="1304" w:type="dxa"/>
            <w:tcBorders>
              <w:top w:val="nil"/>
              <w:left w:val="nil"/>
              <w:bottom w:val="nil"/>
              <w:right w:val="single" w:sz="8" w:space="0" w:color="auto"/>
            </w:tcBorders>
            <w:shd w:val="clear" w:color="auto" w:fill="auto"/>
            <w:noWrap/>
            <w:vAlign w:val="bottom"/>
          </w:tcPr>
          <w:p w14:paraId="20C2D9A1" w14:textId="77777777" w:rsidR="004639C5" w:rsidRPr="004639C5" w:rsidRDefault="004639C5" w:rsidP="004639C5">
            <w:pPr>
              <w:jc w:val="right"/>
              <w:rPr>
                <w:sz w:val="18"/>
                <w:szCs w:val="18"/>
                <w:lang w:eastAsia="bg-BG"/>
              </w:rPr>
            </w:pPr>
            <w:r w:rsidRPr="004639C5">
              <w:rPr>
                <w:sz w:val="18"/>
                <w:szCs w:val="18"/>
                <w:lang w:eastAsia="bg-BG"/>
              </w:rPr>
              <w:t>86,9%</w:t>
            </w:r>
          </w:p>
        </w:tc>
      </w:tr>
      <w:tr w:rsidR="004639C5" w:rsidRPr="004639C5" w14:paraId="4F0B402F" w14:textId="77777777" w:rsidTr="004639C5">
        <w:trPr>
          <w:trHeight w:val="85"/>
          <w:jc w:val="center"/>
        </w:trPr>
        <w:tc>
          <w:tcPr>
            <w:tcW w:w="4854" w:type="dxa"/>
            <w:tcBorders>
              <w:top w:val="nil"/>
              <w:left w:val="single" w:sz="4" w:space="0" w:color="auto"/>
              <w:bottom w:val="nil"/>
              <w:right w:val="single" w:sz="4" w:space="0" w:color="auto"/>
            </w:tcBorders>
            <w:shd w:val="clear" w:color="auto" w:fill="auto"/>
            <w:noWrap/>
            <w:vAlign w:val="bottom"/>
          </w:tcPr>
          <w:p w14:paraId="6C9C74CB" w14:textId="77777777" w:rsidR="004639C5" w:rsidRPr="004639C5" w:rsidRDefault="004639C5" w:rsidP="004639C5">
            <w:pPr>
              <w:rPr>
                <w:b/>
                <w:i/>
                <w:sz w:val="18"/>
                <w:szCs w:val="18"/>
                <w:lang w:eastAsia="bg-BG"/>
              </w:rPr>
            </w:pPr>
            <w:r w:rsidRPr="004639C5">
              <w:rPr>
                <w:b/>
                <w:i/>
                <w:sz w:val="18"/>
                <w:szCs w:val="18"/>
                <w:lang w:eastAsia="bg-BG"/>
              </w:rPr>
              <w:lastRenderedPageBreak/>
              <w:t xml:space="preserve"> -Трансфери за  др. бюджети – нето</w:t>
            </w:r>
          </w:p>
        </w:tc>
        <w:tc>
          <w:tcPr>
            <w:tcW w:w="1276" w:type="dxa"/>
            <w:tcBorders>
              <w:top w:val="nil"/>
              <w:left w:val="nil"/>
              <w:bottom w:val="nil"/>
              <w:right w:val="nil"/>
            </w:tcBorders>
            <w:shd w:val="clear" w:color="auto" w:fill="auto"/>
            <w:noWrap/>
            <w:vAlign w:val="bottom"/>
          </w:tcPr>
          <w:p w14:paraId="4939737A" w14:textId="77777777" w:rsidR="004639C5" w:rsidRPr="004639C5" w:rsidRDefault="004639C5" w:rsidP="004639C5">
            <w:pPr>
              <w:jc w:val="right"/>
              <w:rPr>
                <w:sz w:val="18"/>
                <w:szCs w:val="18"/>
                <w:lang w:eastAsia="bg-BG"/>
              </w:rPr>
            </w:pPr>
            <w:r w:rsidRPr="004639C5">
              <w:rPr>
                <w:sz w:val="18"/>
                <w:szCs w:val="18"/>
                <w:lang w:eastAsia="bg-BG"/>
              </w:rPr>
              <w:t>15 429,0</w:t>
            </w:r>
          </w:p>
        </w:tc>
        <w:tc>
          <w:tcPr>
            <w:tcW w:w="1616" w:type="dxa"/>
            <w:tcBorders>
              <w:top w:val="nil"/>
              <w:left w:val="nil"/>
              <w:bottom w:val="nil"/>
              <w:right w:val="nil"/>
            </w:tcBorders>
            <w:shd w:val="clear" w:color="auto" w:fill="auto"/>
            <w:noWrap/>
            <w:vAlign w:val="bottom"/>
          </w:tcPr>
          <w:p w14:paraId="3C0FE02B" w14:textId="77777777" w:rsidR="004639C5" w:rsidRPr="004639C5" w:rsidRDefault="004639C5" w:rsidP="004639C5">
            <w:pPr>
              <w:jc w:val="right"/>
              <w:rPr>
                <w:sz w:val="18"/>
                <w:szCs w:val="18"/>
                <w:lang w:eastAsia="bg-BG"/>
              </w:rPr>
            </w:pPr>
            <w:r w:rsidRPr="004639C5">
              <w:rPr>
                <w:sz w:val="18"/>
                <w:szCs w:val="18"/>
                <w:lang w:eastAsia="bg-BG"/>
              </w:rPr>
              <w:t>18 603,6</w:t>
            </w:r>
          </w:p>
        </w:tc>
        <w:tc>
          <w:tcPr>
            <w:tcW w:w="1304" w:type="dxa"/>
            <w:tcBorders>
              <w:top w:val="nil"/>
              <w:left w:val="nil"/>
              <w:bottom w:val="nil"/>
              <w:right w:val="single" w:sz="8" w:space="0" w:color="auto"/>
            </w:tcBorders>
            <w:shd w:val="clear" w:color="auto" w:fill="auto"/>
            <w:noWrap/>
            <w:vAlign w:val="bottom"/>
          </w:tcPr>
          <w:p w14:paraId="4817AB16" w14:textId="77777777" w:rsidR="004639C5" w:rsidRPr="004639C5" w:rsidRDefault="004639C5" w:rsidP="004639C5">
            <w:pPr>
              <w:jc w:val="right"/>
              <w:rPr>
                <w:sz w:val="18"/>
                <w:szCs w:val="18"/>
                <w:lang w:eastAsia="bg-BG"/>
              </w:rPr>
            </w:pPr>
            <w:r w:rsidRPr="004639C5">
              <w:rPr>
                <w:sz w:val="18"/>
                <w:szCs w:val="18"/>
                <w:lang w:eastAsia="bg-BG"/>
              </w:rPr>
              <w:t>120,6%</w:t>
            </w:r>
          </w:p>
        </w:tc>
      </w:tr>
      <w:tr w:rsidR="004639C5" w:rsidRPr="004639C5" w14:paraId="149F4FE4" w14:textId="77777777" w:rsidTr="004639C5">
        <w:trPr>
          <w:trHeight w:val="80"/>
          <w:jc w:val="center"/>
        </w:trPr>
        <w:tc>
          <w:tcPr>
            <w:tcW w:w="4854" w:type="dxa"/>
            <w:tcBorders>
              <w:top w:val="nil"/>
              <w:left w:val="single" w:sz="4" w:space="0" w:color="auto"/>
              <w:bottom w:val="single" w:sz="4" w:space="0" w:color="auto"/>
              <w:right w:val="single" w:sz="4" w:space="0" w:color="auto"/>
            </w:tcBorders>
            <w:shd w:val="clear" w:color="auto" w:fill="auto"/>
            <w:noWrap/>
            <w:vAlign w:val="bottom"/>
          </w:tcPr>
          <w:p w14:paraId="7DAA3911" w14:textId="77777777" w:rsidR="004639C5" w:rsidRPr="004639C5" w:rsidRDefault="004639C5" w:rsidP="004639C5">
            <w:pPr>
              <w:rPr>
                <w:b/>
                <w:bCs/>
                <w:i/>
                <w:sz w:val="18"/>
                <w:szCs w:val="18"/>
                <w:lang w:eastAsia="bg-BG"/>
              </w:rPr>
            </w:pPr>
            <w:r w:rsidRPr="004639C5">
              <w:rPr>
                <w:b/>
                <w:bCs/>
                <w:i/>
                <w:sz w:val="18"/>
                <w:szCs w:val="18"/>
                <w:lang w:eastAsia="bg-BG"/>
              </w:rPr>
              <w:t xml:space="preserve"> - Вноска в бюджета на ЕС</w:t>
            </w:r>
          </w:p>
        </w:tc>
        <w:tc>
          <w:tcPr>
            <w:tcW w:w="1276" w:type="dxa"/>
            <w:tcBorders>
              <w:top w:val="nil"/>
              <w:left w:val="nil"/>
              <w:bottom w:val="single" w:sz="4" w:space="0" w:color="auto"/>
              <w:right w:val="nil"/>
            </w:tcBorders>
            <w:shd w:val="clear" w:color="auto" w:fill="auto"/>
            <w:noWrap/>
            <w:vAlign w:val="bottom"/>
          </w:tcPr>
          <w:p w14:paraId="065C33E5" w14:textId="77777777" w:rsidR="004639C5" w:rsidRPr="004639C5" w:rsidRDefault="004639C5" w:rsidP="004639C5">
            <w:pPr>
              <w:jc w:val="right"/>
              <w:rPr>
                <w:sz w:val="18"/>
                <w:szCs w:val="18"/>
                <w:lang w:eastAsia="bg-BG"/>
              </w:rPr>
            </w:pPr>
            <w:r w:rsidRPr="004639C5">
              <w:rPr>
                <w:sz w:val="18"/>
                <w:szCs w:val="18"/>
                <w:lang w:eastAsia="bg-BG"/>
              </w:rPr>
              <w:t>1 566,1</w:t>
            </w:r>
          </w:p>
        </w:tc>
        <w:tc>
          <w:tcPr>
            <w:tcW w:w="1616" w:type="dxa"/>
            <w:tcBorders>
              <w:top w:val="nil"/>
              <w:left w:val="nil"/>
              <w:bottom w:val="single" w:sz="4" w:space="0" w:color="auto"/>
              <w:right w:val="nil"/>
            </w:tcBorders>
            <w:shd w:val="clear" w:color="auto" w:fill="auto"/>
            <w:noWrap/>
            <w:vAlign w:val="bottom"/>
          </w:tcPr>
          <w:p w14:paraId="1A3F8F44" w14:textId="77777777" w:rsidR="004639C5" w:rsidRPr="004639C5" w:rsidRDefault="004639C5" w:rsidP="004639C5">
            <w:pPr>
              <w:jc w:val="right"/>
              <w:rPr>
                <w:sz w:val="18"/>
                <w:szCs w:val="18"/>
                <w:lang w:eastAsia="bg-BG"/>
              </w:rPr>
            </w:pPr>
            <w:r w:rsidRPr="004639C5">
              <w:rPr>
                <w:sz w:val="18"/>
                <w:szCs w:val="18"/>
                <w:lang w:eastAsia="bg-BG"/>
              </w:rPr>
              <w:t>1 681,0</w:t>
            </w:r>
          </w:p>
        </w:tc>
        <w:tc>
          <w:tcPr>
            <w:tcW w:w="1304" w:type="dxa"/>
            <w:tcBorders>
              <w:top w:val="nil"/>
              <w:left w:val="nil"/>
              <w:bottom w:val="single" w:sz="4" w:space="0" w:color="auto"/>
              <w:right w:val="single" w:sz="8" w:space="0" w:color="auto"/>
            </w:tcBorders>
            <w:shd w:val="clear" w:color="auto" w:fill="auto"/>
            <w:noWrap/>
            <w:vAlign w:val="bottom"/>
          </w:tcPr>
          <w:p w14:paraId="1367EA97" w14:textId="77777777" w:rsidR="004639C5" w:rsidRPr="004639C5" w:rsidRDefault="004639C5" w:rsidP="004639C5">
            <w:pPr>
              <w:jc w:val="right"/>
              <w:rPr>
                <w:sz w:val="18"/>
                <w:szCs w:val="18"/>
                <w:lang w:eastAsia="bg-BG"/>
              </w:rPr>
            </w:pPr>
            <w:r w:rsidRPr="004639C5">
              <w:rPr>
                <w:sz w:val="18"/>
                <w:szCs w:val="18"/>
                <w:lang w:eastAsia="bg-BG"/>
              </w:rPr>
              <w:t>107,3%</w:t>
            </w:r>
          </w:p>
        </w:tc>
      </w:tr>
      <w:tr w:rsidR="004639C5" w:rsidRPr="004639C5" w14:paraId="68B0D3BD" w14:textId="77777777" w:rsidTr="004639C5">
        <w:trPr>
          <w:trHeight w:val="70"/>
          <w:jc w:val="center"/>
        </w:trPr>
        <w:tc>
          <w:tcPr>
            <w:tcW w:w="48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C897AC" w14:textId="77777777" w:rsidR="004639C5" w:rsidRPr="004639C5" w:rsidRDefault="004639C5" w:rsidP="004639C5">
            <w:pPr>
              <w:rPr>
                <w:b/>
                <w:bCs/>
                <w:sz w:val="18"/>
                <w:szCs w:val="18"/>
                <w:lang w:eastAsia="bg-BG"/>
              </w:rPr>
            </w:pPr>
            <w:r w:rsidRPr="004639C5">
              <w:rPr>
                <w:b/>
                <w:bCs/>
                <w:sz w:val="18"/>
                <w:szCs w:val="18"/>
                <w:lang w:eastAsia="bg-BG"/>
              </w:rPr>
              <w:t>Бюджетен баланс</w:t>
            </w:r>
          </w:p>
        </w:tc>
        <w:tc>
          <w:tcPr>
            <w:tcW w:w="1276" w:type="dxa"/>
            <w:tcBorders>
              <w:top w:val="single" w:sz="4" w:space="0" w:color="auto"/>
              <w:left w:val="nil"/>
              <w:bottom w:val="single" w:sz="8" w:space="0" w:color="auto"/>
              <w:right w:val="nil"/>
            </w:tcBorders>
            <w:shd w:val="clear" w:color="auto" w:fill="auto"/>
            <w:noWrap/>
            <w:vAlign w:val="bottom"/>
          </w:tcPr>
          <w:p w14:paraId="306F8404" w14:textId="77777777" w:rsidR="004639C5" w:rsidRPr="004639C5" w:rsidRDefault="004639C5" w:rsidP="004639C5">
            <w:pPr>
              <w:jc w:val="right"/>
              <w:rPr>
                <w:b/>
                <w:bCs/>
                <w:sz w:val="18"/>
                <w:szCs w:val="18"/>
                <w:lang w:eastAsia="bg-BG"/>
              </w:rPr>
            </w:pPr>
            <w:r w:rsidRPr="004639C5">
              <w:rPr>
                <w:b/>
                <w:bCs/>
                <w:sz w:val="18"/>
                <w:szCs w:val="18"/>
                <w:lang w:eastAsia="bg-BG"/>
              </w:rPr>
              <w:t>-5 625,7</w:t>
            </w:r>
          </w:p>
        </w:tc>
        <w:tc>
          <w:tcPr>
            <w:tcW w:w="1616" w:type="dxa"/>
            <w:tcBorders>
              <w:top w:val="single" w:sz="4" w:space="0" w:color="auto"/>
              <w:left w:val="nil"/>
              <w:bottom w:val="single" w:sz="8" w:space="0" w:color="auto"/>
              <w:right w:val="nil"/>
            </w:tcBorders>
            <w:shd w:val="clear" w:color="auto" w:fill="auto"/>
            <w:noWrap/>
            <w:vAlign w:val="bottom"/>
          </w:tcPr>
          <w:p w14:paraId="412861D3" w14:textId="77777777" w:rsidR="004639C5" w:rsidRPr="004639C5" w:rsidRDefault="004639C5" w:rsidP="004639C5">
            <w:pPr>
              <w:jc w:val="right"/>
              <w:rPr>
                <w:b/>
                <w:bCs/>
                <w:sz w:val="18"/>
                <w:szCs w:val="18"/>
                <w:lang w:eastAsia="bg-BG"/>
              </w:rPr>
            </w:pPr>
            <w:r w:rsidRPr="004639C5">
              <w:rPr>
                <w:b/>
                <w:bCs/>
                <w:sz w:val="18"/>
                <w:szCs w:val="18"/>
                <w:lang w:eastAsia="bg-BG"/>
              </w:rPr>
              <w:t>-4 381,7</w:t>
            </w:r>
          </w:p>
        </w:tc>
        <w:tc>
          <w:tcPr>
            <w:tcW w:w="1304" w:type="dxa"/>
            <w:tcBorders>
              <w:top w:val="single" w:sz="4" w:space="0" w:color="auto"/>
              <w:left w:val="nil"/>
              <w:bottom w:val="single" w:sz="8" w:space="0" w:color="auto"/>
              <w:right w:val="single" w:sz="8" w:space="0" w:color="auto"/>
            </w:tcBorders>
            <w:shd w:val="clear" w:color="auto" w:fill="auto"/>
            <w:noWrap/>
            <w:vAlign w:val="bottom"/>
          </w:tcPr>
          <w:p w14:paraId="453DA35C" w14:textId="77777777" w:rsidR="004639C5" w:rsidRPr="004639C5" w:rsidRDefault="004639C5" w:rsidP="004639C5">
            <w:pPr>
              <w:jc w:val="right"/>
              <w:rPr>
                <w:b/>
                <w:bCs/>
                <w:sz w:val="18"/>
                <w:szCs w:val="18"/>
                <w:lang w:eastAsia="bg-BG"/>
              </w:rPr>
            </w:pPr>
          </w:p>
        </w:tc>
      </w:tr>
    </w:tbl>
    <w:p w14:paraId="62B7F943" w14:textId="77777777" w:rsidR="004639C5" w:rsidRPr="004639C5" w:rsidRDefault="004639C5" w:rsidP="004639C5">
      <w:pPr>
        <w:ind w:left="426" w:right="310"/>
        <w:jc w:val="both"/>
        <w:rPr>
          <w:bCs/>
          <w:sz w:val="20"/>
          <w:szCs w:val="20"/>
          <w:lang w:eastAsia="bg-BG"/>
        </w:rPr>
      </w:pPr>
    </w:p>
    <w:p w14:paraId="46E265FE" w14:textId="77777777" w:rsidR="004639C5" w:rsidRPr="004639C5" w:rsidRDefault="004639C5" w:rsidP="004639C5">
      <w:pPr>
        <w:numPr>
          <w:ilvl w:val="0"/>
          <w:numId w:val="2"/>
        </w:numPr>
        <w:spacing w:after="120"/>
        <w:jc w:val="both"/>
        <w:rPr>
          <w:b/>
        </w:rPr>
      </w:pPr>
      <w:r w:rsidRPr="004639C5">
        <w:rPr>
          <w:b/>
          <w:bCs/>
        </w:rPr>
        <w:t xml:space="preserve">Приходи по държавния бюджет </w:t>
      </w:r>
    </w:p>
    <w:p w14:paraId="766F9544" w14:textId="77777777" w:rsidR="004639C5" w:rsidRPr="004639C5" w:rsidRDefault="004639C5" w:rsidP="004639C5">
      <w:pPr>
        <w:spacing w:after="120"/>
        <w:jc w:val="both"/>
        <w:rPr>
          <w:bCs/>
          <w:lang w:eastAsia="bg-BG"/>
        </w:rPr>
      </w:pPr>
      <w:r w:rsidRPr="004639C5">
        <w:rPr>
          <w:bCs/>
          <w:lang w:eastAsia="bg-BG"/>
        </w:rPr>
        <w:t>Общият размер на</w:t>
      </w:r>
      <w:r w:rsidRPr="004639C5">
        <w:rPr>
          <w:b/>
          <w:bCs/>
          <w:lang w:eastAsia="bg-BG"/>
        </w:rPr>
        <w:t xml:space="preserve"> приходите, помощите и даренията по държавния бюджет</w:t>
      </w:r>
      <w:r w:rsidRPr="004639C5">
        <w:rPr>
          <w:bCs/>
          <w:lang w:eastAsia="bg-BG"/>
        </w:rPr>
        <w:t xml:space="preserve"> за 2021 г. е</w:t>
      </w:r>
      <w:r w:rsidRPr="004639C5">
        <w:rPr>
          <w:b/>
          <w:bCs/>
          <w:lang w:eastAsia="bg-BG"/>
        </w:rPr>
        <w:t xml:space="preserve"> 30 921,1 млн. лв.</w:t>
      </w:r>
      <w:r w:rsidRPr="004639C5">
        <w:rPr>
          <w:bCs/>
          <w:lang w:eastAsia="bg-BG"/>
        </w:rPr>
        <w:t>, което представлява 106,8 % изпълнение на разчетите по ЗДБРБ за 2021 година.</w:t>
      </w:r>
    </w:p>
    <w:p w14:paraId="31BE434C" w14:textId="77777777" w:rsidR="004639C5" w:rsidRPr="004639C5" w:rsidRDefault="004639C5" w:rsidP="004639C5">
      <w:pPr>
        <w:numPr>
          <w:ilvl w:val="0"/>
          <w:numId w:val="3"/>
        </w:numPr>
        <w:tabs>
          <w:tab w:val="num" w:pos="720"/>
        </w:tabs>
        <w:ind w:left="0" w:firstLine="180"/>
        <w:jc w:val="both"/>
        <w:rPr>
          <w:b/>
          <w:bCs/>
          <w:lang w:eastAsia="bg-BG"/>
        </w:rPr>
      </w:pPr>
      <w:r w:rsidRPr="004639C5">
        <w:rPr>
          <w:bCs/>
          <w:lang w:eastAsia="bg-BG"/>
        </w:rPr>
        <w:t xml:space="preserve"> </w:t>
      </w:r>
      <w:r w:rsidRPr="004639C5">
        <w:rPr>
          <w:b/>
          <w:bCs/>
          <w:lang w:eastAsia="bg-BG"/>
        </w:rPr>
        <w:t>Данъчни приходи</w:t>
      </w:r>
    </w:p>
    <w:p w14:paraId="6B287C2B" w14:textId="77777777" w:rsidR="004639C5" w:rsidRPr="004639C5" w:rsidRDefault="004639C5" w:rsidP="004639C5">
      <w:pPr>
        <w:jc w:val="both"/>
        <w:rPr>
          <w:bCs/>
          <w:sz w:val="4"/>
          <w:szCs w:val="4"/>
          <w:lang w:eastAsia="bg-BG"/>
        </w:rPr>
      </w:pPr>
    </w:p>
    <w:p w14:paraId="0B307B5B" w14:textId="77777777" w:rsidR="004639C5" w:rsidRPr="004639C5" w:rsidRDefault="004639C5" w:rsidP="004639C5">
      <w:pPr>
        <w:jc w:val="both"/>
        <w:rPr>
          <w:sz w:val="10"/>
          <w:lang w:eastAsia="bg-BG"/>
        </w:rPr>
      </w:pPr>
      <w:r w:rsidRPr="004639C5">
        <w:rPr>
          <w:bCs/>
          <w:lang w:eastAsia="bg-BG"/>
        </w:rPr>
        <w:t>Размерът на</w:t>
      </w:r>
      <w:r w:rsidRPr="004639C5">
        <w:rPr>
          <w:b/>
          <w:bCs/>
          <w:lang w:eastAsia="bg-BG"/>
        </w:rPr>
        <w:t xml:space="preserve"> данъчните постъпления по държавния бюджет</w:t>
      </w:r>
      <w:r w:rsidRPr="004639C5">
        <w:rPr>
          <w:bCs/>
          <w:lang w:eastAsia="bg-BG"/>
        </w:rPr>
        <w:t xml:space="preserve"> за 2021 г. </w:t>
      </w:r>
      <w:r w:rsidRPr="004639C5">
        <w:rPr>
          <w:lang w:eastAsia="bg-BG"/>
        </w:rPr>
        <w:t xml:space="preserve">е </w:t>
      </w:r>
      <w:r w:rsidRPr="004639C5">
        <w:rPr>
          <w:b/>
          <w:lang w:eastAsia="bg-BG"/>
        </w:rPr>
        <w:t>27 336,5 млн. лв</w:t>
      </w:r>
      <w:r w:rsidRPr="004639C5">
        <w:rPr>
          <w:lang w:eastAsia="bg-BG"/>
        </w:rPr>
        <w:t>., което представлява 105,2 % изпълнение на годишните разчети. В сравнение с 2020 г. постъпленията в групата нарастват с 3 566,5 млн. лева (15,0 %).</w:t>
      </w:r>
    </w:p>
    <w:p w14:paraId="5DF8FDBE" w14:textId="77777777" w:rsidR="004639C5" w:rsidRPr="004639C5" w:rsidRDefault="004639C5" w:rsidP="004639C5">
      <w:pPr>
        <w:numPr>
          <w:ilvl w:val="0"/>
          <w:numId w:val="4"/>
        </w:numPr>
        <w:tabs>
          <w:tab w:val="clear" w:pos="1440"/>
          <w:tab w:val="num" w:pos="540"/>
        </w:tabs>
        <w:spacing w:before="120" w:after="120"/>
        <w:ind w:left="0" w:firstLine="181"/>
        <w:jc w:val="both"/>
        <w:rPr>
          <w:b/>
          <w:bCs/>
          <w:lang w:eastAsia="bg-BG"/>
        </w:rPr>
      </w:pPr>
      <w:r w:rsidRPr="004639C5">
        <w:rPr>
          <w:b/>
          <w:bCs/>
          <w:lang w:eastAsia="bg-BG"/>
        </w:rPr>
        <w:t>Преки данъци</w:t>
      </w:r>
    </w:p>
    <w:p w14:paraId="342B37E4" w14:textId="1C17DF33" w:rsidR="004639C5" w:rsidRPr="004639C5" w:rsidRDefault="004639C5" w:rsidP="004639C5">
      <w:pPr>
        <w:spacing w:before="120"/>
        <w:jc w:val="both"/>
        <w:rPr>
          <w:lang w:eastAsia="bg-BG"/>
        </w:rPr>
      </w:pPr>
      <w:r w:rsidRPr="004639C5">
        <w:rPr>
          <w:lang w:eastAsia="bg-BG"/>
        </w:rPr>
        <w:t>Приходите в групата на</w:t>
      </w:r>
      <w:r w:rsidRPr="004639C5">
        <w:rPr>
          <w:b/>
          <w:lang w:eastAsia="bg-BG"/>
        </w:rPr>
        <w:t xml:space="preserve"> преките данъци</w:t>
      </w:r>
      <w:r w:rsidRPr="004639C5">
        <w:rPr>
          <w:lang w:eastAsia="bg-BG"/>
        </w:rPr>
        <w:t xml:space="preserve"> са в размер на</w:t>
      </w:r>
      <w:r w:rsidRPr="004639C5">
        <w:rPr>
          <w:b/>
          <w:lang w:eastAsia="bg-BG"/>
        </w:rPr>
        <w:t> 8 245,7 млн. лв</w:t>
      </w:r>
      <w:r w:rsidRPr="004639C5">
        <w:rPr>
          <w:lang w:eastAsia="bg-BG"/>
        </w:rPr>
        <w:t>. или 107,5 % спрямо планираните за годината, като съпоставени със същия период на предходната година нарастват с 1 347,0 млн. лв. (19,5 %).</w:t>
      </w:r>
      <w:r w:rsidRPr="004639C5">
        <w:rPr>
          <w:color w:val="0070C0"/>
          <w:lang w:eastAsia="bg-BG"/>
        </w:rPr>
        <w:t xml:space="preserve"> </w:t>
      </w:r>
      <w:r w:rsidRPr="004639C5">
        <w:rPr>
          <w:lang w:eastAsia="bg-BG"/>
        </w:rPr>
        <w:t>Приходите от</w:t>
      </w:r>
      <w:r w:rsidRPr="004639C5">
        <w:rPr>
          <w:b/>
          <w:lang w:eastAsia="bg-BG"/>
        </w:rPr>
        <w:t xml:space="preserve"> </w:t>
      </w:r>
      <w:r w:rsidRPr="004639C5">
        <w:rPr>
          <w:b/>
          <w:bCs/>
          <w:i/>
          <w:lang w:eastAsia="bg-BG"/>
        </w:rPr>
        <w:t>корпоративни данъци</w:t>
      </w:r>
      <w:r w:rsidRPr="004639C5">
        <w:rPr>
          <w:lang w:eastAsia="bg-BG"/>
        </w:rPr>
        <w:t xml:space="preserve"> за</w:t>
      </w:r>
      <w:r w:rsidRPr="004639C5">
        <w:rPr>
          <w:bCs/>
          <w:lang w:eastAsia="bg-BG"/>
        </w:rPr>
        <w:t xml:space="preserve"> 2021</w:t>
      </w:r>
      <w:r w:rsidRPr="004639C5">
        <w:rPr>
          <w:b/>
          <w:lang w:eastAsia="bg-BG"/>
        </w:rPr>
        <w:t> </w:t>
      </w:r>
      <w:r w:rsidRPr="004639C5">
        <w:rPr>
          <w:lang w:eastAsia="bg-BG"/>
        </w:rPr>
        <w:t>г. са в размер на 3 406,4 млн. лв. или 114,5 % спрямо годишния план. Сравнени с данните за предходната година</w:t>
      </w:r>
      <w:r w:rsidR="00DB3F71" w:rsidRPr="00B12B38">
        <w:rPr>
          <w:lang w:val="ru-RU" w:eastAsia="bg-BG"/>
        </w:rPr>
        <w:t>,</w:t>
      </w:r>
      <w:r w:rsidRPr="004639C5">
        <w:rPr>
          <w:lang w:eastAsia="bg-BG"/>
        </w:rPr>
        <w:t xml:space="preserve"> постъпленията нарастват с 691,5</w:t>
      </w:r>
      <w:r w:rsidRPr="004639C5">
        <w:rPr>
          <w:lang w:val="ru-RU" w:eastAsia="bg-BG"/>
        </w:rPr>
        <w:t xml:space="preserve"> </w:t>
      </w:r>
      <w:r w:rsidRPr="004639C5">
        <w:rPr>
          <w:lang w:eastAsia="bg-BG"/>
        </w:rPr>
        <w:t xml:space="preserve">млн. лв. </w:t>
      </w:r>
      <w:r w:rsidRPr="004639C5">
        <w:rPr>
          <w:lang w:val="ru-RU" w:eastAsia="bg-BG"/>
        </w:rPr>
        <w:t>(</w:t>
      </w:r>
      <w:r w:rsidRPr="004639C5">
        <w:rPr>
          <w:bCs/>
          <w:lang w:val="ru-RU" w:eastAsia="bg-BG"/>
        </w:rPr>
        <w:t>25,5</w:t>
      </w:r>
      <w:r w:rsidRPr="004639C5">
        <w:rPr>
          <w:lang w:val="ru-RU" w:eastAsia="bg-BG"/>
        </w:rPr>
        <w:t xml:space="preserve"> %)</w:t>
      </w:r>
      <w:r w:rsidRPr="004639C5">
        <w:rPr>
          <w:lang w:eastAsia="bg-BG"/>
        </w:rPr>
        <w:t>. Ръстът в изпълнението на приходите от корпоративни данъци за 2021 г. е следствие главно на по-високите с 685,5 млн. лв. приходи от корпоративен данък от нефинансови предприятия – ръст спрямо 2020 г. от 28,2 %. Достигнатият ръст на приходите от корпоративни данъци през 2021 г. е рекорден за последните десет години, както в стойностно изражение, така и в процент спрямо предходния период. При анализа на изпълнението следва да се отчетат предприетите мерки за  подобряване събираемостта на приходите от страна на приходната администрация</w:t>
      </w:r>
      <w:r w:rsidRPr="004639C5">
        <w:rPr>
          <w:lang w:val="ru-RU" w:eastAsia="bg-BG"/>
        </w:rPr>
        <w:t>.</w:t>
      </w:r>
      <w:r w:rsidRPr="004639C5">
        <w:rPr>
          <w:color w:val="0070C0"/>
          <w:lang w:eastAsia="bg-BG"/>
        </w:rPr>
        <w:t xml:space="preserve"> </w:t>
      </w:r>
      <w:r w:rsidRPr="004639C5">
        <w:rPr>
          <w:lang w:eastAsia="bg-BG"/>
        </w:rPr>
        <w:t xml:space="preserve">Необходимо е да се отбележи, че авансовите вноски от корпоративен данък са голяма част от касовите постъпления през годината като съществува практика на внасяне на по-високи суми в края на периода, обусловена в известна степен от възможността за промяна на авансовите вноски до 15 ноември на текущата година и от регламентираната в закона лихва, в случаите на превишение с над 25 на сто на дължимия годишен корпоративен данък. Приходите от данък върху дивидентите, ликвидационните дялове и доходите на местни и чуждестранни юридически лица са в размер на 75,9 млн. лв., като намаляват със 7,3 млн. лв. (8,8 %) спрямо декември 2020 година. </w:t>
      </w:r>
    </w:p>
    <w:p w14:paraId="790C05CF" w14:textId="77777777" w:rsidR="004639C5" w:rsidRPr="004639C5" w:rsidRDefault="004639C5" w:rsidP="004639C5">
      <w:pPr>
        <w:spacing w:before="120" w:after="120"/>
        <w:jc w:val="both"/>
        <w:rPr>
          <w:lang w:eastAsia="bg-BG"/>
        </w:rPr>
      </w:pPr>
      <w:r w:rsidRPr="004639C5">
        <w:rPr>
          <w:lang w:eastAsia="bg-BG"/>
        </w:rPr>
        <w:t>Приходите от</w:t>
      </w:r>
      <w:r w:rsidRPr="004639C5">
        <w:rPr>
          <w:b/>
          <w:lang w:eastAsia="bg-BG"/>
        </w:rPr>
        <w:t xml:space="preserve"> данъци върху доходите на физически лица</w:t>
      </w:r>
      <w:r w:rsidRPr="004639C5">
        <w:rPr>
          <w:b/>
          <w:lang w:val="ru-RU" w:eastAsia="bg-BG"/>
        </w:rPr>
        <w:t xml:space="preserve"> (</w:t>
      </w:r>
      <w:r w:rsidRPr="004639C5">
        <w:rPr>
          <w:b/>
          <w:lang w:eastAsia="bg-BG"/>
        </w:rPr>
        <w:t>ДДФЛ</w:t>
      </w:r>
      <w:r w:rsidRPr="004639C5">
        <w:rPr>
          <w:b/>
          <w:lang w:val="ru-RU" w:eastAsia="bg-BG"/>
        </w:rPr>
        <w:t xml:space="preserve">) </w:t>
      </w:r>
      <w:r w:rsidRPr="004639C5">
        <w:rPr>
          <w:lang w:eastAsia="bg-BG"/>
        </w:rPr>
        <w:t xml:space="preserve">са в размер на </w:t>
      </w:r>
      <w:r w:rsidRPr="004639C5">
        <w:rPr>
          <w:b/>
          <w:lang w:val="ru-RU" w:eastAsia="bg-BG"/>
        </w:rPr>
        <w:t>4 839,3</w:t>
      </w:r>
      <w:r w:rsidRPr="004639C5">
        <w:rPr>
          <w:b/>
          <w:lang w:eastAsia="bg-BG"/>
        </w:rPr>
        <w:t xml:space="preserve"> млн. лв.</w:t>
      </w:r>
      <w:r w:rsidRPr="004639C5">
        <w:rPr>
          <w:lang w:eastAsia="bg-BG"/>
        </w:rPr>
        <w:t xml:space="preserve"> или 103,1 % спрямо заложените в разчета за годината. Тези приходи са с 655,5 млн. лв. повече (15,7 %) спрямо предходната година. Върху размера на данъчните постъпления от ДДФЛ основно влияние имат развитието на пазара на труда и предприетите законодателни и административни мерки в областта на трудовото, социалното и данъчното законодателство. </w:t>
      </w:r>
    </w:p>
    <w:p w14:paraId="5D47CA30" w14:textId="77777777" w:rsidR="004639C5" w:rsidRPr="004639C5" w:rsidRDefault="004639C5" w:rsidP="004639C5">
      <w:pPr>
        <w:spacing w:before="120" w:after="120"/>
        <w:jc w:val="both"/>
        <w:rPr>
          <w:lang w:eastAsia="bg-BG"/>
        </w:rPr>
      </w:pPr>
      <w:r w:rsidRPr="004639C5">
        <w:rPr>
          <w:lang w:eastAsia="bg-BG"/>
        </w:rPr>
        <w:t xml:space="preserve">Редица сектори са пряко или косвено засегнати от наложените мерки за борба с пандемията в България и при основните търговски партньори, което от своя страна оказва влияние върху заетостта и трудовите възнаграждения на работещите в тези сектори, и съответно върху приходите от ДДФЛ. </w:t>
      </w:r>
      <w:r w:rsidRPr="004639C5">
        <w:rPr>
          <w:szCs w:val="20"/>
        </w:rPr>
        <w:t xml:space="preserve">Въпреки удължаването на епидемичната обстановка и относително високата заболеваемост от </w:t>
      </w:r>
      <w:r w:rsidRPr="004639C5">
        <w:rPr>
          <w:lang w:eastAsia="bg-BG"/>
        </w:rPr>
        <w:t>COVID-19 за периода</w:t>
      </w:r>
      <w:r w:rsidRPr="004639C5">
        <w:rPr>
          <w:szCs w:val="20"/>
        </w:rPr>
        <w:t>, предприетите политики по доходите и антикризисните мерки, допринасят за преодоляване на негативния ефект от кризата и положителен прираст за бюджетните приходи от ДДФЛ.</w:t>
      </w:r>
    </w:p>
    <w:p w14:paraId="2624742C" w14:textId="58812AE0" w:rsidR="004639C5" w:rsidRPr="004639C5" w:rsidRDefault="004639C5" w:rsidP="004639C5">
      <w:pPr>
        <w:spacing w:after="120"/>
        <w:jc w:val="both"/>
        <w:rPr>
          <w:lang w:eastAsia="bg-BG"/>
        </w:rPr>
      </w:pPr>
      <w:r w:rsidRPr="004639C5">
        <w:rPr>
          <w:i/>
          <w:lang w:eastAsia="bg-BG"/>
        </w:rPr>
        <w:t>По трудови правоотношения</w:t>
      </w:r>
      <w:r w:rsidRPr="004639C5">
        <w:rPr>
          <w:lang w:eastAsia="bg-BG"/>
        </w:rPr>
        <w:t xml:space="preserve"> приходите от данъка за</w:t>
      </w:r>
      <w:r w:rsidRPr="004639C5">
        <w:rPr>
          <w:bCs/>
          <w:lang w:eastAsia="bg-BG"/>
        </w:rPr>
        <w:t xml:space="preserve"> 2021</w:t>
      </w:r>
      <w:r w:rsidRPr="004639C5">
        <w:rPr>
          <w:lang w:eastAsia="bg-BG"/>
        </w:rPr>
        <w:t xml:space="preserve"> г. са 3 952,6 млн. лв., 101,9 % спрямо годишните разчети. Тези приходи са с 466,0 млн. лв. (13,4 %) повече, в сравнение с предходната година. Върху размера на постъпленията влияние оказват: увеличението на минималната работна заплата за страната </w:t>
      </w:r>
      <w:r w:rsidRPr="004639C5">
        <w:t xml:space="preserve">от 01.01.2021 г.; </w:t>
      </w:r>
      <w:r w:rsidRPr="004639C5">
        <w:rPr>
          <w:lang w:eastAsia="bg-BG"/>
        </w:rPr>
        <w:t xml:space="preserve">увеличението на минималните осигурителни прагове за 2021 г.; </w:t>
      </w:r>
      <w:r w:rsidRPr="004639C5">
        <w:rPr>
          <w:rFonts w:eastAsia="Batang"/>
          <w:lang w:eastAsia="bg-BG"/>
        </w:rPr>
        <w:t>увеличение на заплатите в обществения сектор</w:t>
      </w:r>
      <w:r w:rsidRPr="004639C5">
        <w:t xml:space="preserve">, вкл. на </w:t>
      </w:r>
      <w:r w:rsidRPr="004639C5">
        <w:rPr>
          <w:rFonts w:eastAsia="Batang"/>
          <w:lang w:eastAsia="bg-BG"/>
        </w:rPr>
        <w:t>педагогическия персонал</w:t>
      </w:r>
      <w:r w:rsidRPr="004639C5">
        <w:rPr>
          <w:lang w:eastAsia="bg-BG"/>
        </w:rPr>
        <w:t xml:space="preserve">; </w:t>
      </w:r>
      <w:r w:rsidRPr="004639C5">
        <w:t>промените в броя на наетите лица и заплащането на труда;</w:t>
      </w:r>
      <w:r w:rsidRPr="004639C5">
        <w:rPr>
          <w:lang w:eastAsia="bg-BG"/>
        </w:rPr>
        <w:t xml:space="preserve"> промените в нивото на безработица; допълнителните възнаграждения на медицинския и немедицинския персонал, ангажиран с пациенти, заболели с коронавирус и рискови пациенти; </w:t>
      </w:r>
      <w:r w:rsidRPr="004639C5">
        <w:rPr>
          <w:lang w:eastAsia="bg-BG"/>
        </w:rPr>
        <w:lastRenderedPageBreak/>
        <w:t>мерките „60/40” и „80/20” за краткосрочна подкрепа на заетостта, чрез които държавата поема изплащането на 60 на сто, респективно 80 на сто от месечния осигурителен доход и дължимите осигурителни вноски за сметка на осигурителя в предприятия, чийто бизнес е пострадал от кризата с разпространението на заразата от коронавирус, и други.</w:t>
      </w:r>
    </w:p>
    <w:p w14:paraId="5F898291" w14:textId="77777777" w:rsidR="004639C5" w:rsidRPr="004639C5" w:rsidRDefault="004639C5" w:rsidP="004639C5">
      <w:pPr>
        <w:spacing w:after="120"/>
        <w:jc w:val="both"/>
        <w:rPr>
          <w:lang w:eastAsia="bg-BG"/>
        </w:rPr>
      </w:pPr>
      <w:r w:rsidRPr="004639C5">
        <w:rPr>
          <w:i/>
          <w:lang w:eastAsia="bg-BG"/>
        </w:rPr>
        <w:t>По извънтрудови правоотношения (свободни професии, граждански договори и др.)</w:t>
      </w:r>
      <w:r w:rsidRPr="004639C5">
        <w:rPr>
          <w:lang w:eastAsia="bg-BG"/>
        </w:rPr>
        <w:t xml:space="preserve"> приходите от данъка </w:t>
      </w:r>
      <w:r w:rsidRPr="004639C5">
        <w:rPr>
          <w:bCs/>
          <w:lang w:eastAsia="bg-BG"/>
        </w:rPr>
        <w:t>към декември 2021</w:t>
      </w:r>
      <w:r w:rsidRPr="004639C5">
        <w:rPr>
          <w:lang w:eastAsia="bg-BG"/>
        </w:rPr>
        <w:t xml:space="preserve"> г. са в размер на 407,9 млн. лв., което е 104,3 % спрямо годишния разчет. През 2021 г. са постъпили с 60,3 млн. лв. повече приходи (17,4 %) спрямо предходната година. Основно влияние върху тези приходи оказват резултатите от годишните данъчни декларации по чл. 50 от ЗДДФЛ (дължим данък за довнасяне или надвнесен данък) и дължимите авансови вноски.</w:t>
      </w:r>
    </w:p>
    <w:p w14:paraId="3962D290" w14:textId="77777777" w:rsidR="004639C5" w:rsidRPr="004639C5" w:rsidRDefault="004639C5" w:rsidP="004639C5">
      <w:pPr>
        <w:spacing w:after="120"/>
        <w:jc w:val="both"/>
        <w:rPr>
          <w:lang w:eastAsia="bg-BG"/>
        </w:rPr>
      </w:pPr>
      <w:r w:rsidRPr="004639C5">
        <w:rPr>
          <w:i/>
          <w:lang w:eastAsia="bg-BG"/>
        </w:rPr>
        <w:t xml:space="preserve">Окончателен данък на местните и чуждестранни физически лица по чл. 37 и 38 от ЗДДФЛ </w:t>
      </w:r>
      <w:r w:rsidRPr="004639C5">
        <w:rPr>
          <w:lang w:eastAsia="bg-BG"/>
        </w:rPr>
        <w:t xml:space="preserve">и </w:t>
      </w:r>
      <w:r w:rsidRPr="004639C5">
        <w:rPr>
          <w:i/>
          <w:lang w:eastAsia="bg-BG"/>
        </w:rPr>
        <w:t>данък върху дивидентите и ликвидационните дялове на физически лица</w:t>
      </w:r>
      <w:r w:rsidRPr="004639C5">
        <w:rPr>
          <w:lang w:eastAsia="bg-BG"/>
        </w:rPr>
        <w:t xml:space="preserve"> - постъпленията от тези данъци са в размер на 474,5 млн. лв., 113,7 % спрямо годишния разчет. За отчетния период са постъпили със 130,6 млн. лв. повече (38,0 %) спрямо края на 2020 година. Влияние за по-високото изпълнение на приходите от данък върху дивидентите и ликвидационните дялове на местни и чуждестранни физически и юридически лица има предприетата кампания от НАП през месец юни за проверка на касови наличности. Кампанията е стартирана приоритетно към лица, за които има информация за висока касова наличност (над 100 хил. лв.) през 2018 г., 2019 г. и 2020 г., при които има риск от наличие на сделки, сключени при условия, водещи до отклонение от данъчно облагане, наличието на скрито разпределение на печалбата по смисъла на § 1, т. 5 от ДР на ЗКПО. Касовата наличност на селектираните за проверка лица само за 2019 г. е в размер надвишаващ 569,6 млн. лева. Скритото разпределение на печалбата се третира като дивидент, за който се внася 5 % данък върху разпределените суми. </w:t>
      </w:r>
    </w:p>
    <w:p w14:paraId="1F34A8A5" w14:textId="77777777" w:rsidR="004639C5" w:rsidRPr="004639C5" w:rsidRDefault="004639C5" w:rsidP="004639C5">
      <w:pPr>
        <w:spacing w:after="120"/>
        <w:jc w:val="both"/>
        <w:rPr>
          <w:lang w:eastAsia="bg-BG"/>
        </w:rPr>
      </w:pPr>
      <w:r w:rsidRPr="004639C5">
        <w:rPr>
          <w:lang w:eastAsia="bg-BG"/>
        </w:rPr>
        <w:t xml:space="preserve">Постъпленията от </w:t>
      </w:r>
      <w:r w:rsidRPr="004639C5">
        <w:rPr>
          <w:i/>
          <w:lang w:eastAsia="bg-BG"/>
        </w:rPr>
        <w:t xml:space="preserve">окончателния данък върху приходите от лихви от депозити на физическите лица </w:t>
      </w:r>
      <w:r w:rsidRPr="004639C5">
        <w:rPr>
          <w:lang w:eastAsia="bg-BG"/>
        </w:rPr>
        <w:t>са в размер на 4,3 млн. лева.</w:t>
      </w:r>
    </w:p>
    <w:p w14:paraId="42367C9C" w14:textId="77777777" w:rsidR="004639C5" w:rsidRPr="004639C5" w:rsidRDefault="004639C5" w:rsidP="004639C5">
      <w:pPr>
        <w:numPr>
          <w:ilvl w:val="0"/>
          <w:numId w:val="4"/>
        </w:numPr>
        <w:tabs>
          <w:tab w:val="clear" w:pos="1440"/>
          <w:tab w:val="num" w:pos="540"/>
        </w:tabs>
        <w:ind w:left="0" w:firstLine="180"/>
        <w:jc w:val="both"/>
        <w:rPr>
          <w:b/>
          <w:bCs/>
          <w:lang w:eastAsia="bg-BG"/>
        </w:rPr>
      </w:pPr>
      <w:r w:rsidRPr="004639C5">
        <w:rPr>
          <w:b/>
          <w:bCs/>
          <w:lang w:eastAsia="bg-BG"/>
        </w:rPr>
        <w:t>Косвени данъци</w:t>
      </w:r>
    </w:p>
    <w:p w14:paraId="3F574F21" w14:textId="77777777" w:rsidR="004639C5" w:rsidRPr="004639C5" w:rsidRDefault="004639C5" w:rsidP="004639C5">
      <w:pPr>
        <w:jc w:val="both"/>
        <w:rPr>
          <w:b/>
          <w:bCs/>
          <w:color w:val="0070C0"/>
          <w:sz w:val="4"/>
          <w:szCs w:val="4"/>
          <w:lang w:eastAsia="bg-BG"/>
        </w:rPr>
      </w:pPr>
    </w:p>
    <w:p w14:paraId="13837264" w14:textId="77777777" w:rsidR="004639C5" w:rsidRPr="004639C5" w:rsidRDefault="004639C5" w:rsidP="004639C5">
      <w:pPr>
        <w:spacing w:after="120"/>
        <w:jc w:val="both"/>
        <w:rPr>
          <w:lang w:eastAsia="bg-BG"/>
        </w:rPr>
      </w:pPr>
      <w:r w:rsidRPr="004639C5">
        <w:rPr>
          <w:lang w:eastAsia="bg-BG"/>
        </w:rPr>
        <w:t xml:space="preserve">Приходите от </w:t>
      </w:r>
      <w:r w:rsidRPr="004639C5">
        <w:rPr>
          <w:b/>
          <w:lang w:eastAsia="bg-BG"/>
        </w:rPr>
        <w:t>косвени данъци</w:t>
      </w:r>
      <w:r w:rsidRPr="004639C5">
        <w:rPr>
          <w:lang w:eastAsia="bg-BG"/>
        </w:rPr>
        <w:t xml:space="preserve"> за</w:t>
      </w:r>
      <w:r w:rsidRPr="004639C5">
        <w:rPr>
          <w:bCs/>
          <w:lang w:eastAsia="bg-BG"/>
        </w:rPr>
        <w:t xml:space="preserve"> 2021</w:t>
      </w:r>
      <w:r w:rsidRPr="004639C5">
        <w:rPr>
          <w:lang w:eastAsia="bg-BG"/>
        </w:rPr>
        <w:t xml:space="preserve"> г. са в размер на </w:t>
      </w:r>
      <w:r w:rsidRPr="004639C5">
        <w:rPr>
          <w:b/>
          <w:lang w:eastAsia="bg-BG"/>
        </w:rPr>
        <w:t>18 976,3 млн. лв</w:t>
      </w:r>
      <w:r w:rsidRPr="004639C5">
        <w:rPr>
          <w:lang w:eastAsia="bg-BG"/>
        </w:rPr>
        <w:t xml:space="preserve">. или 104,2 % спрямо годишния разчет. </w:t>
      </w:r>
    </w:p>
    <w:p w14:paraId="34C83228" w14:textId="77777777" w:rsidR="004639C5" w:rsidRPr="004639C5" w:rsidRDefault="004639C5" w:rsidP="004639C5">
      <w:pPr>
        <w:spacing w:after="120"/>
        <w:jc w:val="both"/>
        <w:rPr>
          <w:color w:val="0070C0"/>
          <w:lang w:eastAsia="bg-BG"/>
        </w:rPr>
      </w:pPr>
      <w:r w:rsidRPr="004639C5">
        <w:rPr>
          <w:b/>
          <w:lang w:eastAsia="bg-BG"/>
        </w:rPr>
        <w:t>Приходите от ДДС</w:t>
      </w:r>
      <w:r w:rsidRPr="004639C5">
        <w:rPr>
          <w:lang w:eastAsia="bg-BG"/>
        </w:rPr>
        <w:t xml:space="preserve"> са в размер на </w:t>
      </w:r>
      <w:r w:rsidRPr="004639C5">
        <w:rPr>
          <w:b/>
          <w:lang w:eastAsia="bg-BG"/>
        </w:rPr>
        <w:t>12 978,5</w:t>
      </w:r>
      <w:r w:rsidRPr="004639C5">
        <w:rPr>
          <w:lang w:eastAsia="bg-BG"/>
        </w:rPr>
        <w:t xml:space="preserve"> </w:t>
      </w:r>
      <w:r w:rsidRPr="004639C5">
        <w:rPr>
          <w:b/>
          <w:lang w:eastAsia="bg-BG"/>
        </w:rPr>
        <w:t>млн. лв.,</w:t>
      </w:r>
      <w:r w:rsidRPr="004639C5">
        <w:rPr>
          <w:lang w:eastAsia="bg-BG"/>
        </w:rPr>
        <w:t xml:space="preserve"> което представлява 105,7 % спрямо планираните със ЗДБРБ за 2021 година. Съпоставени с 2020 г., приходите от ДДС се увеличават с 1 957,6 млн. лв. (17,8 %). </w:t>
      </w:r>
    </w:p>
    <w:p w14:paraId="7F38FB79" w14:textId="77777777" w:rsidR="004639C5" w:rsidRPr="004639C5" w:rsidRDefault="004639C5" w:rsidP="004639C5">
      <w:pPr>
        <w:spacing w:after="120"/>
        <w:jc w:val="both"/>
        <w:rPr>
          <w:lang w:eastAsia="bg-BG"/>
        </w:rPr>
      </w:pPr>
      <w:r w:rsidRPr="004639C5">
        <w:rPr>
          <w:lang w:eastAsia="bg-BG"/>
        </w:rPr>
        <w:t>Една от причините, която оказа влияние върху</w:t>
      </w:r>
      <w:r w:rsidRPr="004639C5">
        <w:rPr>
          <w:lang w:val="ru-RU" w:eastAsia="bg-BG"/>
        </w:rPr>
        <w:t xml:space="preserve"> </w:t>
      </w:r>
      <w:r w:rsidRPr="004639C5">
        <w:rPr>
          <w:lang w:eastAsia="bg-BG"/>
        </w:rPr>
        <w:t>структурата на приходите от ДДС през 2021 г. е излизането на Великобритания от Европейския съюз, в резултат на което постъпленията от ДДС от внос се увеличиха за сметка на приходите от ДДС от сделки в страната и ВОП.</w:t>
      </w:r>
    </w:p>
    <w:p w14:paraId="48145415" w14:textId="77777777" w:rsidR="004639C5" w:rsidRPr="004639C5" w:rsidRDefault="004639C5" w:rsidP="004639C5">
      <w:pPr>
        <w:spacing w:after="120"/>
        <w:jc w:val="both"/>
        <w:rPr>
          <w:lang w:eastAsia="bg-BG"/>
        </w:rPr>
      </w:pPr>
      <w:r w:rsidRPr="004639C5">
        <w:rPr>
          <w:lang w:eastAsia="bg-BG"/>
        </w:rPr>
        <w:t>В допълнение към това, в сила от началото на 2021 г., са приети и промени за усъвършенстване на законодателството и подобряване на режимите за прилагане и събиране на ДДС, свързани с въвеждане в Закона за ДДС на разпоредби на Директива (ЕС) 2017/2455 и Директива (ЕС) 2019/1995, приложими за трансгранична електронна търговия между данъчно задължени и данъчно незадължени лица. С измененията се подобряват и опростяват някои правила в системата на ДДС, в контекста на доставките на услуги и дистанционните продажби на стоки и някои вътрешни доставки на стоки, с цел подобряване на събираемостта на приходите от данъка и облекчаване на административната тежест.</w:t>
      </w:r>
    </w:p>
    <w:p w14:paraId="4EEA7EAC" w14:textId="77777777" w:rsidR="004639C5" w:rsidRPr="004639C5" w:rsidRDefault="004639C5" w:rsidP="004639C5">
      <w:pPr>
        <w:spacing w:before="120"/>
        <w:ind w:right="-29"/>
        <w:jc w:val="both"/>
        <w:rPr>
          <w:color w:val="0070C0"/>
          <w:lang w:eastAsia="bg-BG"/>
        </w:rPr>
      </w:pPr>
      <w:r w:rsidRPr="004639C5">
        <w:rPr>
          <w:lang w:eastAsia="bg-BG"/>
        </w:rPr>
        <w:t xml:space="preserve">Нетният размер на приходите от </w:t>
      </w:r>
      <w:r w:rsidRPr="004639C5">
        <w:rPr>
          <w:i/>
          <w:lang w:eastAsia="bg-BG"/>
        </w:rPr>
        <w:t>ДДС от внос</w:t>
      </w:r>
      <w:r w:rsidRPr="004639C5">
        <w:rPr>
          <w:lang w:eastAsia="bg-BG"/>
        </w:rPr>
        <w:t xml:space="preserve"> за</w:t>
      </w:r>
      <w:r w:rsidRPr="004639C5">
        <w:rPr>
          <w:bCs/>
          <w:lang w:eastAsia="bg-BG"/>
        </w:rPr>
        <w:t xml:space="preserve"> 2021</w:t>
      </w:r>
      <w:r w:rsidRPr="004639C5">
        <w:rPr>
          <w:lang w:eastAsia="bg-BG"/>
        </w:rPr>
        <w:t xml:space="preserve"> г. е 4 549,5 млн. лв., като нараства с 1 052,4 млн. лв. (30,1 %) в сравнение с 2020 г. Това е исторически най-високият ръст, отчетен след влизането на България в Европейския съюз. Повишението на тези приходи е резултат от възстановяването на бизнес активността, повишаване на събираемостта, нарастването на цените на основни суровини, повишението на количествата на стоките, внасяни от трети страни, подобрения митнически контрол и надзор, прецизирането контрола върху елементите за облагане – тарифно класиране, държава на произход, митническа стойност, както и акцент на контрола върху приходоопределящи икономически оператори и стоките с най-голям </w:t>
      </w:r>
      <w:r w:rsidRPr="004639C5">
        <w:rPr>
          <w:lang w:eastAsia="bg-BG"/>
        </w:rPr>
        <w:lastRenderedPageBreak/>
        <w:t xml:space="preserve">фискален ефект. Влияние върху постъпленията от ДДС от внос оказват цената на суровия петрол, количествата на внасяните стоки за междинно потребление (черни, цветни метали и др.), курса на щатския долар спрямо еврото, както и въведената законодателна промяна от 01.07.2019 г. за възможност </w:t>
      </w:r>
      <w:r w:rsidRPr="004639C5">
        <w:rPr>
          <w:iCs/>
          <w:lang w:eastAsia="bg-BG"/>
        </w:rPr>
        <w:t>за отложено начисляване на ДДС от вносител при внос на стоки от трети страни, в съответствие с разпоредбата на чл. 167а от Закона за данък върху добавената стойност.</w:t>
      </w:r>
      <w:r w:rsidRPr="004639C5">
        <w:rPr>
          <w:bCs/>
          <w:lang w:eastAsia="bg-BG"/>
        </w:rPr>
        <w:t xml:space="preserve"> Ефектът от прилагането на този режим за 2021 г. е неначислен ДДС при внос в размер на 1 267,1 млн. лв.,</w:t>
      </w:r>
      <w:r w:rsidRPr="004639C5">
        <w:rPr>
          <w:b/>
          <w:bCs/>
          <w:lang w:eastAsia="bg-BG"/>
        </w:rPr>
        <w:t xml:space="preserve"> </w:t>
      </w:r>
      <w:r w:rsidRPr="004639C5">
        <w:rPr>
          <w:bCs/>
          <w:lang w:eastAsia="bg-BG"/>
        </w:rPr>
        <w:t>което е със 163,3 млн. лв. (14,8 %)</w:t>
      </w:r>
      <w:r w:rsidRPr="004639C5">
        <w:rPr>
          <w:lang w:eastAsia="bg-BG"/>
        </w:rPr>
        <w:t xml:space="preserve"> повече от 2020 г. Стоките с най-значителен дял в прилагането на този режим са следните: стоки от глава „Руди, шлаки и пепели“ – 777,0 млн. лв. и стоки от глава „Мед и изделия от мед“ – 186,7 млн. лв. Общо 70 икономически оператори са се възползвали от възможността да отложат начисляването на ДДС</w:t>
      </w:r>
      <w:r w:rsidRPr="004639C5">
        <w:rPr>
          <w:color w:val="0070C0"/>
          <w:lang w:eastAsia="bg-BG"/>
        </w:rPr>
        <w:t>.</w:t>
      </w:r>
    </w:p>
    <w:p w14:paraId="150A6C8C" w14:textId="77777777" w:rsidR="004639C5" w:rsidRPr="004639C5" w:rsidRDefault="004639C5" w:rsidP="004639C5">
      <w:pPr>
        <w:spacing w:before="120" w:after="120"/>
        <w:jc w:val="both"/>
        <w:rPr>
          <w:b/>
          <w:lang w:eastAsia="bg-BG"/>
        </w:rPr>
      </w:pPr>
      <w:r w:rsidRPr="004639C5">
        <w:rPr>
          <w:lang w:eastAsia="bg-BG"/>
        </w:rPr>
        <w:t>Постъпленията от</w:t>
      </w:r>
      <w:r w:rsidRPr="004639C5">
        <w:rPr>
          <w:i/>
          <w:lang w:eastAsia="bg-BG"/>
        </w:rPr>
        <w:t xml:space="preserve"> ДДС при сделки в страната (нето)</w:t>
      </w:r>
      <w:r w:rsidRPr="004639C5">
        <w:rPr>
          <w:lang w:eastAsia="bg-BG"/>
        </w:rPr>
        <w:t xml:space="preserve"> за</w:t>
      </w:r>
      <w:r w:rsidRPr="004639C5">
        <w:rPr>
          <w:bCs/>
          <w:lang w:eastAsia="bg-BG"/>
        </w:rPr>
        <w:t xml:space="preserve"> 2021</w:t>
      </w:r>
      <w:r w:rsidRPr="004639C5">
        <w:rPr>
          <w:lang w:eastAsia="bg-BG"/>
        </w:rPr>
        <w:t xml:space="preserve"> г. възлизат на 8 429,0</w:t>
      </w:r>
      <w:r w:rsidRPr="004639C5">
        <w:rPr>
          <w:rFonts w:eastAsia="Calibri"/>
          <w:b/>
        </w:rPr>
        <w:t> </w:t>
      </w:r>
      <w:r w:rsidRPr="004639C5">
        <w:rPr>
          <w:lang w:eastAsia="bg-BG"/>
        </w:rPr>
        <w:t xml:space="preserve">млн. лв. и нарастват с 905,2 млн. лв. (12,0 %) спрямо предходната година. </w:t>
      </w:r>
      <w:r w:rsidRPr="004639C5">
        <w:rPr>
          <w:bCs/>
          <w:lang w:eastAsia="bg-BG"/>
        </w:rPr>
        <w:t xml:space="preserve">Невъзстановеният </w:t>
      </w:r>
      <w:r w:rsidRPr="004639C5">
        <w:rPr>
          <w:lang w:eastAsia="bg-BG"/>
        </w:rPr>
        <w:t xml:space="preserve">данъчен кредит </w:t>
      </w:r>
      <w:r w:rsidRPr="004639C5">
        <w:rPr>
          <w:bCs/>
          <w:lang w:eastAsia="bg-BG"/>
        </w:rPr>
        <w:t>към 31.12.2021 г. е в размер на 77,5 млн. лева.</w:t>
      </w:r>
    </w:p>
    <w:p w14:paraId="4BF2E517" w14:textId="220D0A12" w:rsidR="004639C5" w:rsidRPr="004639C5" w:rsidRDefault="004639C5" w:rsidP="004639C5">
      <w:pPr>
        <w:spacing w:after="120"/>
        <w:jc w:val="both"/>
        <w:rPr>
          <w:lang w:eastAsia="bg-BG"/>
        </w:rPr>
      </w:pPr>
      <w:r w:rsidRPr="004639C5">
        <w:rPr>
          <w:b/>
          <w:lang w:eastAsia="bg-BG"/>
        </w:rPr>
        <w:t xml:space="preserve">Приходите от акцизи (нето) </w:t>
      </w:r>
      <w:r w:rsidRPr="004639C5">
        <w:rPr>
          <w:lang w:eastAsia="bg-BG"/>
        </w:rPr>
        <w:t xml:space="preserve">от внос, вътрешно производство и въведени в страната от други държави-членки на ЕС акцизни стоки са в размер на </w:t>
      </w:r>
      <w:r w:rsidRPr="004639C5">
        <w:rPr>
          <w:b/>
          <w:lang w:eastAsia="bg-BG"/>
        </w:rPr>
        <w:t>5 659,8 млн. лв</w:t>
      </w:r>
      <w:r w:rsidRPr="004639C5">
        <w:rPr>
          <w:lang w:eastAsia="bg-BG"/>
        </w:rPr>
        <w:t>., което е 100,3 % спрямо планираните със ЗДБРБ за 2021 г. Съпоставен</w:t>
      </w:r>
      <w:r w:rsidR="00DB3F71">
        <w:rPr>
          <w:lang w:eastAsia="bg-BG"/>
        </w:rPr>
        <w:t>и</w:t>
      </w:r>
      <w:r w:rsidRPr="004639C5">
        <w:rPr>
          <w:lang w:eastAsia="bg-BG"/>
        </w:rPr>
        <w:t xml:space="preserve"> с предходната година</w:t>
      </w:r>
      <w:r w:rsidR="00DB3F71">
        <w:rPr>
          <w:lang w:eastAsia="bg-BG"/>
        </w:rPr>
        <w:t>,</w:t>
      </w:r>
      <w:r w:rsidRPr="004639C5">
        <w:rPr>
          <w:lang w:eastAsia="bg-BG"/>
        </w:rPr>
        <w:t xml:space="preserve"> приходите от акцизи нарастват номинално с 215,2 млн. лв. (4,0 %). Освен промените в данъчното законодателство и усилията за подобряване на контрола и събираемостта на митническата администрация, влияние върху приходите от акцизи за 2021 г. оказват и отчетените обеми на потребление по групи акцизни стоки.</w:t>
      </w:r>
    </w:p>
    <w:p w14:paraId="404B7FF8" w14:textId="77777777" w:rsidR="004639C5" w:rsidRPr="004639C5" w:rsidRDefault="004639C5" w:rsidP="004639C5">
      <w:pPr>
        <w:spacing w:after="120"/>
        <w:jc w:val="both"/>
        <w:rPr>
          <w:color w:val="0070C0"/>
          <w:lang w:eastAsia="bg-BG"/>
        </w:rPr>
      </w:pPr>
      <w:r w:rsidRPr="004639C5">
        <w:rPr>
          <w:iCs/>
          <w:lang w:eastAsia="bg-BG"/>
        </w:rPr>
        <w:t>Във връзка с прилагането на схема за държавна помощ „Помощ под формата на отстъпка от стойността на акциза върху газьола, използван в първичното селскостопанско производство“ през 2021 г., на Министерство на земеделието, храните и горите е преведена сума в размер на 100 млн. лв., с 16 млн. лв. (19 %) повече спрямо 2020 година.</w:t>
      </w:r>
    </w:p>
    <w:p w14:paraId="2B79140D" w14:textId="77777777" w:rsidR="004639C5" w:rsidRPr="004639C5" w:rsidRDefault="004639C5" w:rsidP="004639C5">
      <w:pPr>
        <w:spacing w:before="120" w:after="120"/>
        <w:jc w:val="both"/>
        <w:rPr>
          <w:lang w:eastAsia="bg-BG"/>
        </w:rPr>
      </w:pPr>
      <w:r w:rsidRPr="004639C5">
        <w:rPr>
          <w:lang w:eastAsia="bg-BG"/>
        </w:rPr>
        <w:t>Нетните постъпления от акциз са от следните основни стокови групи: тютюн и тютюневи изделия (50,2 %); горива (43,1 %); алкохол и алкохолни напитки, вкл. бира (5,4 %), други акцизни стоки (0,8 %) и авансови вноски (0,5 %). Постъпления от акциз към декември 2021 г. по основни стокови групи, са както следва:</w:t>
      </w:r>
    </w:p>
    <w:p w14:paraId="5F031116" w14:textId="77777777" w:rsidR="004639C5" w:rsidRPr="004639C5" w:rsidRDefault="004639C5" w:rsidP="004639C5">
      <w:pPr>
        <w:numPr>
          <w:ilvl w:val="0"/>
          <w:numId w:val="18"/>
        </w:numPr>
        <w:ind w:firstLine="66"/>
        <w:jc w:val="both"/>
        <w:rPr>
          <w:i/>
          <w:lang w:eastAsia="bg-BG"/>
        </w:rPr>
      </w:pPr>
      <w:r w:rsidRPr="004639C5">
        <w:rPr>
          <w:i/>
          <w:lang w:eastAsia="bg-BG"/>
        </w:rPr>
        <w:t xml:space="preserve">Акцизите от тютюн и тютюневи изделия </w:t>
      </w:r>
      <w:r w:rsidRPr="004639C5">
        <w:rPr>
          <w:lang w:eastAsia="bg-BG"/>
        </w:rPr>
        <w:t>възлизат на</w:t>
      </w:r>
      <w:r w:rsidRPr="004639C5">
        <w:rPr>
          <w:i/>
          <w:lang w:eastAsia="bg-BG"/>
        </w:rPr>
        <w:t xml:space="preserve"> </w:t>
      </w:r>
      <w:r w:rsidRPr="004639C5">
        <w:rPr>
          <w:lang w:eastAsia="bg-BG"/>
        </w:rPr>
        <w:t>2 843,0 млн. лева</w:t>
      </w:r>
      <w:r w:rsidRPr="004639C5">
        <w:rPr>
          <w:i/>
          <w:lang w:eastAsia="bg-BG"/>
        </w:rPr>
        <w:t xml:space="preserve">; </w:t>
      </w:r>
    </w:p>
    <w:p w14:paraId="13B35515" w14:textId="77777777" w:rsidR="004639C5" w:rsidRPr="004639C5" w:rsidRDefault="004639C5" w:rsidP="004639C5">
      <w:pPr>
        <w:numPr>
          <w:ilvl w:val="0"/>
          <w:numId w:val="18"/>
        </w:numPr>
        <w:ind w:firstLine="66"/>
        <w:jc w:val="both"/>
        <w:rPr>
          <w:lang w:eastAsia="bg-BG"/>
        </w:rPr>
      </w:pPr>
      <w:r w:rsidRPr="004639C5">
        <w:rPr>
          <w:i/>
          <w:lang w:eastAsia="bg-BG"/>
        </w:rPr>
        <w:t>Акцизите от горив</w:t>
      </w:r>
      <w:r w:rsidRPr="004639C5">
        <w:rPr>
          <w:lang w:eastAsia="bg-BG"/>
        </w:rPr>
        <w:t xml:space="preserve">а са в размер на 2 441,1 млн. лева; </w:t>
      </w:r>
    </w:p>
    <w:p w14:paraId="61D3C32B" w14:textId="77777777" w:rsidR="004639C5" w:rsidRPr="004639C5" w:rsidRDefault="004639C5" w:rsidP="004639C5">
      <w:pPr>
        <w:numPr>
          <w:ilvl w:val="0"/>
          <w:numId w:val="18"/>
        </w:numPr>
        <w:ind w:firstLine="66"/>
        <w:jc w:val="both"/>
        <w:rPr>
          <w:lang w:eastAsia="bg-BG"/>
        </w:rPr>
      </w:pPr>
      <w:r w:rsidRPr="004639C5">
        <w:rPr>
          <w:i/>
          <w:lang w:eastAsia="bg-BG"/>
        </w:rPr>
        <w:t xml:space="preserve">Акцизите от алкохол и алкохолни напитки (вкл. бира) </w:t>
      </w:r>
      <w:r w:rsidRPr="004639C5">
        <w:rPr>
          <w:lang w:eastAsia="bg-BG"/>
        </w:rPr>
        <w:t xml:space="preserve">възлизат на 307,7 млн. лева; </w:t>
      </w:r>
    </w:p>
    <w:p w14:paraId="13F33FD6" w14:textId="77777777" w:rsidR="004639C5" w:rsidRPr="004639C5" w:rsidRDefault="004639C5" w:rsidP="004639C5">
      <w:pPr>
        <w:numPr>
          <w:ilvl w:val="0"/>
          <w:numId w:val="18"/>
        </w:numPr>
        <w:ind w:firstLine="66"/>
        <w:jc w:val="both"/>
        <w:rPr>
          <w:lang w:eastAsia="bg-BG"/>
        </w:rPr>
      </w:pPr>
      <w:r w:rsidRPr="004639C5">
        <w:rPr>
          <w:i/>
          <w:lang w:eastAsia="bg-BG"/>
        </w:rPr>
        <w:t xml:space="preserve">Приходите от други акцизни стоки </w:t>
      </w:r>
      <w:r w:rsidRPr="004639C5">
        <w:rPr>
          <w:lang w:eastAsia="bg-BG"/>
        </w:rPr>
        <w:t>възлизат на 42,5 млн. лева;</w:t>
      </w:r>
    </w:p>
    <w:p w14:paraId="75E4A7D7" w14:textId="77777777" w:rsidR="004639C5" w:rsidRPr="004639C5" w:rsidRDefault="004639C5" w:rsidP="004639C5">
      <w:pPr>
        <w:numPr>
          <w:ilvl w:val="0"/>
          <w:numId w:val="18"/>
        </w:numPr>
        <w:ind w:firstLine="66"/>
        <w:jc w:val="both"/>
        <w:rPr>
          <w:lang w:eastAsia="bg-BG"/>
        </w:rPr>
      </w:pPr>
      <w:r w:rsidRPr="004639C5">
        <w:rPr>
          <w:i/>
          <w:lang w:eastAsia="bg-BG"/>
        </w:rPr>
        <w:t xml:space="preserve">Авансови вноски – </w:t>
      </w:r>
      <w:r w:rsidRPr="004639C5">
        <w:rPr>
          <w:lang w:eastAsia="bg-BG"/>
        </w:rPr>
        <w:t>25,5 млн. лева.</w:t>
      </w:r>
    </w:p>
    <w:p w14:paraId="6007DEA9" w14:textId="77777777" w:rsidR="004639C5" w:rsidRPr="004639C5" w:rsidRDefault="004639C5" w:rsidP="004639C5">
      <w:pPr>
        <w:ind w:left="360"/>
        <w:jc w:val="both"/>
        <w:rPr>
          <w:color w:val="0070C0"/>
          <w:sz w:val="8"/>
          <w:szCs w:val="8"/>
          <w:lang w:eastAsia="bg-BG"/>
        </w:rPr>
      </w:pPr>
    </w:p>
    <w:p w14:paraId="28F5E777" w14:textId="77777777" w:rsidR="004639C5" w:rsidRPr="004639C5" w:rsidRDefault="004639C5" w:rsidP="004639C5">
      <w:pPr>
        <w:ind w:left="360"/>
        <w:jc w:val="both"/>
        <w:rPr>
          <w:color w:val="0070C0"/>
          <w:sz w:val="8"/>
          <w:szCs w:val="8"/>
          <w:lang w:eastAsia="bg-BG"/>
        </w:rPr>
      </w:pPr>
    </w:p>
    <w:p w14:paraId="7CBD938C" w14:textId="77777777" w:rsidR="004639C5" w:rsidRPr="004639C5" w:rsidRDefault="004639C5" w:rsidP="004639C5">
      <w:pPr>
        <w:ind w:left="360"/>
        <w:jc w:val="both"/>
        <w:rPr>
          <w:color w:val="0070C0"/>
          <w:sz w:val="8"/>
          <w:szCs w:val="8"/>
          <w:lang w:eastAsia="bg-BG"/>
        </w:rPr>
      </w:pPr>
    </w:p>
    <w:p w14:paraId="0FD26177" w14:textId="77777777" w:rsidR="004639C5" w:rsidRPr="004639C5" w:rsidRDefault="004639C5" w:rsidP="004639C5">
      <w:pPr>
        <w:spacing w:after="120"/>
        <w:jc w:val="both"/>
        <w:rPr>
          <w:lang w:eastAsia="bg-BG"/>
        </w:rPr>
      </w:pPr>
      <w:r w:rsidRPr="004639C5">
        <w:rPr>
          <w:b/>
          <w:lang w:eastAsia="bg-BG"/>
        </w:rPr>
        <w:t>Приходите от данък върху застрахователните премии</w:t>
      </w:r>
      <w:r w:rsidRPr="004639C5">
        <w:rPr>
          <w:lang w:eastAsia="bg-BG"/>
        </w:rPr>
        <w:t xml:space="preserve"> са в размер на </w:t>
      </w:r>
      <w:r w:rsidRPr="004639C5">
        <w:rPr>
          <w:b/>
          <w:lang w:eastAsia="bg-BG"/>
        </w:rPr>
        <w:t>48,3 млн. лв</w:t>
      </w:r>
      <w:r w:rsidRPr="004639C5">
        <w:rPr>
          <w:lang w:eastAsia="bg-BG"/>
        </w:rPr>
        <w:t>., при планирани за годината 50,0 млн. лева.</w:t>
      </w:r>
    </w:p>
    <w:p w14:paraId="14F1D299" w14:textId="77777777" w:rsidR="004639C5" w:rsidRPr="004639C5" w:rsidRDefault="004639C5" w:rsidP="004639C5">
      <w:pPr>
        <w:tabs>
          <w:tab w:val="left" w:pos="567"/>
          <w:tab w:val="left" w:pos="993"/>
        </w:tabs>
        <w:jc w:val="both"/>
        <w:rPr>
          <w:lang w:eastAsia="bg-BG"/>
        </w:rPr>
      </w:pPr>
      <w:r w:rsidRPr="004639C5">
        <w:rPr>
          <w:b/>
          <w:lang w:eastAsia="bg-BG"/>
        </w:rPr>
        <w:t>Постъпленията от</w:t>
      </w:r>
      <w:r w:rsidRPr="004639C5">
        <w:rPr>
          <w:lang w:eastAsia="bg-BG"/>
        </w:rPr>
        <w:t xml:space="preserve"> </w:t>
      </w:r>
      <w:r w:rsidRPr="004639C5">
        <w:rPr>
          <w:b/>
          <w:bCs/>
          <w:lang w:eastAsia="bg-BG"/>
        </w:rPr>
        <w:t xml:space="preserve">мита </w:t>
      </w:r>
      <w:r w:rsidRPr="004639C5">
        <w:rPr>
          <w:lang w:eastAsia="bg-BG"/>
        </w:rPr>
        <w:t xml:space="preserve">възлизат на </w:t>
      </w:r>
      <w:r w:rsidRPr="004639C5">
        <w:rPr>
          <w:b/>
          <w:lang w:eastAsia="bg-BG"/>
        </w:rPr>
        <w:t>289,7 млн. лв</w:t>
      </w:r>
      <w:r w:rsidRPr="004639C5">
        <w:rPr>
          <w:lang w:eastAsia="bg-BG"/>
        </w:rPr>
        <w:t>. или 120,1 % спрямо планираните със ЗДБРБ за 2021 г., като заемат 1,1 % относителен дял в общия размер на данъчните приходи по държавния бюджет. В сравнение с предходната година събраните мита са със 79,8 млн. лв. (38,0 %) повече. Постигнатите резултати се дължат както на промяна в условията на икономическата среда, която е в процес на възстановяване въпреки влиянието на наложените ограничителни мерки върху бизнеса, така и на предприетите мерки за подобряване на контрола. Всички показатели, които се използват за оценка на динамиката на приходите от мита при внесените стоки, обложени със ставка на митото, различна от „0“ отбелязват ръст през 2021 г. спрямо 2020 година. Подобрената организация на работа, довела до оптимално използване на кадровия потенциал, подобрения митнически контрол и надзор, прецизирането на контрола върху елементите за облагане – тарифен номер, държава на произход, количество, митническа стойност, както и акцент на контрола върху приходоопределящи икономически оператори и стоките с най-голям фискален ефект са мерки, които също допринасят за добите резултати.</w:t>
      </w:r>
    </w:p>
    <w:p w14:paraId="1C28EC2F" w14:textId="77777777" w:rsidR="004639C5" w:rsidRPr="004639C5" w:rsidRDefault="004639C5" w:rsidP="004639C5">
      <w:pPr>
        <w:tabs>
          <w:tab w:val="left" w:pos="0"/>
        </w:tabs>
        <w:spacing w:before="120"/>
        <w:jc w:val="both"/>
        <w:rPr>
          <w:lang w:eastAsia="bg-BG"/>
        </w:rPr>
      </w:pPr>
      <w:r w:rsidRPr="004639C5">
        <w:rPr>
          <w:lang w:eastAsia="bg-BG"/>
        </w:rPr>
        <w:lastRenderedPageBreak/>
        <w:t xml:space="preserve">Основните фактори, от които зависят приходите от </w:t>
      </w:r>
      <w:r w:rsidRPr="004639C5">
        <w:rPr>
          <w:b/>
          <w:i/>
          <w:lang w:eastAsia="bg-BG"/>
        </w:rPr>
        <w:t>мита и митнически такси</w:t>
      </w:r>
      <w:r w:rsidRPr="004639C5">
        <w:rPr>
          <w:lang w:eastAsia="bg-BG"/>
        </w:rPr>
        <w:t xml:space="preserve"> са следните:</w:t>
      </w:r>
    </w:p>
    <w:p w14:paraId="68F98E2E" w14:textId="721874F7" w:rsidR="004639C5" w:rsidRPr="004639C5" w:rsidRDefault="004639C5" w:rsidP="004639C5">
      <w:pPr>
        <w:numPr>
          <w:ilvl w:val="0"/>
          <w:numId w:val="25"/>
        </w:numPr>
        <w:tabs>
          <w:tab w:val="left" w:pos="0"/>
        </w:tabs>
        <w:ind w:left="851" w:hanging="284"/>
        <w:jc w:val="both"/>
        <w:rPr>
          <w:lang w:eastAsia="bg-BG"/>
        </w:rPr>
      </w:pPr>
      <w:r w:rsidRPr="004639C5">
        <w:rPr>
          <w:lang w:eastAsia="bg-BG"/>
        </w:rPr>
        <w:t>динамика в цените на енергийни и нее</w:t>
      </w:r>
      <w:r w:rsidR="00FF44C5">
        <w:rPr>
          <w:lang w:eastAsia="bg-BG"/>
        </w:rPr>
        <w:t>нер</w:t>
      </w:r>
      <w:r w:rsidRPr="004639C5">
        <w:rPr>
          <w:lang w:eastAsia="bg-BG"/>
        </w:rPr>
        <w:t>гийни суровини;</w:t>
      </w:r>
    </w:p>
    <w:p w14:paraId="48D06303" w14:textId="77777777" w:rsidR="004639C5" w:rsidRPr="004639C5" w:rsidRDefault="004639C5" w:rsidP="004639C5">
      <w:pPr>
        <w:numPr>
          <w:ilvl w:val="0"/>
          <w:numId w:val="25"/>
        </w:numPr>
        <w:tabs>
          <w:tab w:val="left" w:pos="0"/>
        </w:tabs>
        <w:ind w:left="851" w:hanging="284"/>
        <w:jc w:val="both"/>
        <w:rPr>
          <w:lang w:eastAsia="bg-BG"/>
        </w:rPr>
      </w:pPr>
      <w:r w:rsidRPr="004639C5">
        <w:rPr>
          <w:lang w:eastAsia="bg-BG"/>
        </w:rPr>
        <w:t>реален растеж на световната и европейска икономика;</w:t>
      </w:r>
    </w:p>
    <w:p w14:paraId="7D733DEE" w14:textId="77777777" w:rsidR="004639C5" w:rsidRPr="004639C5" w:rsidRDefault="004639C5" w:rsidP="004639C5">
      <w:pPr>
        <w:numPr>
          <w:ilvl w:val="0"/>
          <w:numId w:val="25"/>
        </w:numPr>
        <w:tabs>
          <w:tab w:val="left" w:pos="0"/>
        </w:tabs>
        <w:ind w:left="851" w:hanging="284"/>
        <w:jc w:val="both"/>
        <w:rPr>
          <w:lang w:eastAsia="bg-BG"/>
        </w:rPr>
      </w:pPr>
      <w:r w:rsidRPr="004639C5">
        <w:rPr>
          <w:lang w:eastAsia="bg-BG"/>
        </w:rPr>
        <w:t>подобряване на ефективността на митническия контрол, чрез извършване на проверки, изготвяне на указания, усъвършенстване на информационните системи за анализ на риска;</w:t>
      </w:r>
    </w:p>
    <w:p w14:paraId="491BDD7B" w14:textId="77777777" w:rsidR="004639C5" w:rsidRPr="004639C5" w:rsidRDefault="004639C5" w:rsidP="004639C5">
      <w:pPr>
        <w:numPr>
          <w:ilvl w:val="0"/>
          <w:numId w:val="25"/>
        </w:numPr>
        <w:tabs>
          <w:tab w:val="left" w:pos="0"/>
        </w:tabs>
        <w:ind w:left="851" w:hanging="284"/>
        <w:jc w:val="both"/>
        <w:rPr>
          <w:lang w:eastAsia="bg-BG"/>
        </w:rPr>
      </w:pPr>
      <w:r w:rsidRPr="004639C5">
        <w:rPr>
          <w:lang w:eastAsia="bg-BG"/>
        </w:rPr>
        <w:t>синхронизиране на законодателството, процедурите и инструментите за митнически контрол на ЕС, с цел правилното определяне и събиране на  публичните вземания от компетентността на митническата администрация.</w:t>
      </w:r>
    </w:p>
    <w:p w14:paraId="4D0C81A3" w14:textId="77777777" w:rsidR="004639C5" w:rsidRPr="004639C5" w:rsidRDefault="004639C5" w:rsidP="004639C5">
      <w:pPr>
        <w:tabs>
          <w:tab w:val="right" w:pos="9072"/>
        </w:tabs>
        <w:spacing w:before="120"/>
        <w:jc w:val="both"/>
        <w:rPr>
          <w:color w:val="0070C0"/>
          <w:lang w:eastAsia="bg-BG"/>
        </w:rPr>
      </w:pPr>
      <w:r w:rsidRPr="004639C5">
        <w:rPr>
          <w:lang w:eastAsia="bg-BG"/>
        </w:rPr>
        <w:t>По-високи постъпления от мита</w:t>
      </w:r>
      <w:r w:rsidRPr="004639C5">
        <w:rPr>
          <w:b/>
          <w:i/>
          <w:lang w:eastAsia="bg-BG"/>
        </w:rPr>
        <w:t xml:space="preserve"> </w:t>
      </w:r>
      <w:r w:rsidRPr="004639C5">
        <w:rPr>
          <w:lang w:eastAsia="bg-BG"/>
        </w:rPr>
        <w:t>за 2021 г. се отчитат при следните групи стоки: „Чугун, желязо и стомана“ - приходите са с 26,8 млн. лв. повече спрямо 2020 г.; „Пластмаси и пластмасови изделия“ – приходите нарастват с 12,8 млн. лв. (83,9 %) спрямо тези за 2020 г.; „Автомобилни превозни средства, велосипеди и др.“  - приходите нарастват с 10,5 млн. лв. (</w:t>
      </w:r>
      <w:r w:rsidRPr="004639C5">
        <w:rPr>
          <w:lang w:val="ru-RU" w:eastAsia="bg-BG"/>
        </w:rPr>
        <w:t>57</w:t>
      </w:r>
      <w:r w:rsidRPr="004639C5">
        <w:rPr>
          <w:lang w:eastAsia="bg-BG"/>
        </w:rPr>
        <w:t>,</w:t>
      </w:r>
      <w:r w:rsidRPr="004639C5">
        <w:rPr>
          <w:lang w:val="ru-RU" w:eastAsia="bg-BG"/>
        </w:rPr>
        <w:t>3</w:t>
      </w:r>
      <w:r w:rsidRPr="004639C5">
        <w:rPr>
          <w:lang w:eastAsia="bg-BG"/>
        </w:rPr>
        <w:t xml:space="preserve"> %) спрямо постъпленията за 2020 г.; „Торове“ - приходите нарастват с 8,4 млн. лв. спрямо постъпленията за предходната година; „Електрически машини и апарати, електроматериали и техните части; апарати за записване или възпроизвеждане на звук, апарати за записване или възпроизвеждане на телевизионен образ и звук и части и принадлежности за тези апарати</w:t>
      </w:r>
      <w:r w:rsidRPr="004639C5">
        <w:rPr>
          <w:lang w:val="ru-RU" w:eastAsia="bg-BG"/>
        </w:rPr>
        <w:t>”</w:t>
      </w:r>
      <w:r w:rsidRPr="004639C5">
        <w:rPr>
          <w:lang w:eastAsia="bg-BG"/>
        </w:rPr>
        <w:t xml:space="preserve"> - увеличение в размер на 6,0 млн. лв. (36,4 %) спрямо постъпленията през 2020 г. </w:t>
      </w:r>
      <w:r w:rsidRPr="004639C5">
        <w:rPr>
          <w:color w:val="000000"/>
          <w:lang w:eastAsia="bg-BG"/>
        </w:rPr>
        <w:t>В зависимост от произхода на внасяните стоки, най-голям е делът на приходите от мита при внос на стоки от Китай. Декларираната сума за 2021 г. е 132,4 млн. лева, което представлява 45,8 % от всички мита, като за отчетната година приходите от мита за стоки, внесени от Китай бележат ръст спрямо 2020 г. с 22,5 %. На второ място са приходите от мита при внос на стоки с произход Русия – 29,5 млн. лева, 10,2 % дял и ръст от 35,6 % спрямо 2020 година. Следват приходите от мита за стоки, внесени от Украйна (17,1 млн. лева, 5,9 % дял), Турция (13,2 млн. лева приходи, 4,6 % относителен дял) и САЩ (11,1 млн. лева приходи, 3,8 % относителен дял и спад от 12,3 %).</w:t>
      </w:r>
    </w:p>
    <w:p w14:paraId="73D62EC4" w14:textId="77777777" w:rsidR="004639C5" w:rsidRPr="004639C5" w:rsidRDefault="004639C5" w:rsidP="004639C5">
      <w:pPr>
        <w:numPr>
          <w:ilvl w:val="0"/>
          <w:numId w:val="4"/>
        </w:numPr>
        <w:tabs>
          <w:tab w:val="clear" w:pos="1440"/>
          <w:tab w:val="num" w:pos="540"/>
        </w:tabs>
        <w:spacing w:before="120"/>
        <w:ind w:left="0" w:firstLine="181"/>
        <w:jc w:val="both"/>
        <w:rPr>
          <w:b/>
          <w:bCs/>
          <w:lang w:eastAsia="bg-BG"/>
        </w:rPr>
      </w:pPr>
      <w:r w:rsidRPr="004639C5">
        <w:rPr>
          <w:b/>
          <w:bCs/>
          <w:lang w:eastAsia="bg-BG"/>
        </w:rPr>
        <w:t>Други данъци</w:t>
      </w:r>
    </w:p>
    <w:p w14:paraId="7ACD0C43" w14:textId="77777777" w:rsidR="004639C5" w:rsidRPr="004639C5" w:rsidRDefault="004639C5" w:rsidP="004639C5">
      <w:pPr>
        <w:spacing w:before="120"/>
        <w:jc w:val="both"/>
        <w:rPr>
          <w:lang w:eastAsia="bg-BG"/>
        </w:rPr>
      </w:pPr>
      <w:r w:rsidRPr="004639C5">
        <w:rPr>
          <w:lang w:eastAsia="bg-BG"/>
        </w:rPr>
        <w:t xml:space="preserve">Постъпленията от </w:t>
      </w:r>
      <w:r w:rsidRPr="004639C5">
        <w:rPr>
          <w:b/>
          <w:lang w:eastAsia="bg-BG"/>
        </w:rPr>
        <w:t>други данъци</w:t>
      </w:r>
      <w:r w:rsidRPr="004639C5">
        <w:rPr>
          <w:lang w:eastAsia="bg-BG"/>
        </w:rPr>
        <w:t xml:space="preserve"> по държавния бюджет за</w:t>
      </w:r>
      <w:r w:rsidRPr="004639C5">
        <w:rPr>
          <w:bCs/>
          <w:lang w:eastAsia="bg-BG"/>
        </w:rPr>
        <w:t xml:space="preserve"> 2021</w:t>
      </w:r>
      <w:r w:rsidRPr="004639C5">
        <w:rPr>
          <w:lang w:eastAsia="bg-BG"/>
        </w:rPr>
        <w:t xml:space="preserve"> г. са в размер на </w:t>
      </w:r>
      <w:r w:rsidRPr="004639C5">
        <w:rPr>
          <w:b/>
          <w:lang w:eastAsia="bg-BG"/>
        </w:rPr>
        <w:t xml:space="preserve">114,5 млн. лв. </w:t>
      </w:r>
      <w:r w:rsidRPr="004639C5">
        <w:rPr>
          <w:lang w:eastAsia="bg-BG"/>
        </w:rPr>
        <w:t xml:space="preserve">или 98,9 % от планираните със ЗДБРБ за 2021 година. </w:t>
      </w:r>
    </w:p>
    <w:p w14:paraId="275C584F" w14:textId="77777777" w:rsidR="004639C5" w:rsidRPr="004639C5" w:rsidRDefault="004639C5" w:rsidP="004639C5">
      <w:pPr>
        <w:numPr>
          <w:ilvl w:val="0"/>
          <w:numId w:val="3"/>
        </w:numPr>
        <w:tabs>
          <w:tab w:val="num" w:pos="720"/>
        </w:tabs>
        <w:spacing w:before="120"/>
        <w:ind w:left="0" w:firstLine="181"/>
        <w:jc w:val="both"/>
        <w:rPr>
          <w:lang w:eastAsia="bg-BG"/>
        </w:rPr>
      </w:pPr>
      <w:r w:rsidRPr="004639C5">
        <w:rPr>
          <w:b/>
          <w:bCs/>
          <w:lang w:eastAsia="bg-BG"/>
        </w:rPr>
        <w:t>Неданъчни приходи</w:t>
      </w:r>
    </w:p>
    <w:p w14:paraId="1CB48CD1" w14:textId="77777777" w:rsidR="004639C5" w:rsidRPr="004639C5" w:rsidRDefault="004639C5" w:rsidP="004639C5">
      <w:pPr>
        <w:tabs>
          <w:tab w:val="left" w:pos="900"/>
        </w:tabs>
        <w:spacing w:after="120"/>
        <w:jc w:val="both"/>
        <w:rPr>
          <w:rFonts w:eastAsia="Calibri"/>
        </w:rPr>
      </w:pPr>
      <w:r w:rsidRPr="004639C5">
        <w:rPr>
          <w:lang w:eastAsia="bg-BG"/>
        </w:rPr>
        <w:t>Отчетените</w:t>
      </w:r>
      <w:r w:rsidRPr="004639C5">
        <w:rPr>
          <w:b/>
          <w:bCs/>
          <w:lang w:eastAsia="bg-BG"/>
        </w:rPr>
        <w:t xml:space="preserve"> неданъчни приходи</w:t>
      </w:r>
      <w:r w:rsidRPr="004639C5">
        <w:rPr>
          <w:lang w:eastAsia="bg-BG"/>
        </w:rPr>
        <w:t xml:space="preserve"> по държавния бюджет за</w:t>
      </w:r>
      <w:r w:rsidRPr="004639C5">
        <w:rPr>
          <w:bCs/>
          <w:lang w:eastAsia="bg-BG"/>
        </w:rPr>
        <w:t xml:space="preserve"> 2021</w:t>
      </w:r>
      <w:r w:rsidRPr="004639C5">
        <w:rPr>
          <w:lang w:eastAsia="bg-BG"/>
        </w:rPr>
        <w:t xml:space="preserve"> г. са в размер на </w:t>
      </w:r>
      <w:r w:rsidRPr="004639C5">
        <w:rPr>
          <w:b/>
          <w:lang w:eastAsia="bg-BG"/>
        </w:rPr>
        <w:t>3 130,9 млн. лв</w:t>
      </w:r>
      <w:r w:rsidRPr="004639C5">
        <w:rPr>
          <w:lang w:eastAsia="bg-BG"/>
        </w:rPr>
        <w:t>. и се формират основно от приходи от държавни такси, приходи и доходи от собственост, приходи от концесии и други. П</w:t>
      </w:r>
      <w:r w:rsidRPr="004639C5">
        <w:rPr>
          <w:rFonts w:eastAsia="Calibri"/>
        </w:rPr>
        <w:t>рез месец април 2021 г. постъпиха приходи с еднократен за годината ефект, които представляват първоначално концесионно възнаграждение за държавата от концесията на Летище София.</w:t>
      </w:r>
    </w:p>
    <w:p w14:paraId="558AF7A7" w14:textId="77777777" w:rsidR="004639C5" w:rsidRPr="004639C5" w:rsidRDefault="004639C5" w:rsidP="004639C5">
      <w:pPr>
        <w:numPr>
          <w:ilvl w:val="0"/>
          <w:numId w:val="3"/>
        </w:numPr>
        <w:tabs>
          <w:tab w:val="num" w:pos="720"/>
        </w:tabs>
        <w:ind w:left="0" w:firstLine="181"/>
        <w:jc w:val="both"/>
        <w:rPr>
          <w:b/>
          <w:bCs/>
          <w:lang w:eastAsia="bg-BG"/>
        </w:rPr>
      </w:pPr>
      <w:r w:rsidRPr="004639C5">
        <w:rPr>
          <w:b/>
          <w:bCs/>
          <w:lang w:eastAsia="bg-BG"/>
        </w:rPr>
        <w:t>Помощи и дарения</w:t>
      </w:r>
    </w:p>
    <w:p w14:paraId="4F4BB7AE" w14:textId="77777777" w:rsidR="004639C5" w:rsidRPr="004639C5" w:rsidRDefault="004639C5" w:rsidP="004639C5">
      <w:pPr>
        <w:spacing w:after="120"/>
        <w:jc w:val="both"/>
        <w:rPr>
          <w:lang w:eastAsia="bg-BG"/>
        </w:rPr>
      </w:pPr>
      <w:r w:rsidRPr="004639C5">
        <w:rPr>
          <w:lang w:eastAsia="bg-BG"/>
        </w:rPr>
        <w:t xml:space="preserve">Постъпилите </w:t>
      </w:r>
      <w:r w:rsidRPr="004639C5">
        <w:rPr>
          <w:b/>
          <w:lang w:eastAsia="bg-BG"/>
        </w:rPr>
        <w:t>помощи</w:t>
      </w:r>
      <w:r w:rsidRPr="004639C5">
        <w:rPr>
          <w:lang w:eastAsia="bg-BG"/>
        </w:rPr>
        <w:t xml:space="preserve"> </w:t>
      </w:r>
      <w:r w:rsidRPr="004639C5">
        <w:rPr>
          <w:b/>
          <w:lang w:eastAsia="bg-BG"/>
        </w:rPr>
        <w:t>и дарения</w:t>
      </w:r>
      <w:r w:rsidRPr="004639C5">
        <w:rPr>
          <w:lang w:eastAsia="bg-BG"/>
        </w:rPr>
        <w:t xml:space="preserve"> по държавния бюджет през 2021 г. са в размер на </w:t>
      </w:r>
      <w:r w:rsidRPr="004639C5">
        <w:rPr>
          <w:b/>
          <w:lang w:eastAsia="bg-BG"/>
        </w:rPr>
        <w:t>453,7 млн. лв.</w:t>
      </w:r>
      <w:r w:rsidRPr="004639C5">
        <w:rPr>
          <w:lang w:eastAsia="bg-BG"/>
        </w:rPr>
        <w:t xml:space="preserve"> През месец ноември постъпи сума в размер на 450 млн. лв., която е с еднократен за годината ефект и представлява предоставени безвъзмездни средства от АЕЦ „Козлодуй“ по държавния бюджет в изпълнение на Решение №739 на Министерския съвет от 2021 г. за одобряване на Програма за компенсиране на небитови крайни клиенти на електрическа енергия.</w:t>
      </w:r>
    </w:p>
    <w:p w14:paraId="26D26B46" w14:textId="77777777" w:rsidR="004639C5" w:rsidRPr="004639C5" w:rsidRDefault="004639C5" w:rsidP="004639C5">
      <w:pPr>
        <w:numPr>
          <w:ilvl w:val="0"/>
          <w:numId w:val="6"/>
        </w:numPr>
        <w:tabs>
          <w:tab w:val="clear" w:pos="700"/>
          <w:tab w:val="num" w:pos="426"/>
          <w:tab w:val="num" w:pos="786"/>
        </w:tabs>
        <w:spacing w:before="240"/>
        <w:ind w:left="0" w:firstLine="0"/>
        <w:jc w:val="both"/>
        <w:rPr>
          <w:b/>
          <w:bCs/>
          <w:lang w:eastAsia="bg-BG"/>
        </w:rPr>
      </w:pPr>
      <w:r w:rsidRPr="004639C5">
        <w:rPr>
          <w:b/>
          <w:bCs/>
          <w:lang w:eastAsia="bg-BG"/>
        </w:rPr>
        <w:t>Разходи по държавния бюджет</w:t>
      </w:r>
    </w:p>
    <w:p w14:paraId="716A26D5" w14:textId="77777777" w:rsidR="004639C5" w:rsidRPr="004639C5" w:rsidRDefault="004639C5" w:rsidP="004639C5">
      <w:pPr>
        <w:jc w:val="both"/>
        <w:rPr>
          <w:b/>
          <w:bCs/>
          <w:color w:val="0070C0"/>
          <w:sz w:val="4"/>
          <w:szCs w:val="4"/>
          <w:lang w:eastAsia="bg-BG"/>
        </w:rPr>
      </w:pPr>
    </w:p>
    <w:p w14:paraId="1060A162" w14:textId="77777777" w:rsidR="004639C5" w:rsidRPr="004639C5" w:rsidRDefault="004639C5" w:rsidP="004639C5">
      <w:pPr>
        <w:jc w:val="both"/>
        <w:rPr>
          <w:color w:val="0070C0"/>
        </w:rPr>
      </w:pPr>
      <w:r w:rsidRPr="004639C5">
        <w:t xml:space="preserve">Общият размер на </w:t>
      </w:r>
      <w:r w:rsidRPr="004639C5">
        <w:rPr>
          <w:b/>
        </w:rPr>
        <w:t>разходите по държавния бюджет</w:t>
      </w:r>
      <w:r w:rsidRPr="004639C5">
        <w:t xml:space="preserve"> (вкл. трансферите за др. бюджети и вноската в бюджета на ЕС) за</w:t>
      </w:r>
      <w:r w:rsidRPr="004639C5">
        <w:rPr>
          <w:bCs/>
        </w:rPr>
        <w:t xml:space="preserve"> 2021</w:t>
      </w:r>
      <w:r w:rsidRPr="004639C5">
        <w:t xml:space="preserve"> г. е </w:t>
      </w:r>
      <w:r w:rsidRPr="004639C5">
        <w:rPr>
          <w:b/>
        </w:rPr>
        <w:t>35 302,8 млн. лв</w:t>
      </w:r>
      <w:r w:rsidRPr="004639C5">
        <w:t>. или 102,1 % спрямо предвидените със ЗДБРБ за 2021 година.</w:t>
      </w:r>
    </w:p>
    <w:p w14:paraId="661BE492" w14:textId="0285022C" w:rsidR="004639C5" w:rsidRDefault="004639C5" w:rsidP="004639C5">
      <w:pPr>
        <w:jc w:val="both"/>
        <w:rPr>
          <w:color w:val="0070C0"/>
          <w:lang w:val="ru-RU"/>
        </w:rPr>
      </w:pPr>
    </w:p>
    <w:p w14:paraId="43B10948" w14:textId="127AD2A5" w:rsidR="007665C9" w:rsidRDefault="007665C9" w:rsidP="004639C5">
      <w:pPr>
        <w:jc w:val="both"/>
        <w:rPr>
          <w:color w:val="0070C0"/>
          <w:lang w:val="ru-RU"/>
        </w:rPr>
      </w:pPr>
    </w:p>
    <w:p w14:paraId="0CEFBF10" w14:textId="132AD744" w:rsidR="007665C9" w:rsidRDefault="007665C9" w:rsidP="004639C5">
      <w:pPr>
        <w:jc w:val="both"/>
        <w:rPr>
          <w:color w:val="0070C0"/>
          <w:lang w:val="ru-RU"/>
        </w:rPr>
      </w:pPr>
    </w:p>
    <w:p w14:paraId="6D90F67C" w14:textId="77777777" w:rsidR="007665C9" w:rsidRPr="004639C5" w:rsidRDefault="007665C9" w:rsidP="004639C5">
      <w:pPr>
        <w:jc w:val="both"/>
        <w:rPr>
          <w:color w:val="0070C0"/>
          <w:lang w:val="ru-RU"/>
        </w:rPr>
      </w:pPr>
    </w:p>
    <w:p w14:paraId="571CA92D" w14:textId="77777777" w:rsidR="004639C5" w:rsidRPr="004639C5" w:rsidRDefault="004639C5" w:rsidP="004639C5">
      <w:pPr>
        <w:jc w:val="both"/>
        <w:rPr>
          <w:color w:val="0070C0"/>
          <w:sz w:val="8"/>
          <w:lang w:val="ru-RU"/>
        </w:rPr>
      </w:pPr>
    </w:p>
    <w:p w14:paraId="01931205" w14:textId="77777777" w:rsidR="004639C5" w:rsidRPr="004639C5" w:rsidRDefault="004639C5" w:rsidP="004639C5">
      <w:pPr>
        <w:jc w:val="center"/>
        <w:rPr>
          <w:b/>
          <w:color w:val="0070C0"/>
          <w:sz w:val="4"/>
          <w:szCs w:val="4"/>
          <w:u w:val="single"/>
        </w:rPr>
      </w:pPr>
    </w:p>
    <w:p w14:paraId="4F61DE9A" w14:textId="77777777" w:rsidR="004639C5" w:rsidRDefault="004639C5" w:rsidP="004639C5">
      <w:pPr>
        <w:jc w:val="center"/>
        <w:rPr>
          <w:b/>
          <w:u w:val="single"/>
        </w:rPr>
      </w:pPr>
    </w:p>
    <w:p w14:paraId="02270829" w14:textId="62DCE59F" w:rsidR="004639C5" w:rsidRPr="004639C5" w:rsidRDefault="004639C5" w:rsidP="004639C5">
      <w:pPr>
        <w:jc w:val="center"/>
        <w:rPr>
          <w:b/>
          <w:u w:val="single"/>
        </w:rPr>
      </w:pPr>
      <w:r w:rsidRPr="004639C5">
        <w:rPr>
          <w:b/>
          <w:u w:val="single"/>
        </w:rPr>
        <w:lastRenderedPageBreak/>
        <w:t xml:space="preserve">Разходи, трансфери за други бюджети и вноска в бюджета на ЕС </w:t>
      </w:r>
    </w:p>
    <w:p w14:paraId="2E70C52B" w14:textId="77777777" w:rsidR="004639C5" w:rsidRPr="004639C5" w:rsidRDefault="004639C5" w:rsidP="004639C5">
      <w:pPr>
        <w:jc w:val="center"/>
        <w:rPr>
          <w:b/>
          <w:u w:val="single"/>
        </w:rPr>
      </w:pPr>
      <w:r w:rsidRPr="004639C5">
        <w:rPr>
          <w:b/>
          <w:u w:val="single"/>
        </w:rPr>
        <w:t>към декември 2020 г. и 2021 г.</w:t>
      </w:r>
    </w:p>
    <w:p w14:paraId="3748D168" w14:textId="77777777" w:rsidR="004639C5" w:rsidRPr="004639C5" w:rsidRDefault="004639C5" w:rsidP="004639C5">
      <w:pPr>
        <w:jc w:val="center"/>
        <w:rPr>
          <w:b/>
          <w:color w:val="0070C0"/>
          <w:u w:val="single"/>
        </w:rPr>
      </w:pPr>
    </w:p>
    <w:p w14:paraId="7F96589C" w14:textId="77777777" w:rsidR="004639C5" w:rsidRPr="004639C5" w:rsidRDefault="004639C5" w:rsidP="004639C5">
      <w:pPr>
        <w:jc w:val="center"/>
        <w:rPr>
          <w:b/>
          <w:color w:val="0070C0"/>
          <w:sz w:val="8"/>
          <w:szCs w:val="8"/>
          <w:u w:val="single"/>
        </w:rPr>
      </w:pPr>
      <w:r w:rsidRPr="004639C5">
        <w:rPr>
          <w:b/>
          <w:noProof/>
          <w:color w:val="0070C0"/>
          <w:sz w:val="8"/>
          <w:szCs w:val="8"/>
          <w:u w:val="single"/>
          <w:lang w:eastAsia="bg-BG"/>
        </w:rPr>
        <w:drawing>
          <wp:inline distT="0" distB="0" distL="0" distR="0" wp14:anchorId="7AC1C167" wp14:editId="7625814E">
            <wp:extent cx="6600742" cy="301870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23826" cy="3029265"/>
                    </a:xfrm>
                    <a:prstGeom prst="rect">
                      <a:avLst/>
                    </a:prstGeom>
                    <a:noFill/>
                  </pic:spPr>
                </pic:pic>
              </a:graphicData>
            </a:graphic>
          </wp:inline>
        </w:drawing>
      </w:r>
    </w:p>
    <w:p w14:paraId="45D24851" w14:textId="77777777" w:rsidR="004639C5" w:rsidRPr="004639C5" w:rsidRDefault="004639C5" w:rsidP="004639C5">
      <w:pPr>
        <w:ind w:firstLine="360"/>
        <w:rPr>
          <w:sz w:val="18"/>
          <w:szCs w:val="18"/>
          <w:lang w:eastAsia="bg-BG"/>
        </w:rPr>
      </w:pPr>
      <w:r w:rsidRPr="004639C5">
        <w:rPr>
          <w:sz w:val="18"/>
          <w:szCs w:val="18"/>
          <w:lang w:eastAsia="bg-BG"/>
        </w:rPr>
        <w:t>*</w:t>
      </w:r>
      <w:r w:rsidRPr="004639C5">
        <w:rPr>
          <w:lang w:eastAsia="bg-BG"/>
        </w:rPr>
        <w:t xml:space="preserve"> </w:t>
      </w:r>
      <w:r w:rsidRPr="004639C5">
        <w:rPr>
          <w:sz w:val="18"/>
          <w:szCs w:val="18"/>
          <w:lang w:eastAsia="bg-BG"/>
        </w:rPr>
        <w:t>Вкл. нетния прираст на държавния резерв</w:t>
      </w:r>
    </w:p>
    <w:p w14:paraId="4F9988AA" w14:textId="77777777" w:rsidR="004639C5" w:rsidRPr="004639C5" w:rsidRDefault="004639C5" w:rsidP="004639C5">
      <w:pPr>
        <w:numPr>
          <w:ilvl w:val="0"/>
          <w:numId w:val="20"/>
        </w:numPr>
        <w:spacing w:before="120"/>
        <w:jc w:val="both"/>
        <w:rPr>
          <w:b/>
          <w:bCs/>
        </w:rPr>
      </w:pPr>
      <w:r w:rsidRPr="004639C5">
        <w:rPr>
          <w:b/>
          <w:bCs/>
        </w:rPr>
        <w:t>Нелихвени разходи</w:t>
      </w:r>
    </w:p>
    <w:p w14:paraId="501CC3B0" w14:textId="77777777" w:rsidR="004639C5" w:rsidRPr="004639C5" w:rsidRDefault="004639C5" w:rsidP="004639C5">
      <w:pPr>
        <w:spacing w:before="120"/>
        <w:jc w:val="both"/>
        <w:rPr>
          <w:bCs/>
          <w:lang w:eastAsia="bg-BG"/>
        </w:rPr>
      </w:pPr>
      <w:r w:rsidRPr="004639C5">
        <w:rPr>
          <w:b/>
          <w:bCs/>
          <w:lang w:eastAsia="bg-BG"/>
        </w:rPr>
        <w:t>Нелихвените разходи</w:t>
      </w:r>
      <w:r w:rsidRPr="004639C5">
        <w:rPr>
          <w:bCs/>
          <w:lang w:eastAsia="bg-BG"/>
        </w:rPr>
        <w:t xml:space="preserve"> по държавния бюджет (без трансферите за др. бюджети) за 2021</w:t>
      </w:r>
      <w:r w:rsidRPr="004639C5">
        <w:rPr>
          <w:lang w:val="en-US" w:eastAsia="bg-BG"/>
        </w:rPr>
        <w:t> </w:t>
      </w:r>
      <w:r w:rsidRPr="004639C5">
        <w:rPr>
          <w:lang w:eastAsia="bg-BG"/>
        </w:rPr>
        <w:t xml:space="preserve">г. </w:t>
      </w:r>
      <w:r w:rsidRPr="004639C5">
        <w:rPr>
          <w:bCs/>
          <w:lang w:eastAsia="bg-BG"/>
        </w:rPr>
        <w:t xml:space="preserve">са в размер на </w:t>
      </w:r>
      <w:r w:rsidRPr="004639C5">
        <w:rPr>
          <w:b/>
          <w:bCs/>
          <w:lang w:eastAsia="bg-BG"/>
        </w:rPr>
        <w:t>14 439,2 млн. лв</w:t>
      </w:r>
      <w:r w:rsidRPr="004639C5">
        <w:rPr>
          <w:bCs/>
          <w:lang w:eastAsia="bg-BG"/>
        </w:rPr>
        <w:t>., което представлява 85,2 % от годишния разчет.</w:t>
      </w:r>
      <w:r w:rsidRPr="004639C5">
        <w:rPr>
          <w:bCs/>
          <w:color w:val="0070C0"/>
          <w:lang w:eastAsia="bg-BG"/>
        </w:rPr>
        <w:t xml:space="preserve"> </w:t>
      </w:r>
      <w:r w:rsidRPr="004639C5">
        <w:rPr>
          <w:bCs/>
          <w:lang w:eastAsia="bg-BG"/>
        </w:rPr>
        <w:t xml:space="preserve">Съпоставени с данните за 2020 г., нелихвените разходи нарастват с 1 268,8 млн. лв. (9,6 %). </w:t>
      </w:r>
    </w:p>
    <w:p w14:paraId="7A8C2049" w14:textId="77777777" w:rsidR="004639C5" w:rsidRPr="004639C5" w:rsidRDefault="004639C5" w:rsidP="004639C5">
      <w:pPr>
        <w:spacing w:before="120" w:after="120"/>
        <w:jc w:val="both"/>
        <w:rPr>
          <w:bCs/>
          <w:color w:val="0070C0"/>
          <w:lang w:eastAsia="bg-BG"/>
        </w:rPr>
      </w:pPr>
      <w:r w:rsidRPr="004639C5">
        <w:rPr>
          <w:bCs/>
          <w:lang w:eastAsia="bg-BG"/>
        </w:rPr>
        <w:t xml:space="preserve">Разходите за персонал (заплати и </w:t>
      </w:r>
      <w:r w:rsidRPr="004639C5">
        <w:rPr>
          <w:bCs/>
          <w:noProof/>
          <w:lang w:eastAsia="bg-BG"/>
        </w:rPr>
        <w:t>възнаграждения</w:t>
      </w:r>
      <w:r w:rsidRPr="004639C5">
        <w:rPr>
          <w:bCs/>
          <w:lang w:eastAsia="bg-BG"/>
        </w:rPr>
        <w:t>, други възнаграждения и плащания за персонала и осигурителни вноски) са в общ размер на 6 769,9 млн. лв. или</w:t>
      </w:r>
      <w:r w:rsidRPr="004639C5">
        <w:rPr>
          <w:bCs/>
          <w:color w:val="0070C0"/>
          <w:lang w:eastAsia="bg-BG"/>
        </w:rPr>
        <w:t xml:space="preserve"> </w:t>
      </w:r>
      <w:r w:rsidRPr="004639C5">
        <w:rPr>
          <w:bCs/>
          <w:lang w:eastAsia="bg-BG"/>
        </w:rPr>
        <w:t xml:space="preserve">98,6 % от планираните </w:t>
      </w:r>
      <w:r w:rsidRPr="004639C5">
        <w:rPr>
          <w:lang w:eastAsia="bg-BG"/>
        </w:rPr>
        <w:t xml:space="preserve">за 2021 </w:t>
      </w:r>
      <w:r w:rsidRPr="004639C5">
        <w:rPr>
          <w:bCs/>
          <w:lang w:eastAsia="bg-BG"/>
        </w:rPr>
        <w:t xml:space="preserve">г. Разходите за издръжка (вкл. разходи за членски внос и участие в нетърговски организации и дейности и платени данъци, такси и административни санкции) са в размер на 2 584,3 млн. лв. или 76,5 % от планираните </w:t>
      </w:r>
      <w:r w:rsidRPr="004639C5">
        <w:rPr>
          <w:lang w:eastAsia="bg-BG"/>
        </w:rPr>
        <w:t>за годината</w:t>
      </w:r>
      <w:r w:rsidRPr="004639C5">
        <w:rPr>
          <w:bCs/>
          <w:lang w:eastAsia="bg-BG"/>
        </w:rPr>
        <w:t xml:space="preserve">. Социалните разходи (вкл. разходите за стипендии) са в размер на 1 452,3 млн. лв. или 66,1 % от предвидените </w:t>
      </w:r>
      <w:r w:rsidRPr="004639C5">
        <w:rPr>
          <w:lang w:eastAsia="bg-BG"/>
        </w:rPr>
        <w:t>за годината</w:t>
      </w:r>
      <w:r w:rsidRPr="004639C5">
        <w:rPr>
          <w:bCs/>
          <w:lang w:eastAsia="bg-BG"/>
        </w:rPr>
        <w:t xml:space="preserve"> и са основно разходи по бюджета на МТСП за помощи по Закона за социално подпомагане, Закона за хората с увреждания, Закона за семейните помощи за деца и др. По-ниското усвояване на годишния разчет се дължи на обстоятелството, че част от планираните средства в частта на социалните разходи по държавния бюджет се предоставят като трансфер към общините, където съответно се отчитат. Предоставените текущи и капиталови трансфери за чужбина са в размер на 21,6</w:t>
      </w:r>
      <w:r w:rsidRPr="004639C5">
        <w:rPr>
          <w:rFonts w:eastAsia="Calibri"/>
          <w:b/>
        </w:rPr>
        <w:t> </w:t>
      </w:r>
      <w:r w:rsidRPr="004639C5">
        <w:rPr>
          <w:bCs/>
          <w:lang w:eastAsia="bg-BG"/>
        </w:rPr>
        <w:t xml:space="preserve">млн. лв. Разходите за субсидии са в размер на </w:t>
      </w:r>
      <w:r w:rsidRPr="004639C5">
        <w:rPr>
          <w:bCs/>
          <w:lang w:val="ru-RU" w:eastAsia="bg-BG"/>
        </w:rPr>
        <w:t>2</w:t>
      </w:r>
      <w:r w:rsidRPr="004639C5">
        <w:rPr>
          <w:bCs/>
          <w:lang w:val="en-US" w:eastAsia="bg-BG"/>
        </w:rPr>
        <w:t> </w:t>
      </w:r>
      <w:r w:rsidRPr="004639C5">
        <w:rPr>
          <w:bCs/>
          <w:lang w:eastAsia="bg-BG"/>
        </w:rPr>
        <w:t xml:space="preserve">811,6 млн. лв., </w:t>
      </w:r>
      <w:r w:rsidRPr="004639C5">
        <w:rPr>
          <w:rFonts w:eastAsia="Batang"/>
          <w:bCs/>
          <w:lang w:eastAsia="bg-BG"/>
        </w:rPr>
        <w:t>в т.ч. 1 310,0 млн. лв. за компенсиране на бизнеса за високите цени на електрическата енергия и природния газ за сметка на одобрените допълнителни средства с решение на Народното събрание, безвъзмездно предоставени средства от АЕЦ Козлодуй и преструктуриране на разходи по държавния бюджет.</w:t>
      </w:r>
      <w:r w:rsidRPr="004639C5">
        <w:rPr>
          <w:bCs/>
          <w:lang w:eastAsia="bg-BG"/>
        </w:rPr>
        <w:t xml:space="preserve"> Освен тези средства са предоставени субсидии в размер на  187,2 млн. лв. за „БДЖ – Пътнически превози” ЕООД; 192,9 млн. лв. (в т.ч. 0,943 млн. лв. за предотвратяване на последици от стихийни бедствия – ПМС № 207/29.06.2021 г. и ПМС № 377/08.11.2021 г.) за Национална компания „Железопътна инфраструктура” и 59,0 млн. лв. за „Български пощи” ЕАД, (в т.ч.  34,4 млн. лв. за извършване на универсална пощенска услуга и 24,6 млн. лв. за разпространение на периодични печатни издания - вестници и списания). Освен това през 2021 г. ДФ „Земеделие“ e изплатил субсидии в общ размер на 328,5 млн. лв., от които 203,0 млн. лв. държавна помощ; 71,1 млн. лв. преходна национална помощ за тютюн; 47,5 млн. лв. преходна национална помощ за сектор „Животновъдство“ и 4,8 млн. лв. средства за ДДС по схеми „Училищен плод“ и „Училищно мляко“. </w:t>
      </w:r>
    </w:p>
    <w:p w14:paraId="6CBF7931" w14:textId="77777777" w:rsidR="004639C5" w:rsidRPr="004639C5" w:rsidRDefault="004639C5" w:rsidP="004639C5">
      <w:pPr>
        <w:spacing w:before="120" w:after="120"/>
        <w:jc w:val="both"/>
        <w:rPr>
          <w:lang w:eastAsia="bg-BG"/>
        </w:rPr>
      </w:pPr>
      <w:r w:rsidRPr="004639C5">
        <w:rPr>
          <w:bCs/>
          <w:lang w:eastAsia="bg-BG"/>
        </w:rPr>
        <w:t xml:space="preserve">Капиталовите разходи </w:t>
      </w:r>
      <w:r w:rsidRPr="004639C5">
        <w:rPr>
          <w:lang w:eastAsia="bg-BG"/>
        </w:rPr>
        <w:t>(вкл. нетния прираст на държавния резерв) по държавния бюджет</w:t>
      </w:r>
      <w:r w:rsidRPr="004639C5">
        <w:rPr>
          <w:bCs/>
          <w:lang w:eastAsia="bg-BG"/>
        </w:rPr>
        <w:t xml:space="preserve"> възлизат на 799,5 млн. лева. В частта на капиталовите разходи е отразена извършена трансакция през месец </w:t>
      </w:r>
      <w:r w:rsidRPr="004639C5">
        <w:rPr>
          <w:rFonts w:eastAsia="Calibri"/>
        </w:rPr>
        <w:t xml:space="preserve">юли </w:t>
      </w:r>
      <w:r w:rsidRPr="004639C5">
        <w:rPr>
          <w:bCs/>
          <w:lang w:eastAsia="bg-BG"/>
        </w:rPr>
        <w:t xml:space="preserve">по възстановяване на средства по държавния бюджет от сметката </w:t>
      </w:r>
      <w:r w:rsidRPr="004639C5">
        <w:rPr>
          <w:bCs/>
          <w:lang w:eastAsia="bg-BG"/>
        </w:rPr>
        <w:lastRenderedPageBreak/>
        <w:t>за чужди средства на МРРБ в размер на 490 млн. лв., която по същество представлява възстановен разход и се отразява в намаление на разходите на касова основа</w:t>
      </w:r>
      <w:r w:rsidRPr="004639C5">
        <w:rPr>
          <w:lang w:eastAsia="bg-BG"/>
        </w:rPr>
        <w:t>.</w:t>
      </w:r>
    </w:p>
    <w:p w14:paraId="08994391" w14:textId="77777777" w:rsidR="004639C5" w:rsidRPr="004639C5" w:rsidRDefault="004639C5" w:rsidP="004639C5">
      <w:pPr>
        <w:spacing w:before="120" w:after="120"/>
        <w:jc w:val="both"/>
        <w:rPr>
          <w:rFonts w:eastAsia="Batang"/>
          <w:bCs/>
          <w:lang w:eastAsia="bg-BG"/>
        </w:rPr>
      </w:pPr>
      <w:r w:rsidRPr="004639C5">
        <w:rPr>
          <w:rFonts w:eastAsia="Batang"/>
          <w:bCs/>
          <w:lang w:eastAsia="bg-BG"/>
        </w:rPr>
        <w:t xml:space="preserve">От одобрените със ЗИД на ЗДБРБ за 2021 г. средства в резерва по централния бюджет за допълващи и компенсиращи мерки във връзка с </w:t>
      </w:r>
      <w:r w:rsidRPr="004639C5">
        <w:rPr>
          <w:rFonts w:eastAsia="Batang"/>
          <w:bCs/>
          <w:lang w:val="en-US" w:eastAsia="bg-BG"/>
        </w:rPr>
        <w:t>COVID</w:t>
      </w:r>
      <w:r w:rsidRPr="004639C5">
        <w:rPr>
          <w:rFonts w:eastAsia="Batang"/>
          <w:bCs/>
          <w:lang w:eastAsia="bg-BG"/>
        </w:rPr>
        <w:t xml:space="preserve">-19 и други в размер на 1,7 млрд. лв. са използвани общо средства в размер на 1,4 млрд. лв. в направленията, приети от Народното събрание. С най-голям дял са използваните средства за подпомагане на бизнеса и програмата за заетост в общ размер на около 0,6 млрд. лв. (чл. 1, ал. 5, т. 6, т. 9 и т. 10 на ЗДБРБ за 2021 г.), с които се осигури продължаване действието на мярката „60/40“, подпомагане на бизнеса в областта на транспорта и туризма, подпомагане на земеделските производители и други. Друго основно направление са разходите за социална подкрепа и помощ, както и за подкрепа на персонала на първа линия, пряко ангажиран с дейности по предотвратяване на разпространението на </w:t>
      </w:r>
      <w:r w:rsidRPr="004639C5">
        <w:rPr>
          <w:rFonts w:eastAsia="Batang"/>
          <w:bCs/>
          <w:lang w:val="en-US" w:eastAsia="bg-BG"/>
        </w:rPr>
        <w:t>COVID</w:t>
      </w:r>
      <w:r w:rsidRPr="004639C5">
        <w:rPr>
          <w:rFonts w:eastAsia="Batang"/>
          <w:bCs/>
          <w:lang w:eastAsia="bg-BG"/>
        </w:rPr>
        <w:t>-19, включително за поставяне на ваксини, закупуване на медикаменти и други (чл. 1, ал. 5, т. 3 и т. 4 на ЗДБРБ за 2021 г.). Използваните средства за сметка на резерва в тези направления са в размер на около 0,4 млрд. лв. Освен в посочените направления средства за сметка на одобрения от Народното събрание ресурс в частта на резерва бяха използвани и за финансово обезпечаване на провеждането на избори по Изборния кодекс (чл.1, ал. 5, т.8 на ЗДБРБ за 2021 г.), разплащане на дейности по текущ ремонт и поддръжка на републиканската пътна мрежа (чл. 1, ал. 5, т. 5 на ЗДБРБ за 2021 г.), за финансиране на дейности на ведомствата в условията на засилен миграционен натиск (чл. 1, ал. 5, т. 16 на ЗДБРБ за 2021 г.), и други.</w:t>
      </w:r>
    </w:p>
    <w:p w14:paraId="47981759" w14:textId="77777777" w:rsidR="000B7CE5" w:rsidRPr="00A37EDC" w:rsidRDefault="000B7CE5" w:rsidP="000B7CE5">
      <w:pPr>
        <w:pStyle w:val="BodyTextIndent"/>
        <w:spacing w:after="0"/>
        <w:ind w:left="0"/>
        <w:jc w:val="center"/>
        <w:rPr>
          <w:b/>
          <w:color w:val="0070C0"/>
          <w:sz w:val="4"/>
          <w:szCs w:val="4"/>
          <w:u w:val="single"/>
        </w:rPr>
      </w:pPr>
    </w:p>
    <w:p w14:paraId="5FA23F5F" w14:textId="77777777" w:rsidR="001E0034" w:rsidRPr="00217724" w:rsidRDefault="001E0034" w:rsidP="001E0034">
      <w:pPr>
        <w:numPr>
          <w:ilvl w:val="1"/>
          <w:numId w:val="13"/>
        </w:numPr>
        <w:tabs>
          <w:tab w:val="num" w:pos="720"/>
          <w:tab w:val="num" w:pos="900"/>
        </w:tabs>
        <w:spacing w:before="240" w:after="120"/>
        <w:ind w:left="714" w:hanging="357"/>
        <w:jc w:val="both"/>
        <w:rPr>
          <w:b/>
          <w:bCs/>
        </w:rPr>
      </w:pPr>
      <w:r w:rsidRPr="00217724">
        <w:rPr>
          <w:b/>
        </w:rPr>
        <w:t>Просрочени задължения</w:t>
      </w:r>
    </w:p>
    <w:p w14:paraId="6E6613B9" w14:textId="34D5F854" w:rsidR="001E0034" w:rsidRPr="00F16E04" w:rsidRDefault="001E0034" w:rsidP="001E0034">
      <w:pPr>
        <w:spacing w:after="120"/>
        <w:jc w:val="both"/>
      </w:pPr>
      <w:r w:rsidRPr="00F16E04">
        <w:t xml:space="preserve">Към </w:t>
      </w:r>
      <w:r w:rsidR="005C7858" w:rsidRPr="00F16E04">
        <w:t>31</w:t>
      </w:r>
      <w:r w:rsidRPr="00F16E04">
        <w:t>.</w:t>
      </w:r>
      <w:r w:rsidR="005C7858" w:rsidRPr="00F16E04">
        <w:t>12</w:t>
      </w:r>
      <w:r w:rsidRPr="00F16E04">
        <w:t xml:space="preserve">.2021 г. просрочените задължения на централно и местно правителство са в размер на </w:t>
      </w:r>
      <w:r w:rsidR="00D52D89" w:rsidRPr="0064563F">
        <w:rPr>
          <w:b/>
          <w:lang w:val="ru-RU"/>
        </w:rPr>
        <w:t>315</w:t>
      </w:r>
      <w:r w:rsidR="00F16E04" w:rsidRPr="00F16E04">
        <w:rPr>
          <w:b/>
        </w:rPr>
        <w:t>,1</w:t>
      </w:r>
      <w:r w:rsidRPr="00F16E04">
        <w:rPr>
          <w:b/>
        </w:rPr>
        <w:t xml:space="preserve"> млн. лева.</w:t>
      </w:r>
      <w:r w:rsidRPr="00F16E04">
        <w:t xml:space="preserve"> </w:t>
      </w:r>
    </w:p>
    <w:p w14:paraId="5D0F95D8" w14:textId="391F9D7D" w:rsidR="001E0034" w:rsidRPr="00BA4AB9" w:rsidRDefault="001E0034" w:rsidP="001E0034">
      <w:pPr>
        <w:spacing w:before="120"/>
        <w:jc w:val="both"/>
        <w:rPr>
          <w:noProof/>
          <w:color w:val="0070C0"/>
        </w:rPr>
      </w:pPr>
      <w:r w:rsidRPr="00686763">
        <w:t xml:space="preserve">Размерът на просрочените задължения на </w:t>
      </w:r>
      <w:r w:rsidRPr="00686763">
        <w:rPr>
          <w:b/>
        </w:rPr>
        <w:t>централно правителство</w:t>
      </w:r>
      <w:r w:rsidRPr="00686763">
        <w:t xml:space="preserve"> (министерства, ведомства и разпоредителите с бюджет по чл. 13, ал. 3 и ал. 4 на ЗПФ) е</w:t>
      </w:r>
      <w:r w:rsidRPr="00686763">
        <w:rPr>
          <w:b/>
        </w:rPr>
        <w:t xml:space="preserve"> </w:t>
      </w:r>
      <w:r w:rsidR="00C5071E" w:rsidRPr="00686763">
        <w:rPr>
          <w:b/>
        </w:rPr>
        <w:t>197,9</w:t>
      </w:r>
      <w:r w:rsidRPr="00686763">
        <w:rPr>
          <w:b/>
        </w:rPr>
        <w:t xml:space="preserve"> млн. лева. </w:t>
      </w:r>
      <w:r w:rsidRPr="00DE31DC">
        <w:t>Спрямо отчетените в края на 2020 г. те нарастват с</w:t>
      </w:r>
      <w:r w:rsidR="00DE31DC" w:rsidRPr="00DE31DC">
        <w:t>ъс</w:t>
      </w:r>
      <w:r w:rsidRPr="00DE31DC">
        <w:t xml:space="preserve"> </w:t>
      </w:r>
      <w:r w:rsidR="00DE31DC" w:rsidRPr="00DE31DC">
        <w:t>128,8</w:t>
      </w:r>
      <w:r w:rsidRPr="00DE31DC">
        <w:t xml:space="preserve"> млн. лева. В обхвата на държавния бюджет по-</w:t>
      </w:r>
      <w:r w:rsidRPr="0039078D">
        <w:t xml:space="preserve">значими проблеми с наличие на просрочени задължения има </w:t>
      </w:r>
      <w:r w:rsidRPr="0039078D">
        <w:rPr>
          <w:bCs/>
        </w:rPr>
        <w:t>при няколко министерства</w:t>
      </w:r>
      <w:r w:rsidRPr="0039078D">
        <w:t xml:space="preserve">: </w:t>
      </w:r>
      <w:r w:rsidRPr="0039078D">
        <w:rPr>
          <w:noProof/>
        </w:rPr>
        <w:t xml:space="preserve">Министерство на регионалното развитие и благоустройството – </w:t>
      </w:r>
      <w:r w:rsidR="0039078D" w:rsidRPr="0039078D">
        <w:rPr>
          <w:noProof/>
        </w:rPr>
        <w:t>160,0</w:t>
      </w:r>
      <w:r w:rsidRPr="0039078D">
        <w:rPr>
          <w:noProof/>
        </w:rPr>
        <w:t> млн. лв. (</w:t>
      </w:r>
      <w:r w:rsidRPr="006652EC">
        <w:rPr>
          <w:noProof/>
        </w:rPr>
        <w:t>увеличение с</w:t>
      </w:r>
      <w:r w:rsidR="0039078D" w:rsidRPr="006652EC">
        <w:rPr>
          <w:noProof/>
        </w:rPr>
        <w:t>ъс</w:t>
      </w:r>
      <w:r w:rsidRPr="006652EC">
        <w:rPr>
          <w:noProof/>
        </w:rPr>
        <w:t xml:space="preserve"> </w:t>
      </w:r>
      <w:r w:rsidR="0039078D" w:rsidRPr="006652EC">
        <w:rPr>
          <w:noProof/>
        </w:rPr>
        <w:t>160,0</w:t>
      </w:r>
      <w:r w:rsidRPr="006652EC">
        <w:rPr>
          <w:noProof/>
        </w:rPr>
        <w:t xml:space="preserve"> млн. лв. </w:t>
      </w:r>
      <w:r w:rsidRPr="006652EC">
        <w:t>спрямо просрочията в края на 2020 г.</w:t>
      </w:r>
      <w:r w:rsidRPr="006652EC">
        <w:rPr>
          <w:noProof/>
        </w:rPr>
        <w:t xml:space="preserve">) </w:t>
      </w:r>
      <w:r w:rsidR="0096758C" w:rsidRPr="006652EC">
        <w:rPr>
          <w:noProof/>
        </w:rPr>
        <w:t>- това</w:t>
      </w:r>
      <w:r w:rsidRPr="006652EC">
        <w:rPr>
          <w:noProof/>
        </w:rPr>
        <w:t xml:space="preserve"> са просрочени задължения за извършени и фактурирани дейности по договори за текущ ремонт и поддържане на републиканските пътища, </w:t>
      </w:r>
      <w:r w:rsidR="00503361" w:rsidRPr="006652EC">
        <w:rPr>
          <w:noProof/>
        </w:rPr>
        <w:t xml:space="preserve">вкл. </w:t>
      </w:r>
      <w:r w:rsidRPr="006652EC">
        <w:rPr>
          <w:noProof/>
        </w:rPr>
        <w:t xml:space="preserve">и зимно поддържане, които не са обезпечени със средства по утвърдения за 2021 г. бюджет на Агенция „Пътна инфраструктура“ за текущ ремонт и поддържане; </w:t>
      </w:r>
      <w:r w:rsidRPr="00087B7D">
        <w:rPr>
          <w:noProof/>
        </w:rPr>
        <w:t xml:space="preserve">Министерство на земеделието, храните и горите – </w:t>
      </w:r>
      <w:r w:rsidR="00087B7D">
        <w:rPr>
          <w:noProof/>
        </w:rPr>
        <w:t>14,3</w:t>
      </w:r>
      <w:r w:rsidRPr="00087B7D">
        <w:rPr>
          <w:noProof/>
        </w:rPr>
        <w:t xml:space="preserve"> млн. лв. (увеличение с </w:t>
      </w:r>
      <w:r w:rsidR="00087B7D">
        <w:rPr>
          <w:noProof/>
        </w:rPr>
        <w:t>0,9</w:t>
      </w:r>
      <w:r w:rsidRPr="00087B7D">
        <w:rPr>
          <w:noProof/>
        </w:rPr>
        <w:t xml:space="preserve"> млн. лв. </w:t>
      </w:r>
      <w:r w:rsidRPr="00087B7D">
        <w:t>спрямо просрочията в края на 2020 г</w:t>
      </w:r>
      <w:r w:rsidRPr="002162F2">
        <w:t>.</w:t>
      </w:r>
      <w:r w:rsidRPr="002162F2">
        <w:rPr>
          <w:noProof/>
        </w:rPr>
        <w:t xml:space="preserve">); Министерство на отбраната – </w:t>
      </w:r>
      <w:r w:rsidR="002162F2" w:rsidRPr="002162F2">
        <w:rPr>
          <w:noProof/>
        </w:rPr>
        <w:t>3,5</w:t>
      </w:r>
      <w:r w:rsidRPr="002162F2">
        <w:rPr>
          <w:noProof/>
        </w:rPr>
        <w:t xml:space="preserve"> млн. лв. (увеличение с </w:t>
      </w:r>
      <w:r w:rsidR="002162F2" w:rsidRPr="002162F2">
        <w:rPr>
          <w:noProof/>
        </w:rPr>
        <w:t>1,6</w:t>
      </w:r>
      <w:r w:rsidRPr="002162F2">
        <w:rPr>
          <w:noProof/>
        </w:rPr>
        <w:t xml:space="preserve"> млн. лв. спрямо </w:t>
      </w:r>
      <w:r w:rsidRPr="002162F2">
        <w:t xml:space="preserve">отчетените в края на </w:t>
      </w:r>
      <w:r w:rsidRPr="00126CA3">
        <w:t>2020 г.</w:t>
      </w:r>
      <w:r w:rsidRPr="00126CA3">
        <w:rPr>
          <w:noProof/>
        </w:rPr>
        <w:t>), в т.ч. 2,</w:t>
      </w:r>
      <w:r w:rsidR="00126CA3" w:rsidRPr="00126CA3">
        <w:rPr>
          <w:noProof/>
        </w:rPr>
        <w:t>8</w:t>
      </w:r>
      <w:r w:rsidRPr="00126CA3">
        <w:rPr>
          <w:noProof/>
        </w:rPr>
        <w:t xml:space="preserve"> млн. </w:t>
      </w:r>
      <w:r w:rsidRPr="00C575DA">
        <w:rPr>
          <w:noProof/>
        </w:rPr>
        <w:t xml:space="preserve">лв. на ВМА, и други. От разпоредителите с бюджет по чл. 13, ал. 3 на Закона за публичните финанси проблеми с наличието на просрочени задължения има основно при: Българската национална телевизия – </w:t>
      </w:r>
      <w:r w:rsidR="00C575DA" w:rsidRPr="00C575DA">
        <w:rPr>
          <w:noProof/>
        </w:rPr>
        <w:t>5,5</w:t>
      </w:r>
      <w:r w:rsidRPr="00C575DA">
        <w:rPr>
          <w:noProof/>
        </w:rPr>
        <w:t xml:space="preserve"> млн. лв. (намаление с </w:t>
      </w:r>
      <w:r w:rsidR="00C575DA" w:rsidRPr="00C575DA">
        <w:rPr>
          <w:noProof/>
        </w:rPr>
        <w:t>26,3</w:t>
      </w:r>
      <w:r w:rsidRPr="00C575DA">
        <w:rPr>
          <w:noProof/>
        </w:rPr>
        <w:t xml:space="preserve"> млн. лв. </w:t>
      </w:r>
      <w:r w:rsidRPr="00C575DA">
        <w:t>спрямо отчетените в края на 2020</w:t>
      </w:r>
      <w:r w:rsidRPr="006B73FD">
        <w:t xml:space="preserve"> г.)</w:t>
      </w:r>
      <w:r w:rsidRPr="006B73FD">
        <w:rPr>
          <w:noProof/>
        </w:rPr>
        <w:t>, в т.ч. 5,</w:t>
      </w:r>
      <w:r w:rsidR="009C5B57" w:rsidRPr="006B73FD">
        <w:rPr>
          <w:noProof/>
        </w:rPr>
        <w:t>1</w:t>
      </w:r>
      <w:r w:rsidRPr="006B73FD">
        <w:rPr>
          <w:noProof/>
        </w:rPr>
        <w:t xml:space="preserve"> млн. лв. </w:t>
      </w:r>
      <w:r w:rsidRPr="006B73FD">
        <w:t>просрочени задължения към доставчици в страната;</w:t>
      </w:r>
      <w:r w:rsidRPr="006B73FD">
        <w:rPr>
          <w:noProof/>
        </w:rPr>
        <w:t xml:space="preserve"> Българското национално радио – </w:t>
      </w:r>
      <w:r w:rsidR="006B73FD" w:rsidRPr="006B73FD">
        <w:rPr>
          <w:noProof/>
        </w:rPr>
        <w:t>2,4</w:t>
      </w:r>
      <w:r w:rsidRPr="006B73FD">
        <w:rPr>
          <w:noProof/>
        </w:rPr>
        <w:t xml:space="preserve"> млн. лв. (увеличение с </w:t>
      </w:r>
      <w:r w:rsidR="006B73FD" w:rsidRPr="006B73FD">
        <w:rPr>
          <w:noProof/>
        </w:rPr>
        <w:t>0,7</w:t>
      </w:r>
      <w:r w:rsidRPr="006B73FD">
        <w:rPr>
          <w:noProof/>
        </w:rPr>
        <w:t xml:space="preserve"> млн. лв. </w:t>
      </w:r>
      <w:r w:rsidRPr="006B73FD">
        <w:t>спрямо отчетените в края на 2020 г.)</w:t>
      </w:r>
      <w:r w:rsidRPr="006B73FD">
        <w:rPr>
          <w:noProof/>
        </w:rPr>
        <w:t xml:space="preserve">, </w:t>
      </w:r>
      <w:r w:rsidR="006B73FD" w:rsidRPr="006B73FD">
        <w:rPr>
          <w:noProof/>
        </w:rPr>
        <w:t>като това са основно</w:t>
      </w:r>
      <w:r w:rsidRPr="006B73FD">
        <w:rPr>
          <w:noProof/>
        </w:rPr>
        <w:t xml:space="preserve"> </w:t>
      </w:r>
      <w:r w:rsidRPr="006B73FD">
        <w:rPr>
          <w:szCs w:val="20"/>
        </w:rPr>
        <w:t>просрочени задължения за данъци, вноски, такси и административни санкции</w:t>
      </w:r>
      <w:r w:rsidRPr="006B73FD">
        <w:t>;</w:t>
      </w:r>
      <w:r w:rsidRPr="006B73FD">
        <w:rPr>
          <w:szCs w:val="20"/>
        </w:rPr>
        <w:t xml:space="preserve"> </w:t>
      </w:r>
      <w:r w:rsidRPr="00924E6C">
        <w:rPr>
          <w:noProof/>
        </w:rPr>
        <w:t xml:space="preserve">Държавните висши училища – </w:t>
      </w:r>
      <w:r w:rsidR="00924E6C">
        <w:rPr>
          <w:noProof/>
        </w:rPr>
        <w:t>6,9</w:t>
      </w:r>
      <w:r w:rsidRPr="00924E6C">
        <w:rPr>
          <w:noProof/>
        </w:rPr>
        <w:t xml:space="preserve"> млн. лв. (увеличение с </w:t>
      </w:r>
      <w:r w:rsidR="00924E6C">
        <w:rPr>
          <w:noProof/>
        </w:rPr>
        <w:t>1,1</w:t>
      </w:r>
      <w:r w:rsidRPr="00924E6C">
        <w:rPr>
          <w:noProof/>
        </w:rPr>
        <w:t xml:space="preserve"> млн. лв. </w:t>
      </w:r>
      <w:r w:rsidRPr="00924E6C">
        <w:t xml:space="preserve">спрямо отчетените в края </w:t>
      </w:r>
      <w:r w:rsidRPr="00E5115F">
        <w:t>на 2020 г., като включват задължения за внасяне на данъци, вноски, такси и административни санкции, задължения към доставчици и др.</w:t>
      </w:r>
      <w:r w:rsidRPr="00E5115F">
        <w:rPr>
          <w:noProof/>
        </w:rPr>
        <w:t>).</w:t>
      </w:r>
    </w:p>
    <w:p w14:paraId="39F46034" w14:textId="77777777" w:rsidR="001E0034" w:rsidRPr="00BA4AB9" w:rsidRDefault="001E0034" w:rsidP="001E0034">
      <w:pPr>
        <w:ind w:firstLine="567"/>
        <w:jc w:val="both"/>
        <w:rPr>
          <w:bCs/>
          <w:color w:val="0070C0"/>
          <w:sz w:val="6"/>
          <w:szCs w:val="12"/>
        </w:rPr>
      </w:pPr>
    </w:p>
    <w:p w14:paraId="6F1B7178" w14:textId="4A0ACA20" w:rsidR="001E0034" w:rsidRPr="00BA4AB9" w:rsidRDefault="001E0034" w:rsidP="001E0034">
      <w:pPr>
        <w:spacing w:after="120"/>
        <w:jc w:val="both"/>
        <w:rPr>
          <w:noProof/>
          <w:color w:val="0070C0"/>
        </w:rPr>
      </w:pPr>
      <w:r w:rsidRPr="002C48C0">
        <w:rPr>
          <w:noProof/>
        </w:rPr>
        <w:t xml:space="preserve">Просрочените задължения по </w:t>
      </w:r>
      <w:r w:rsidRPr="002C48C0">
        <w:rPr>
          <w:b/>
          <w:noProof/>
        </w:rPr>
        <w:t>бюджетите на общините</w:t>
      </w:r>
      <w:r w:rsidRPr="002C48C0">
        <w:rPr>
          <w:noProof/>
        </w:rPr>
        <w:t xml:space="preserve"> </w:t>
      </w:r>
      <w:r w:rsidR="005C7858" w:rsidRPr="002C48C0">
        <w:rPr>
          <w:noProof/>
        </w:rPr>
        <w:t xml:space="preserve">за </w:t>
      </w:r>
      <w:r w:rsidRPr="002C48C0">
        <w:rPr>
          <w:noProof/>
        </w:rPr>
        <w:t xml:space="preserve">2021 г. са в размер на </w:t>
      </w:r>
      <w:r w:rsidR="002C48C0" w:rsidRPr="002C48C0">
        <w:rPr>
          <w:b/>
          <w:noProof/>
        </w:rPr>
        <w:t>117,1</w:t>
      </w:r>
      <w:r w:rsidRPr="002C48C0">
        <w:rPr>
          <w:b/>
          <w:noProof/>
        </w:rPr>
        <w:t> млн. лв.,</w:t>
      </w:r>
      <w:r w:rsidRPr="002C48C0">
        <w:rPr>
          <w:noProof/>
        </w:rPr>
        <w:t xml:space="preserve"> като спрямо </w:t>
      </w:r>
      <w:r w:rsidRPr="002C48C0">
        <w:t xml:space="preserve">края на 2020 г. </w:t>
      </w:r>
      <w:r w:rsidRPr="002C48C0">
        <w:rPr>
          <w:noProof/>
        </w:rPr>
        <w:t xml:space="preserve">се отчита намаление с </w:t>
      </w:r>
      <w:r w:rsidR="002C48C0" w:rsidRPr="002C48C0">
        <w:rPr>
          <w:noProof/>
        </w:rPr>
        <w:t>10,7</w:t>
      </w:r>
      <w:r w:rsidRPr="002C48C0">
        <w:rPr>
          <w:noProof/>
        </w:rPr>
        <w:t xml:space="preserve"> млн. лева. С най-голям относителен дял в просрочените задължения по бюджетите на общините </w:t>
      </w:r>
      <w:r w:rsidR="002C48C0" w:rsidRPr="002C48C0">
        <w:rPr>
          <w:noProof/>
        </w:rPr>
        <w:t>за</w:t>
      </w:r>
      <w:r w:rsidRPr="002C48C0">
        <w:rPr>
          <w:noProof/>
        </w:rPr>
        <w:t xml:space="preserve"> 2021 г. са </w:t>
      </w:r>
      <w:r w:rsidRPr="005D2A2C">
        <w:rPr>
          <w:noProof/>
        </w:rPr>
        <w:t xml:space="preserve">просрочените задължения към доставчици, които са в размер на </w:t>
      </w:r>
      <w:r w:rsidR="00B201EE" w:rsidRPr="005D2A2C">
        <w:rPr>
          <w:noProof/>
        </w:rPr>
        <w:t>78,0</w:t>
      </w:r>
      <w:r w:rsidRPr="005D2A2C">
        <w:rPr>
          <w:noProof/>
        </w:rPr>
        <w:t> млн. лева. В делегираните от държавата дейности просрочените задължения са в размер на 2,</w:t>
      </w:r>
      <w:r w:rsidR="005D2A2C" w:rsidRPr="005D2A2C">
        <w:rPr>
          <w:noProof/>
        </w:rPr>
        <w:t>2</w:t>
      </w:r>
      <w:r w:rsidRPr="005D2A2C">
        <w:rPr>
          <w:noProof/>
        </w:rPr>
        <w:t xml:space="preserve"> млн. лева.</w:t>
      </w:r>
    </w:p>
    <w:p w14:paraId="0ADD0CD9" w14:textId="1CA4B9E6" w:rsidR="001E0034" w:rsidRPr="00AD1DCD" w:rsidRDefault="001E0034" w:rsidP="001E0034">
      <w:pPr>
        <w:spacing w:before="120"/>
        <w:jc w:val="both"/>
      </w:pPr>
      <w:r w:rsidRPr="00AD1DCD">
        <w:t xml:space="preserve">В системата на </w:t>
      </w:r>
      <w:r w:rsidRPr="00AD1DCD">
        <w:rPr>
          <w:b/>
        </w:rPr>
        <w:t>НЗОК</w:t>
      </w:r>
      <w:r w:rsidRPr="00AD1DCD">
        <w:t xml:space="preserve"> към </w:t>
      </w:r>
      <w:r w:rsidR="00505028" w:rsidRPr="00AD1DCD">
        <w:t>31</w:t>
      </w:r>
      <w:r w:rsidRPr="00AD1DCD">
        <w:t>.</w:t>
      </w:r>
      <w:r w:rsidR="00505028" w:rsidRPr="00AD1DCD">
        <w:t>12</w:t>
      </w:r>
      <w:r w:rsidRPr="00AD1DCD">
        <w:t>.2021 г. просрочените задължения са в размер 4,8 хил. лева.</w:t>
      </w:r>
    </w:p>
    <w:p w14:paraId="5D4284DF" w14:textId="77777777" w:rsidR="001E0034" w:rsidRPr="00BA4AB9" w:rsidRDefault="001E0034" w:rsidP="001E0034">
      <w:pPr>
        <w:spacing w:after="120"/>
        <w:jc w:val="both"/>
        <w:rPr>
          <w:noProof/>
          <w:color w:val="0070C0"/>
          <w:sz w:val="6"/>
          <w:szCs w:val="6"/>
        </w:rPr>
      </w:pPr>
    </w:p>
    <w:p w14:paraId="35FFCB81" w14:textId="77777777" w:rsidR="00BB059C" w:rsidRPr="00B12B38" w:rsidRDefault="00BB059C" w:rsidP="00BB059C">
      <w:pPr>
        <w:ind w:firstLine="567"/>
        <w:jc w:val="both"/>
        <w:rPr>
          <w:noProof/>
          <w:color w:val="0070C0"/>
          <w:sz w:val="2"/>
          <w:szCs w:val="12"/>
          <w:lang w:val="ru-RU"/>
        </w:rPr>
      </w:pPr>
    </w:p>
    <w:p w14:paraId="312ED2BB" w14:textId="77777777" w:rsidR="00A66B54" w:rsidRPr="007A78DA" w:rsidRDefault="00A66B54" w:rsidP="00A66B54">
      <w:pPr>
        <w:pStyle w:val="BodyTextIndent"/>
        <w:numPr>
          <w:ilvl w:val="1"/>
          <w:numId w:val="13"/>
        </w:numPr>
        <w:tabs>
          <w:tab w:val="clear" w:pos="2160"/>
          <w:tab w:val="num" w:pos="720"/>
          <w:tab w:val="num" w:pos="900"/>
        </w:tabs>
        <w:spacing w:before="120" w:after="0"/>
        <w:ind w:left="720"/>
        <w:jc w:val="both"/>
        <w:rPr>
          <w:b/>
          <w:bCs/>
        </w:rPr>
      </w:pPr>
      <w:r w:rsidRPr="007A78DA">
        <w:rPr>
          <w:b/>
          <w:bCs/>
        </w:rPr>
        <w:lastRenderedPageBreak/>
        <w:t xml:space="preserve">Разходи по </w:t>
      </w:r>
      <w:r w:rsidRPr="007A78DA">
        <w:rPr>
          <w:b/>
          <w:bCs/>
          <w:szCs w:val="26"/>
        </w:rPr>
        <w:t xml:space="preserve">централния бюджет </w:t>
      </w:r>
      <w:r w:rsidRPr="007A78DA">
        <w:rPr>
          <w:b/>
          <w:bCs/>
        </w:rPr>
        <w:t>за субсидии, капиталови трансфери</w:t>
      </w:r>
      <w:r w:rsidRPr="007A78DA">
        <w:rPr>
          <w:bCs/>
        </w:rPr>
        <w:t xml:space="preserve"> </w:t>
      </w:r>
      <w:r w:rsidRPr="007A78DA">
        <w:rPr>
          <w:b/>
          <w:bCs/>
        </w:rPr>
        <w:t xml:space="preserve">и други разходи, свързани с дейността на реалния сектор </w:t>
      </w:r>
    </w:p>
    <w:p w14:paraId="6C57129E" w14:textId="77777777" w:rsidR="00A66B54" w:rsidRPr="00BA4AB9" w:rsidRDefault="00A66B54" w:rsidP="00A66B54">
      <w:pPr>
        <w:pStyle w:val="Header"/>
        <w:jc w:val="both"/>
        <w:rPr>
          <w:color w:val="0070C0"/>
          <w:sz w:val="8"/>
          <w:szCs w:val="8"/>
        </w:rPr>
      </w:pPr>
    </w:p>
    <w:p w14:paraId="63722A90" w14:textId="6F49824B" w:rsidR="00A66B54" w:rsidRPr="007A78DA" w:rsidRDefault="00A66B54" w:rsidP="00A66B54">
      <w:pPr>
        <w:pStyle w:val="Header"/>
        <w:ind w:firstLine="567"/>
        <w:jc w:val="both"/>
      </w:pPr>
      <w:r w:rsidRPr="007A78DA">
        <w:t>С</w:t>
      </w:r>
      <w:r w:rsidR="0030730F" w:rsidRPr="007A78DA">
        <w:t xml:space="preserve"> актуализираните разчети по </w:t>
      </w:r>
      <w:r w:rsidRPr="007A78DA">
        <w:t>ЗДБРБ за 2021 г. са утвърдени 2</w:t>
      </w:r>
      <w:r w:rsidR="0030730F" w:rsidRPr="007A78DA">
        <w:t>5</w:t>
      </w:r>
      <w:r w:rsidRPr="007A78DA">
        <w:t>3,0 млн. лв</w:t>
      </w:r>
      <w:r w:rsidRPr="007A78DA">
        <w:rPr>
          <w:b/>
        </w:rPr>
        <w:t>.</w:t>
      </w:r>
      <w:r w:rsidRPr="007A78DA">
        <w:t xml:space="preserve"> </w:t>
      </w:r>
      <w:r w:rsidRPr="007A78DA">
        <w:rPr>
          <w:b/>
        </w:rPr>
        <w:t>субсидии</w:t>
      </w:r>
      <w:r w:rsidRPr="007A78DA">
        <w:t xml:space="preserve"> за нефинансови предприятия от централния бюджет.</w:t>
      </w:r>
    </w:p>
    <w:p w14:paraId="2DD7B732" w14:textId="77777777" w:rsidR="00A66B54" w:rsidRPr="00BA4AB9" w:rsidRDefault="00A66B54" w:rsidP="00A66B54">
      <w:pPr>
        <w:pStyle w:val="Header"/>
        <w:ind w:firstLine="567"/>
        <w:jc w:val="both"/>
        <w:rPr>
          <w:color w:val="0070C0"/>
          <w:sz w:val="4"/>
          <w:szCs w:val="4"/>
        </w:rPr>
      </w:pPr>
    </w:p>
    <w:p w14:paraId="479BCDAF" w14:textId="77777777" w:rsidR="00A66B54" w:rsidRPr="007A78DA" w:rsidRDefault="00A66B54" w:rsidP="00A66B54">
      <w:pPr>
        <w:pStyle w:val="BodyText2"/>
        <w:spacing w:after="0" w:line="240" w:lineRule="auto"/>
        <w:ind w:firstLine="567"/>
        <w:jc w:val="both"/>
      </w:pPr>
      <w:r w:rsidRPr="007A78DA">
        <w:t xml:space="preserve">Средствата за </w:t>
      </w:r>
      <w:r w:rsidRPr="007A78DA">
        <w:rPr>
          <w:bCs/>
        </w:rPr>
        <w:t>субсидии</w:t>
      </w:r>
      <w:r w:rsidRPr="007A78DA">
        <w:t xml:space="preserve"> са предназначени за търговски дружества, осъществяващи превоза на пътниците по нерентабилни автобусни линии във вътрешноградския транспорт и транспорта в планински и други райони, за текущо поддържане и експлоатация на железопътната инфраструктура и др.</w:t>
      </w:r>
    </w:p>
    <w:p w14:paraId="3F2E8838" w14:textId="77777777" w:rsidR="00A66B54" w:rsidRPr="00BA4AB9" w:rsidRDefault="00A66B54" w:rsidP="00A66B54">
      <w:pPr>
        <w:pStyle w:val="BodyText2"/>
        <w:spacing w:after="0" w:line="240" w:lineRule="auto"/>
        <w:jc w:val="both"/>
        <w:rPr>
          <w:color w:val="0070C0"/>
          <w:sz w:val="12"/>
          <w:szCs w:val="12"/>
        </w:rPr>
      </w:pPr>
    </w:p>
    <w:p w14:paraId="772C976B" w14:textId="565EA715" w:rsidR="00A66B54" w:rsidRPr="007A78DA" w:rsidRDefault="00A66B54" w:rsidP="00A66B54">
      <w:pPr>
        <w:pStyle w:val="BodyTextIndent"/>
        <w:ind w:left="0" w:firstLine="357"/>
        <w:jc w:val="both"/>
      </w:pPr>
      <w:r w:rsidRPr="007A78DA">
        <w:t xml:space="preserve">- Със ЗДБРБ за 2021 г. за Национална компания „Железопътна инфраструктура” са предвидени средства под формата на субсидии, предназначени за поддържане и експлоатация на железопътната инфраструктура, в размер на 195,0 млн. лева. Усвоените средства за 2021 г. са в размер на </w:t>
      </w:r>
      <w:r w:rsidR="009A77A2" w:rsidRPr="007A78DA">
        <w:t>1</w:t>
      </w:r>
      <w:r w:rsidR="007A78DA" w:rsidRPr="0064563F">
        <w:rPr>
          <w:lang w:val="ru-RU"/>
        </w:rPr>
        <w:t>91</w:t>
      </w:r>
      <w:r w:rsidRPr="007A78DA">
        <w:t>,</w:t>
      </w:r>
      <w:r w:rsidR="007A78DA" w:rsidRPr="0064563F">
        <w:rPr>
          <w:lang w:val="ru-RU"/>
        </w:rPr>
        <w:t>9</w:t>
      </w:r>
      <w:r w:rsidR="009A77A2" w:rsidRPr="007A78DA">
        <w:t xml:space="preserve"> млн. лв. или </w:t>
      </w:r>
      <w:r w:rsidR="007A78DA" w:rsidRPr="0064563F">
        <w:rPr>
          <w:lang w:val="ru-RU"/>
        </w:rPr>
        <w:t>98</w:t>
      </w:r>
      <w:r w:rsidRPr="007A78DA">
        <w:t>,</w:t>
      </w:r>
      <w:r w:rsidR="007A78DA" w:rsidRPr="0064563F">
        <w:rPr>
          <w:lang w:val="ru-RU"/>
        </w:rPr>
        <w:t>4</w:t>
      </w:r>
      <w:r w:rsidRPr="007A78DA">
        <w:t xml:space="preserve"> на сто от годишния план.</w:t>
      </w:r>
      <w:r w:rsidR="007A78DA" w:rsidRPr="007A78DA">
        <w:t xml:space="preserve"> За неизпълнение на показатели по договора с Държавата, на Национална компания „Железопътна инфраструктура” е наложена санкция в размер на 0,03 млн. лв., която е удържана от средствата за субсидии за 2021 г</w:t>
      </w:r>
      <w:r w:rsidR="007A78DA">
        <w:t>.</w:t>
      </w:r>
      <w:r w:rsidRPr="007A78DA">
        <w:t xml:space="preserve"> </w:t>
      </w:r>
      <w:r w:rsidR="007A78DA" w:rsidRPr="007A78DA">
        <w:t>Средствата</w:t>
      </w:r>
      <w:r w:rsidRPr="007A78DA">
        <w:t xml:space="preserve"> са предоставени в съответствие с утвърдения от министъра на транспорта, информационните технологии и съобщенията График за превеждане на субсидиите, съобразен с необходимостта от средства за финансиране на текущите дейности на предприятието. </w:t>
      </w:r>
    </w:p>
    <w:p w14:paraId="04B9E43A" w14:textId="58C18809" w:rsidR="00A66B54" w:rsidRPr="00C123C0" w:rsidRDefault="00A66B54" w:rsidP="00A66B54">
      <w:pPr>
        <w:pStyle w:val="BodyTextIndent2"/>
        <w:spacing w:line="240" w:lineRule="auto"/>
        <w:ind w:left="0" w:firstLine="357"/>
        <w:jc w:val="both"/>
        <w:rPr>
          <w:noProof/>
        </w:rPr>
      </w:pPr>
      <w:r w:rsidRPr="00E460C7">
        <w:t xml:space="preserve">- Предвидените със ЗДБРБ за 2021 г. средства за субсидиране на превоза на пътниците по нерентабилни автобусни линии във вътрешноградския транспорт и транспорта в планински и други райони са в размер на </w:t>
      </w:r>
      <w:r w:rsidR="009A77A2" w:rsidRPr="00E460C7">
        <w:t>58</w:t>
      </w:r>
      <w:r w:rsidRPr="00E460C7">
        <w:t>,0 млн. лв.</w:t>
      </w:r>
      <w:r w:rsidR="00E460C7">
        <w:t>,</w:t>
      </w:r>
      <w:r w:rsidR="00E460C7" w:rsidRPr="00E460C7">
        <w:t xml:space="preserve"> в т.ч. за Столична община - в размер на 11,0 млн. л</w:t>
      </w:r>
      <w:r w:rsidR="00E460C7">
        <w:t>е</w:t>
      </w:r>
      <w:r w:rsidR="00E460C7" w:rsidRPr="00E460C7">
        <w:t>в</w:t>
      </w:r>
      <w:r w:rsidR="00E460C7">
        <w:t>а.</w:t>
      </w:r>
      <w:r w:rsidRPr="00E460C7">
        <w:t xml:space="preserve"> По своя характер те са обществени превозни услуги от общ икономически интерес и имат предимно социална насоченост – масови превози до и от работните места в рамките на града и превози до малки отдалечени селища, осигуряващи връзка с общинския център.</w:t>
      </w:r>
      <w:r w:rsidRPr="00BA4AB9">
        <w:rPr>
          <w:color w:val="0070C0"/>
        </w:rPr>
        <w:t xml:space="preserve"> </w:t>
      </w:r>
      <w:r w:rsidRPr="00C123C0">
        <w:t>П</w:t>
      </w:r>
      <w:r w:rsidRPr="00C123C0">
        <w:rPr>
          <w:noProof/>
        </w:rPr>
        <w:t xml:space="preserve">рез 2021 г. усвоените средства са в размер на </w:t>
      </w:r>
      <w:r w:rsidR="00C123C0" w:rsidRPr="00C123C0">
        <w:rPr>
          <w:noProof/>
        </w:rPr>
        <w:t>57</w:t>
      </w:r>
      <w:r w:rsidR="009A77A2" w:rsidRPr="00C123C0">
        <w:rPr>
          <w:noProof/>
        </w:rPr>
        <w:t>,3</w:t>
      </w:r>
      <w:r w:rsidRPr="00C123C0">
        <w:rPr>
          <w:noProof/>
        </w:rPr>
        <w:t xml:space="preserve"> млн. лв. или </w:t>
      </w:r>
      <w:r w:rsidR="00C123C0" w:rsidRPr="00C123C0">
        <w:rPr>
          <w:noProof/>
        </w:rPr>
        <w:t>98</w:t>
      </w:r>
      <w:r w:rsidRPr="00C123C0">
        <w:rPr>
          <w:noProof/>
        </w:rPr>
        <w:t>,</w:t>
      </w:r>
      <w:r w:rsidR="00C123C0" w:rsidRPr="00C123C0">
        <w:rPr>
          <w:noProof/>
        </w:rPr>
        <w:t>8</w:t>
      </w:r>
      <w:r w:rsidRPr="00C123C0">
        <w:rPr>
          <w:noProof/>
        </w:rPr>
        <w:t xml:space="preserve"> на сто от разчета за годината. </w:t>
      </w:r>
    </w:p>
    <w:p w14:paraId="6A753E63" w14:textId="6ECB45FB" w:rsidR="00A66B54" w:rsidRPr="00301DD4" w:rsidRDefault="00A66B54" w:rsidP="00A66B54">
      <w:pPr>
        <w:ind w:firstLine="567"/>
        <w:jc w:val="both"/>
        <w:rPr>
          <w:bCs/>
        </w:rPr>
      </w:pPr>
      <w:r w:rsidRPr="00E6347D">
        <w:rPr>
          <w:bCs/>
        </w:rPr>
        <w:t xml:space="preserve">За </w:t>
      </w:r>
      <w:r w:rsidRPr="00E6347D">
        <w:rPr>
          <w:b/>
          <w:bCs/>
        </w:rPr>
        <w:t xml:space="preserve">капиталови трансфери </w:t>
      </w:r>
      <w:r w:rsidRPr="00E6347D">
        <w:rPr>
          <w:bCs/>
        </w:rPr>
        <w:t xml:space="preserve">от централния бюджет за нефинансови предприятия със ЗДБРБ за 2021 г. са предвидени </w:t>
      </w:r>
      <w:r w:rsidRPr="00E6347D">
        <w:rPr>
          <w:b/>
          <w:bCs/>
        </w:rPr>
        <w:t>407,5 млн. лева.</w:t>
      </w:r>
      <w:r w:rsidRPr="00E6347D">
        <w:rPr>
          <w:bCs/>
        </w:rPr>
        <w:t xml:space="preserve"> </w:t>
      </w:r>
      <w:r w:rsidRPr="00301DD4">
        <w:rPr>
          <w:bCs/>
        </w:rPr>
        <w:t>Преведените и усвоени средства към 3</w:t>
      </w:r>
      <w:r w:rsidR="00E6347D" w:rsidRPr="00301DD4">
        <w:rPr>
          <w:bCs/>
        </w:rPr>
        <w:t>1</w:t>
      </w:r>
      <w:r w:rsidRPr="00301DD4">
        <w:rPr>
          <w:bCs/>
        </w:rPr>
        <w:t>.</w:t>
      </w:r>
      <w:r w:rsidR="00E6347D" w:rsidRPr="00301DD4">
        <w:rPr>
          <w:bCs/>
        </w:rPr>
        <w:t>12</w:t>
      </w:r>
      <w:r w:rsidRPr="00301DD4">
        <w:rPr>
          <w:bCs/>
        </w:rPr>
        <w:t xml:space="preserve">.2021 г. са в размер на </w:t>
      </w:r>
      <w:r w:rsidR="00E6347D" w:rsidRPr="00301DD4">
        <w:rPr>
          <w:b/>
          <w:bCs/>
        </w:rPr>
        <w:t>326</w:t>
      </w:r>
      <w:r w:rsidRPr="00301DD4">
        <w:rPr>
          <w:b/>
          <w:bCs/>
        </w:rPr>
        <w:t>,</w:t>
      </w:r>
      <w:r w:rsidR="00E6347D" w:rsidRPr="00301DD4">
        <w:rPr>
          <w:b/>
          <w:bCs/>
        </w:rPr>
        <w:t>5</w:t>
      </w:r>
      <w:r w:rsidRPr="00301DD4">
        <w:rPr>
          <w:b/>
          <w:bCs/>
        </w:rPr>
        <w:t xml:space="preserve"> млн. лв.</w:t>
      </w:r>
      <w:r w:rsidRPr="00301DD4">
        <w:rPr>
          <w:bCs/>
        </w:rPr>
        <w:t xml:space="preserve"> или </w:t>
      </w:r>
      <w:r w:rsidR="00301DD4" w:rsidRPr="00301DD4">
        <w:rPr>
          <w:bCs/>
        </w:rPr>
        <w:t>80</w:t>
      </w:r>
      <w:r w:rsidRPr="00301DD4">
        <w:rPr>
          <w:bCs/>
        </w:rPr>
        <w:t>,</w:t>
      </w:r>
      <w:r w:rsidR="00301DD4" w:rsidRPr="00301DD4">
        <w:rPr>
          <w:bCs/>
        </w:rPr>
        <w:t>1</w:t>
      </w:r>
      <w:r w:rsidRPr="00301DD4">
        <w:rPr>
          <w:bCs/>
        </w:rPr>
        <w:t xml:space="preserve"> % от годишния размер, както следва:</w:t>
      </w:r>
    </w:p>
    <w:p w14:paraId="2EE75A72" w14:textId="2A97251D" w:rsidR="00A66B54" w:rsidRPr="00301DD4" w:rsidRDefault="00A66B54" w:rsidP="00A66B54">
      <w:pPr>
        <w:numPr>
          <w:ilvl w:val="0"/>
          <w:numId w:val="5"/>
        </w:numPr>
        <w:tabs>
          <w:tab w:val="clear" w:pos="1440"/>
          <w:tab w:val="left" w:pos="851"/>
          <w:tab w:val="left" w:pos="1134"/>
        </w:tabs>
        <w:ind w:left="0" w:firstLine="567"/>
        <w:jc w:val="both"/>
        <w:rPr>
          <w:i/>
        </w:rPr>
      </w:pPr>
      <w:r w:rsidRPr="00301DD4">
        <w:rPr>
          <w:i/>
        </w:rPr>
        <w:t>капиталови трансфери за  Национална компания „Железопътна инфраструктура</w:t>
      </w:r>
      <w:r w:rsidRPr="00301DD4">
        <w:t>” - ф</w:t>
      </w:r>
      <w:r w:rsidRPr="00301DD4">
        <w:rPr>
          <w:noProof/>
        </w:rPr>
        <w:t>инансовото подпомагане от страна на държавата за изграждане и развитие на железопътната инфраструктура е насочено към повишаване на качеството и нивото на безопасност на транспортните услуги, ускоряване реализацията на проекти, свързани с европейските транспортни оси и коридори на територията на страната, ремонт и рехабилитация на железопътната мрежа</w:t>
      </w:r>
      <w:r w:rsidRPr="00301DD4">
        <w:t xml:space="preserve">. </w:t>
      </w:r>
      <w:r w:rsidRPr="00301DD4">
        <w:rPr>
          <w:noProof/>
        </w:rPr>
        <w:t>За 2021 г. от държавния бюджет за компанията е предвиден капиталов трансфер в размер на 140,0 млн. лева. Усвоените средства за 2021 г. са в размер на 1</w:t>
      </w:r>
      <w:r w:rsidR="00301DD4" w:rsidRPr="00301DD4">
        <w:rPr>
          <w:noProof/>
        </w:rPr>
        <w:t>37</w:t>
      </w:r>
      <w:r w:rsidRPr="00301DD4">
        <w:rPr>
          <w:noProof/>
        </w:rPr>
        <w:t>,</w:t>
      </w:r>
      <w:r w:rsidR="00301DD4" w:rsidRPr="00301DD4">
        <w:rPr>
          <w:noProof/>
        </w:rPr>
        <w:t>8</w:t>
      </w:r>
      <w:r w:rsidRPr="00301DD4">
        <w:rPr>
          <w:noProof/>
        </w:rPr>
        <w:t xml:space="preserve"> млн. лв. или </w:t>
      </w:r>
      <w:r w:rsidR="00301DD4" w:rsidRPr="00301DD4">
        <w:rPr>
          <w:noProof/>
        </w:rPr>
        <w:t>98</w:t>
      </w:r>
      <w:r w:rsidRPr="00301DD4">
        <w:rPr>
          <w:noProof/>
        </w:rPr>
        <w:t>,</w:t>
      </w:r>
      <w:r w:rsidR="00301DD4" w:rsidRPr="00301DD4">
        <w:rPr>
          <w:noProof/>
        </w:rPr>
        <w:t>5</w:t>
      </w:r>
      <w:r w:rsidRPr="00301DD4">
        <w:rPr>
          <w:noProof/>
        </w:rPr>
        <w:t xml:space="preserve"> на сто от годишния разчет. Изпълняват се проекти за ремонт и придобиване на дълготрайни материални активи, за възстановяване и подобряване на експлоатационното състояние на железния път и съоръженията, както и ремонт и преустройство на възлови жп гари в съответствие с европейските изисквания;</w:t>
      </w:r>
    </w:p>
    <w:p w14:paraId="7C859244" w14:textId="3F38C425" w:rsidR="00A66B54" w:rsidRPr="00301DD4" w:rsidRDefault="00A66B54" w:rsidP="00A66B54">
      <w:pPr>
        <w:numPr>
          <w:ilvl w:val="0"/>
          <w:numId w:val="5"/>
        </w:numPr>
        <w:tabs>
          <w:tab w:val="clear" w:pos="1440"/>
          <w:tab w:val="num" w:pos="360"/>
          <w:tab w:val="left" w:pos="851"/>
        </w:tabs>
        <w:ind w:left="0" w:firstLine="567"/>
        <w:jc w:val="both"/>
        <w:rPr>
          <w:i/>
        </w:rPr>
      </w:pPr>
      <w:r w:rsidRPr="00301DD4">
        <w:rPr>
          <w:i/>
        </w:rPr>
        <w:t xml:space="preserve">капиталови трансфери за „БДЖ – Пътнически превози” - ЕООД – </w:t>
      </w:r>
      <w:r w:rsidRPr="00301DD4">
        <w:t xml:space="preserve">предвидените средства със ЗДБРБ за 2021 г. са в размер на 109,0 млн. лева. </w:t>
      </w:r>
      <w:r w:rsidRPr="00301DD4">
        <w:rPr>
          <w:noProof/>
        </w:rPr>
        <w:t xml:space="preserve">Усвоените средства за 2021 г. са в размер на </w:t>
      </w:r>
      <w:r w:rsidR="00301DD4" w:rsidRPr="00301DD4">
        <w:rPr>
          <w:noProof/>
        </w:rPr>
        <w:t>84</w:t>
      </w:r>
      <w:r w:rsidRPr="00301DD4">
        <w:rPr>
          <w:noProof/>
        </w:rPr>
        <w:t xml:space="preserve">,1 млн. лв. или </w:t>
      </w:r>
      <w:r w:rsidR="00301DD4" w:rsidRPr="00301DD4">
        <w:rPr>
          <w:noProof/>
        </w:rPr>
        <w:t>77</w:t>
      </w:r>
      <w:r w:rsidRPr="00301DD4">
        <w:rPr>
          <w:noProof/>
        </w:rPr>
        <w:t>,</w:t>
      </w:r>
      <w:r w:rsidR="00301DD4" w:rsidRPr="00301DD4">
        <w:rPr>
          <w:noProof/>
        </w:rPr>
        <w:t>2</w:t>
      </w:r>
      <w:r w:rsidRPr="00301DD4">
        <w:rPr>
          <w:noProof/>
        </w:rPr>
        <w:t xml:space="preserve"> на сто от утвърдения годишен план.</w:t>
      </w:r>
      <w:r w:rsidRPr="00301DD4">
        <w:t xml:space="preserve"> Средствата са предназначени за планов заводски (среден и капитален) ремонт и рециклиране на пътнически вагони, подемен и капитален ремонт и преустройство на електрически локомотиви</w:t>
      </w:r>
      <w:r w:rsidR="00502F80">
        <w:t>,</w:t>
      </w:r>
      <w:r w:rsidR="00502F80" w:rsidRPr="00502F80">
        <w:t xml:space="preserve"> </w:t>
      </w:r>
      <w:r w:rsidR="00502F80">
        <w:t>както и за производство и доставка на електрически локомотиви</w:t>
      </w:r>
      <w:r w:rsidR="00502F80" w:rsidRPr="00301DD4">
        <w:t>;</w:t>
      </w:r>
      <w:r w:rsidRPr="00301DD4">
        <w:t>;</w:t>
      </w:r>
    </w:p>
    <w:p w14:paraId="2B492627" w14:textId="72F9EB94" w:rsidR="00A66B54" w:rsidRPr="00F64D37" w:rsidRDefault="00A66B54" w:rsidP="00A66B54">
      <w:pPr>
        <w:numPr>
          <w:ilvl w:val="1"/>
          <w:numId w:val="14"/>
        </w:numPr>
        <w:tabs>
          <w:tab w:val="clear" w:pos="1440"/>
          <w:tab w:val="num" w:pos="360"/>
          <w:tab w:val="left" w:pos="851"/>
        </w:tabs>
        <w:ind w:left="0" w:firstLine="567"/>
        <w:jc w:val="both"/>
      </w:pPr>
      <w:r w:rsidRPr="00F64D37">
        <w:rPr>
          <w:i/>
        </w:rPr>
        <w:t>капиталови трансфери за ДП „Пристанищна инфраструктура”</w:t>
      </w:r>
      <w:r w:rsidRPr="00F64D37">
        <w:rPr>
          <w:b/>
          <w:i/>
        </w:rPr>
        <w:t xml:space="preserve"> </w:t>
      </w:r>
      <w:r w:rsidRPr="00F64D37">
        <w:t>- инвестиционната програма на дружеството, която включва изграждане и капиталов ремонт на пристанищна инфраструктура на пристанищата за обществен транспорт с национално значение, се изпълнява с участието на капиталови трансфери от държавния бюджет</w:t>
      </w:r>
      <w:r w:rsidRPr="00F64D37">
        <w:rPr>
          <w:noProof/>
        </w:rPr>
        <w:t xml:space="preserve">. Предвидените със ЗДБРБ за  2021 г. средства са в размер на 148,5 млн. лева. За 2021 г. са усвоени средства в размер на </w:t>
      </w:r>
      <w:r w:rsidR="00F64D37" w:rsidRPr="00F64D37">
        <w:rPr>
          <w:noProof/>
        </w:rPr>
        <w:t>10</w:t>
      </w:r>
      <w:r w:rsidR="00737CAA" w:rsidRPr="00F64D37">
        <w:rPr>
          <w:noProof/>
        </w:rPr>
        <w:t>3</w:t>
      </w:r>
      <w:r w:rsidRPr="00F64D37">
        <w:rPr>
          <w:noProof/>
        </w:rPr>
        <w:t>,</w:t>
      </w:r>
      <w:r w:rsidR="00F64D37" w:rsidRPr="00F64D37">
        <w:rPr>
          <w:noProof/>
        </w:rPr>
        <w:t>2</w:t>
      </w:r>
      <w:r w:rsidRPr="00F64D37">
        <w:rPr>
          <w:noProof/>
        </w:rPr>
        <w:t xml:space="preserve"> млн. лв. или </w:t>
      </w:r>
      <w:r w:rsidR="00F64D37" w:rsidRPr="00F64D37">
        <w:rPr>
          <w:noProof/>
        </w:rPr>
        <w:t>6</w:t>
      </w:r>
      <w:r w:rsidR="00737CAA" w:rsidRPr="00F64D37">
        <w:rPr>
          <w:noProof/>
        </w:rPr>
        <w:t>9</w:t>
      </w:r>
      <w:r w:rsidRPr="00F64D37">
        <w:rPr>
          <w:noProof/>
        </w:rPr>
        <w:t>,</w:t>
      </w:r>
      <w:r w:rsidR="00F64D37" w:rsidRPr="00F64D37">
        <w:rPr>
          <w:noProof/>
        </w:rPr>
        <w:t>5</w:t>
      </w:r>
      <w:r w:rsidRPr="00F64D37">
        <w:rPr>
          <w:noProof/>
        </w:rPr>
        <w:t xml:space="preserve"> на сто от годишния план</w:t>
      </w:r>
      <w:r w:rsidRPr="00F64D37">
        <w:t>;</w:t>
      </w:r>
    </w:p>
    <w:p w14:paraId="30496BED" w14:textId="632BF302" w:rsidR="00A66B54" w:rsidRPr="00EB5AC2" w:rsidRDefault="00A66B54" w:rsidP="00F64D37">
      <w:pPr>
        <w:numPr>
          <w:ilvl w:val="0"/>
          <w:numId w:val="15"/>
        </w:numPr>
        <w:tabs>
          <w:tab w:val="clear" w:pos="2157"/>
          <w:tab w:val="left" w:pos="360"/>
          <w:tab w:val="left" w:pos="851"/>
          <w:tab w:val="num" w:pos="2070"/>
        </w:tabs>
        <w:ind w:left="0" w:firstLine="630"/>
        <w:jc w:val="both"/>
      </w:pPr>
      <w:r w:rsidRPr="00EB5AC2">
        <w:lastRenderedPageBreak/>
        <w:t xml:space="preserve">През 2021 г. продължава изпълнението на Програмите за отстраняване на нанесени щети </w:t>
      </w:r>
      <w:r w:rsidRPr="00EB5AC2">
        <w:rPr>
          <w:noProof/>
        </w:rPr>
        <w:t>върху околната среда</w:t>
      </w:r>
      <w:r w:rsidRPr="00EB5AC2">
        <w:t xml:space="preserve">, настъпили от минали действия или бездействия, при приватизация. В ЗДБРБ за 2021 г. за тези програми са предвидени 10,0 млн. лева. </w:t>
      </w:r>
      <w:r w:rsidR="00F64D37" w:rsidRPr="00EB5AC2">
        <w:t>За 2021 г. са усвоени средства в размер на 1,4 млн. лв. или 14,1 на сто от годишния план.</w:t>
      </w:r>
      <w:r w:rsidRPr="00EB5AC2">
        <w:t xml:space="preserve">  </w:t>
      </w:r>
    </w:p>
    <w:p w14:paraId="0BBE4110" w14:textId="77777777" w:rsidR="00A66B54" w:rsidRPr="00BA4AB9" w:rsidRDefault="00A66B54" w:rsidP="00A66B54">
      <w:pPr>
        <w:jc w:val="both"/>
        <w:rPr>
          <w:color w:val="0070C0"/>
          <w:sz w:val="8"/>
          <w:szCs w:val="8"/>
        </w:rPr>
      </w:pPr>
    </w:p>
    <w:p w14:paraId="1CD2ADC0" w14:textId="77777777" w:rsidR="00A66B54" w:rsidRPr="00BA4AB9" w:rsidRDefault="00A66B54" w:rsidP="00A66B54">
      <w:pPr>
        <w:jc w:val="both"/>
        <w:rPr>
          <w:color w:val="0070C0"/>
          <w:sz w:val="8"/>
          <w:szCs w:val="8"/>
          <w:highlight w:val="yellow"/>
        </w:rPr>
      </w:pPr>
    </w:p>
    <w:p w14:paraId="5960554C" w14:textId="77777777" w:rsidR="00A66B54" w:rsidRPr="00143110" w:rsidRDefault="00A66B54" w:rsidP="00A66B54">
      <w:pPr>
        <w:ind w:firstLine="567"/>
        <w:jc w:val="both"/>
      </w:pPr>
      <w:r w:rsidRPr="00143110">
        <w:rPr>
          <w:b/>
          <w:bCs/>
        </w:rPr>
        <w:t>Други разходи по централния бюджет</w:t>
      </w:r>
      <w:r w:rsidRPr="00143110">
        <w:t xml:space="preserve"> предназначени за: </w:t>
      </w:r>
    </w:p>
    <w:p w14:paraId="5FB52770" w14:textId="77777777" w:rsidR="00A66B54" w:rsidRPr="00BA4AB9" w:rsidRDefault="00A66B54" w:rsidP="00A66B54">
      <w:pPr>
        <w:jc w:val="both"/>
        <w:rPr>
          <w:color w:val="0070C0"/>
          <w:sz w:val="8"/>
          <w:szCs w:val="8"/>
        </w:rPr>
      </w:pPr>
    </w:p>
    <w:p w14:paraId="43B6E3EE" w14:textId="0BBDEB3A" w:rsidR="00A66B54" w:rsidRPr="00B43038" w:rsidRDefault="00A66B54" w:rsidP="00B43038">
      <w:pPr>
        <w:numPr>
          <w:ilvl w:val="0"/>
          <w:numId w:val="5"/>
        </w:numPr>
        <w:tabs>
          <w:tab w:val="left" w:pos="851"/>
        </w:tabs>
        <w:ind w:left="0" w:firstLine="1080"/>
        <w:jc w:val="both"/>
      </w:pPr>
      <w:r w:rsidRPr="00143110">
        <w:rPr>
          <w:i/>
        </w:rPr>
        <w:t xml:space="preserve">Компенсиране на </w:t>
      </w:r>
      <w:r w:rsidRPr="00143110">
        <w:rPr>
          <w:bCs/>
          <w:i/>
        </w:rPr>
        <w:t>намалените приходи от прилагането на цени за пътуване, предвидени в нормативни актове за определени категории пътници</w:t>
      </w:r>
      <w:r w:rsidRPr="00143110">
        <w:rPr>
          <w:i/>
        </w:rPr>
        <w:t xml:space="preserve"> по железопътния и автомобилния транспорт, със средства от държавния бюджет</w:t>
      </w:r>
      <w:r w:rsidRPr="00143110">
        <w:t xml:space="preserve"> - предвидените средства са общо в размер на 122,8 млн. лв., от които 47,0 млн. лв. </w:t>
      </w:r>
      <w:r w:rsidRPr="00143110">
        <w:rPr>
          <w:noProof/>
        </w:rPr>
        <w:t>за пътувания с вътрешноградския транспорт и междуселищния автомобилен транспорт, 46,0 млн. лв. за транспорт на деца и ученици по чл. 283, ал. 2 от Закона за предучилищното и училищното образование, 16,8 млн. лв. за превоз на служители, ползващи право на безплатно пътуване при изпълнение на служебните си задължения, и 13,0 млн. лв. за пътувания с железопътния транспорт.</w:t>
      </w:r>
      <w:r w:rsidRPr="00143110">
        <w:t xml:space="preserve"> </w:t>
      </w:r>
      <w:r w:rsidR="00E240B1" w:rsidRPr="00E240B1">
        <w:t>Допълнително са предоставени средства за транспорт на деца и ученици, в размер 2,4 млн. лв., в съответствие с ПМС № 411/2021 г.</w:t>
      </w:r>
      <w:r w:rsidR="00B43038" w:rsidRPr="00B43038">
        <w:t xml:space="preserve"> С това общият размер на средствата за компенсиране на намалените приходи от прилагането на цени за пътуване, предвидени в нормативни актове за определени категории пътници, е увеличен на 125,1 млн. лв. за 2021 г.</w:t>
      </w:r>
      <w:r w:rsidR="00502F80">
        <w:t xml:space="preserve"> </w:t>
      </w:r>
      <w:r w:rsidR="00502F80" w:rsidRPr="00143110">
        <w:rPr>
          <w:noProof/>
        </w:rPr>
        <w:t xml:space="preserve">Предоставените средства за </w:t>
      </w:r>
      <w:r w:rsidR="00502F80" w:rsidRPr="00143110">
        <w:t>2021</w:t>
      </w:r>
      <w:r w:rsidR="00502F80" w:rsidRPr="00143110">
        <w:rPr>
          <w:noProof/>
        </w:rPr>
        <w:t xml:space="preserve"> г. са общо в размер на </w:t>
      </w:r>
      <w:r w:rsidR="00502F80" w:rsidRPr="0064563F">
        <w:rPr>
          <w:noProof/>
          <w:lang w:val="ru-RU"/>
        </w:rPr>
        <w:t>109</w:t>
      </w:r>
      <w:r w:rsidR="00502F80" w:rsidRPr="00143110">
        <w:rPr>
          <w:noProof/>
        </w:rPr>
        <w:t>,</w:t>
      </w:r>
      <w:r w:rsidR="00502F80" w:rsidRPr="0064563F">
        <w:rPr>
          <w:noProof/>
          <w:lang w:val="ru-RU"/>
        </w:rPr>
        <w:t>3</w:t>
      </w:r>
      <w:r w:rsidR="00502F80" w:rsidRPr="00143110">
        <w:rPr>
          <w:noProof/>
        </w:rPr>
        <w:t xml:space="preserve"> млн. лв. или </w:t>
      </w:r>
      <w:r w:rsidR="00502F80">
        <w:rPr>
          <w:noProof/>
          <w:lang w:val="ru-RU"/>
        </w:rPr>
        <w:t>87,4</w:t>
      </w:r>
      <w:r w:rsidR="00502F80" w:rsidRPr="00143110">
        <w:rPr>
          <w:noProof/>
        </w:rPr>
        <w:t xml:space="preserve"> на сто от годишния разчет.</w:t>
      </w:r>
    </w:p>
    <w:p w14:paraId="5A52FF0C" w14:textId="730AC41E" w:rsidR="00A66B54" w:rsidRPr="00143110" w:rsidRDefault="00A66B54" w:rsidP="00A66B54">
      <w:pPr>
        <w:tabs>
          <w:tab w:val="left" w:pos="851"/>
        </w:tabs>
        <w:ind w:firstLine="567"/>
        <w:jc w:val="both"/>
      </w:pPr>
      <w:r w:rsidRPr="00143110">
        <w:t>Предоставените средства към 3</w:t>
      </w:r>
      <w:r w:rsidR="00143110" w:rsidRPr="0064563F">
        <w:rPr>
          <w:lang w:val="ru-RU"/>
        </w:rPr>
        <w:t>1</w:t>
      </w:r>
      <w:r w:rsidRPr="00143110">
        <w:t>.</w:t>
      </w:r>
      <w:r w:rsidR="00143110" w:rsidRPr="0064563F">
        <w:rPr>
          <w:lang w:val="ru-RU"/>
        </w:rPr>
        <w:t>12</w:t>
      </w:r>
      <w:r w:rsidRPr="00143110">
        <w:t xml:space="preserve">.2021 г. за компенсиране на намалените приходи от прилагането на цени за пътуване, предвидени в нормативни актове за определени категории пътници /компенсации/, структурирани според вида ползван транспорт – </w:t>
      </w:r>
      <w:r w:rsidRPr="00143110">
        <w:rPr>
          <w:noProof/>
        </w:rPr>
        <w:t xml:space="preserve">вътрешноградски транспорт и междуселищен </w:t>
      </w:r>
      <w:r w:rsidRPr="00143110">
        <w:t>автомобилен транспорт или железопътен транспорт, съгласно ПМС № 408/2020 г. за изпълнението на държавния бюджет на Република България за 2021 г., са както следва:</w:t>
      </w:r>
    </w:p>
    <w:p w14:paraId="3D0F442E" w14:textId="75DCA336" w:rsidR="00A66B54" w:rsidRPr="00E240B1" w:rsidRDefault="00A66B54" w:rsidP="00A66B54">
      <w:pPr>
        <w:ind w:firstLine="567"/>
        <w:jc w:val="both"/>
      </w:pPr>
      <w:r w:rsidRPr="00E240B1">
        <w:t xml:space="preserve">- компенсации за пътувания с железопътния транспорт в размер на </w:t>
      </w:r>
      <w:r w:rsidR="00E240B1" w:rsidRPr="0064563F">
        <w:rPr>
          <w:lang w:val="ru-RU"/>
        </w:rPr>
        <w:t>6</w:t>
      </w:r>
      <w:r w:rsidRPr="00E240B1">
        <w:t>,</w:t>
      </w:r>
      <w:r w:rsidR="00E240B1" w:rsidRPr="0064563F">
        <w:rPr>
          <w:lang w:val="ru-RU"/>
        </w:rPr>
        <w:t>6</w:t>
      </w:r>
      <w:r w:rsidRPr="00E240B1">
        <w:t xml:space="preserve"> млн. лв.,  което е </w:t>
      </w:r>
      <w:r w:rsidR="00E240B1" w:rsidRPr="0064563F">
        <w:rPr>
          <w:lang w:val="ru-RU"/>
        </w:rPr>
        <w:t>50</w:t>
      </w:r>
      <w:r w:rsidRPr="00E240B1">
        <w:t>,</w:t>
      </w:r>
      <w:r w:rsidR="00E240B1" w:rsidRPr="0064563F">
        <w:rPr>
          <w:lang w:val="ru-RU"/>
        </w:rPr>
        <w:t>9</w:t>
      </w:r>
      <w:r w:rsidRPr="00E240B1">
        <w:t xml:space="preserve"> на сто от утвърдения годишен план; </w:t>
      </w:r>
    </w:p>
    <w:p w14:paraId="0DB763DE" w14:textId="017D3A2D" w:rsidR="00A66B54" w:rsidRPr="00B43038" w:rsidRDefault="00A66B54" w:rsidP="00A66B54">
      <w:pPr>
        <w:tabs>
          <w:tab w:val="left" w:pos="540"/>
          <w:tab w:val="left" w:pos="709"/>
        </w:tabs>
        <w:ind w:firstLine="567"/>
        <w:jc w:val="both"/>
        <w:rPr>
          <w:noProof/>
        </w:rPr>
      </w:pPr>
      <w:r w:rsidRPr="00B43038">
        <w:rPr>
          <w:noProof/>
        </w:rPr>
        <w:t>- компенсации за пътувания с вътрешноградски транспорт и междуселищния автомобилен транспорт в страната, предоставени чрез Системата за еле</w:t>
      </w:r>
      <w:r w:rsidR="00737CAA" w:rsidRPr="00B43038">
        <w:rPr>
          <w:noProof/>
        </w:rPr>
        <w:t>ктронни бюджетни разплащания – 1</w:t>
      </w:r>
      <w:r w:rsidR="00E240B1" w:rsidRPr="0064563F">
        <w:rPr>
          <w:noProof/>
          <w:lang w:val="ru-RU"/>
        </w:rPr>
        <w:t>02</w:t>
      </w:r>
      <w:r w:rsidRPr="00B43038">
        <w:rPr>
          <w:noProof/>
        </w:rPr>
        <w:t>,</w:t>
      </w:r>
      <w:r w:rsidR="00737CAA" w:rsidRPr="00B43038">
        <w:rPr>
          <w:noProof/>
        </w:rPr>
        <w:t>7</w:t>
      </w:r>
      <w:r w:rsidRPr="00B43038">
        <w:rPr>
          <w:noProof/>
        </w:rPr>
        <w:t xml:space="preserve"> млн. лв., което е </w:t>
      </w:r>
      <w:r w:rsidR="00B43038" w:rsidRPr="0064563F">
        <w:rPr>
          <w:noProof/>
          <w:lang w:val="ru-RU"/>
        </w:rPr>
        <w:t>91</w:t>
      </w:r>
      <w:r w:rsidRPr="00B43038">
        <w:rPr>
          <w:noProof/>
        </w:rPr>
        <w:t>,</w:t>
      </w:r>
      <w:r w:rsidR="00B43038" w:rsidRPr="0064563F">
        <w:rPr>
          <w:noProof/>
          <w:lang w:val="ru-RU"/>
        </w:rPr>
        <w:t>6</w:t>
      </w:r>
      <w:r w:rsidRPr="00B43038">
        <w:rPr>
          <w:noProof/>
        </w:rPr>
        <w:t xml:space="preserve"> на сто от </w:t>
      </w:r>
      <w:r w:rsidRPr="00B43038">
        <w:t>утвърдения</w:t>
      </w:r>
      <w:r w:rsidRPr="00B43038">
        <w:rPr>
          <w:noProof/>
        </w:rPr>
        <w:t xml:space="preserve"> годишен план. </w:t>
      </w:r>
    </w:p>
    <w:p w14:paraId="4F7EF63E" w14:textId="40F57208" w:rsidR="00A66B54" w:rsidRPr="00B43038" w:rsidRDefault="00A66B54" w:rsidP="00A66B54">
      <w:pPr>
        <w:ind w:firstLine="567"/>
        <w:jc w:val="both"/>
        <w:rPr>
          <w:noProof/>
        </w:rPr>
      </w:pPr>
      <w:r w:rsidRPr="00B43038">
        <w:rPr>
          <w:noProof/>
        </w:rPr>
        <w:t xml:space="preserve">Предоставените средства за </w:t>
      </w:r>
      <w:r w:rsidRPr="00B43038">
        <w:t>компенсиране на намалените приходи от прилагането на цени за пътуване, предвидени в нормативни актове за определени категории пътници,</w:t>
      </w:r>
      <w:r w:rsidRPr="00B43038">
        <w:rPr>
          <w:noProof/>
        </w:rPr>
        <w:t xml:space="preserve"> по вътрешноградския транспорт и междуселищния автомобилен транспорт за първ</w:t>
      </w:r>
      <w:r w:rsidR="00737CAA" w:rsidRPr="00B43038">
        <w:rPr>
          <w:noProof/>
        </w:rPr>
        <w:t>ите девет месеца</w:t>
      </w:r>
      <w:r w:rsidRPr="00B43038">
        <w:rPr>
          <w:noProof/>
        </w:rPr>
        <w:t xml:space="preserve"> на 2021 г., диференцирани по групи правоимащи лица и размер на намалението спрямо редовната цена, са както следва:</w:t>
      </w:r>
    </w:p>
    <w:p w14:paraId="54B98403" w14:textId="53B2B7D9" w:rsidR="00A66B54" w:rsidRPr="00B43038" w:rsidRDefault="00A66B54" w:rsidP="00A66B54">
      <w:pPr>
        <w:pStyle w:val="BodyTextIndent"/>
        <w:spacing w:after="0"/>
        <w:ind w:left="0" w:firstLine="567"/>
        <w:jc w:val="both"/>
      </w:pPr>
      <w:r w:rsidRPr="00B43038">
        <w:t xml:space="preserve">- </w:t>
      </w:r>
      <w:r w:rsidR="00B43038" w:rsidRPr="0064563F">
        <w:rPr>
          <w:lang w:val="ru-RU"/>
        </w:rPr>
        <w:t>48</w:t>
      </w:r>
      <w:r w:rsidRPr="00B43038">
        <w:t>,</w:t>
      </w:r>
      <w:r w:rsidR="00B43038" w:rsidRPr="0064563F">
        <w:rPr>
          <w:lang w:val="ru-RU"/>
        </w:rPr>
        <w:t>4</w:t>
      </w:r>
      <w:r w:rsidRPr="00B43038">
        <w:t xml:space="preserve"> млн. лв. за транспорт на деца и ученици в съответствие с чл. 283, ал. 2 от Закона за предучилищното и училищното образование, </w:t>
      </w:r>
      <w:r w:rsidR="00B43038" w:rsidRPr="00B43038">
        <w:t>като средствата са предоставени изцяло</w:t>
      </w:r>
      <w:r w:rsidRPr="00B43038">
        <w:t xml:space="preserve">; </w:t>
      </w:r>
    </w:p>
    <w:p w14:paraId="6C0A389C" w14:textId="05CCC7B0" w:rsidR="00A66B54" w:rsidRPr="00B43038" w:rsidRDefault="00A66B54" w:rsidP="00A66B54">
      <w:pPr>
        <w:pStyle w:val="BodyTextIndent"/>
        <w:tabs>
          <w:tab w:val="left" w:pos="1026"/>
        </w:tabs>
        <w:spacing w:after="0"/>
        <w:ind w:left="0" w:firstLine="567"/>
        <w:jc w:val="both"/>
      </w:pPr>
      <w:r w:rsidRPr="00B43038">
        <w:t xml:space="preserve">- </w:t>
      </w:r>
      <w:r w:rsidR="00B43038" w:rsidRPr="0064563F">
        <w:rPr>
          <w:lang w:val="ru-RU"/>
        </w:rPr>
        <w:t>5</w:t>
      </w:r>
      <w:r w:rsidR="00DC433F" w:rsidRPr="00B43038">
        <w:t>4</w:t>
      </w:r>
      <w:r w:rsidRPr="00B43038">
        <w:t>,</w:t>
      </w:r>
      <w:r w:rsidR="00B43038" w:rsidRPr="0064563F">
        <w:rPr>
          <w:lang w:val="ru-RU"/>
        </w:rPr>
        <w:t>3</w:t>
      </w:r>
      <w:r w:rsidRPr="00B43038">
        <w:t xml:space="preserve"> млн. лв. за безплатни и по намалени цени пътувания по общини. Следва да се има предвид, че по пътя на изпълнението тези разходи се отчитат като текущи трансфери, обезщетения и помощи за домакинствата по бюджетите на общините. Изпълнението спрямо годишния план е </w:t>
      </w:r>
      <w:r w:rsidR="00B43038" w:rsidRPr="0064563F">
        <w:rPr>
          <w:lang w:val="ru-RU"/>
        </w:rPr>
        <w:t>85</w:t>
      </w:r>
      <w:r w:rsidR="00192130" w:rsidRPr="00B43038">
        <w:t>,</w:t>
      </w:r>
      <w:r w:rsidR="00B43038" w:rsidRPr="0064563F">
        <w:rPr>
          <w:lang w:val="ru-RU"/>
        </w:rPr>
        <w:t>2</w:t>
      </w:r>
      <w:r w:rsidRPr="00B43038">
        <w:t xml:space="preserve"> на сто, в това число:</w:t>
      </w:r>
    </w:p>
    <w:p w14:paraId="5F2AAA7D" w14:textId="36C18084" w:rsidR="00A66B54" w:rsidRPr="00B43038" w:rsidRDefault="001B4692" w:rsidP="005B077A">
      <w:pPr>
        <w:numPr>
          <w:ilvl w:val="0"/>
          <w:numId w:val="28"/>
        </w:numPr>
        <w:tabs>
          <w:tab w:val="left" w:pos="993"/>
        </w:tabs>
        <w:ind w:hanging="275"/>
        <w:jc w:val="both"/>
      </w:pPr>
      <w:r w:rsidRPr="00B43038">
        <w:t>3</w:t>
      </w:r>
      <w:r w:rsidR="00B43038" w:rsidRPr="0064563F">
        <w:rPr>
          <w:lang w:val="ru-RU"/>
        </w:rPr>
        <w:t>7</w:t>
      </w:r>
      <w:r w:rsidR="00A66B54" w:rsidRPr="00B43038">
        <w:t>,</w:t>
      </w:r>
      <w:r w:rsidR="00B43038" w:rsidRPr="0064563F">
        <w:rPr>
          <w:lang w:val="ru-RU"/>
        </w:rPr>
        <w:t>5</w:t>
      </w:r>
      <w:r w:rsidR="00A66B54" w:rsidRPr="00B43038">
        <w:t xml:space="preserve"> млн. лв. за безплатни пътувания на деца до седемгодишна възраст, ветерани от войните, военноинвалиди и военнопострадали, както и пътувания по намалени цени на деца от 7 до 10 навършени години, учащи се и лица, получаващи пенсия, с вътрешноградския транспорт и междуселищния автомобилен транспорт, което е </w:t>
      </w:r>
      <w:r w:rsidR="00B43038" w:rsidRPr="0064563F">
        <w:rPr>
          <w:lang w:val="ru-RU"/>
        </w:rPr>
        <w:t>79</w:t>
      </w:r>
      <w:r w:rsidR="00636E71" w:rsidRPr="00B43038">
        <w:t>,</w:t>
      </w:r>
      <w:r w:rsidR="00B43038" w:rsidRPr="0064563F">
        <w:rPr>
          <w:lang w:val="ru-RU"/>
        </w:rPr>
        <w:t>9</w:t>
      </w:r>
      <w:r w:rsidR="00A66B54" w:rsidRPr="00B43038">
        <w:t xml:space="preserve"> на сто о</w:t>
      </w:r>
      <w:r w:rsidR="009225E5" w:rsidRPr="00B43038">
        <w:t>т</w:t>
      </w:r>
      <w:r w:rsidR="00A66B54" w:rsidRPr="00B43038">
        <w:t xml:space="preserve"> утвърдения годишен план; </w:t>
      </w:r>
    </w:p>
    <w:p w14:paraId="02DB53F5" w14:textId="0BFE2E81" w:rsidR="00A66B54" w:rsidRPr="00B43038" w:rsidRDefault="001B4692" w:rsidP="00B43038">
      <w:pPr>
        <w:numPr>
          <w:ilvl w:val="0"/>
          <w:numId w:val="19"/>
        </w:numPr>
        <w:tabs>
          <w:tab w:val="left" w:pos="993"/>
        </w:tabs>
        <w:ind w:hanging="264"/>
        <w:jc w:val="both"/>
      </w:pPr>
      <w:r w:rsidRPr="00B43038">
        <w:t>1</w:t>
      </w:r>
      <w:r w:rsidR="00B43038" w:rsidRPr="0064563F">
        <w:rPr>
          <w:lang w:val="ru-RU"/>
        </w:rPr>
        <w:t>6</w:t>
      </w:r>
      <w:r w:rsidR="00A66B54" w:rsidRPr="00B43038">
        <w:t>,</w:t>
      </w:r>
      <w:r w:rsidR="00B43038" w:rsidRPr="0064563F">
        <w:rPr>
          <w:lang w:val="ru-RU"/>
        </w:rPr>
        <w:t>8</w:t>
      </w:r>
      <w:r w:rsidR="00A66B54" w:rsidRPr="00B43038">
        <w:t xml:space="preserve"> млн. лв. за превоз на служители, ползващи право на безплатно пътуване при изпълнение на служебните си задължения, </w:t>
      </w:r>
      <w:r w:rsidR="00B43038" w:rsidRPr="00B43038">
        <w:t>като средствата са предоставени изцяло</w:t>
      </w:r>
      <w:r w:rsidR="00A66B54" w:rsidRPr="00B43038">
        <w:t>.</w:t>
      </w:r>
    </w:p>
    <w:p w14:paraId="3330899D" w14:textId="77777777" w:rsidR="00333B5E" w:rsidRPr="00B43038" w:rsidRDefault="00333B5E" w:rsidP="00333B5E">
      <w:pPr>
        <w:jc w:val="both"/>
        <w:rPr>
          <w:sz w:val="12"/>
          <w:szCs w:val="12"/>
        </w:rPr>
      </w:pPr>
    </w:p>
    <w:p w14:paraId="681C1AEF" w14:textId="77777777" w:rsidR="00A750C5" w:rsidRPr="00FA6EA6" w:rsidRDefault="00A750C5" w:rsidP="00A750C5">
      <w:pPr>
        <w:numPr>
          <w:ilvl w:val="0"/>
          <w:numId w:val="7"/>
        </w:numPr>
        <w:spacing w:after="120"/>
        <w:ind w:left="0" w:firstLine="360"/>
        <w:jc w:val="both"/>
        <w:rPr>
          <w:b/>
          <w:lang w:eastAsia="bg-BG"/>
        </w:rPr>
      </w:pPr>
      <w:r w:rsidRPr="00FA6EA6">
        <w:rPr>
          <w:b/>
          <w:lang w:eastAsia="bg-BG"/>
        </w:rPr>
        <w:t xml:space="preserve">Разходи за лихви </w:t>
      </w:r>
    </w:p>
    <w:p w14:paraId="695B4C70" w14:textId="77777777" w:rsidR="00FA6EA6" w:rsidRPr="004554CA" w:rsidRDefault="00FA6EA6" w:rsidP="00FA6EA6">
      <w:pPr>
        <w:spacing w:after="120"/>
        <w:jc w:val="both"/>
        <w:rPr>
          <w:lang w:eastAsia="bg-BG"/>
        </w:rPr>
      </w:pPr>
      <w:r w:rsidRPr="004554CA">
        <w:rPr>
          <w:b/>
          <w:lang w:eastAsia="bg-BG"/>
        </w:rPr>
        <w:t xml:space="preserve">Лихвените плащания </w:t>
      </w:r>
      <w:r w:rsidRPr="004554CA">
        <w:rPr>
          <w:lang w:eastAsia="bg-BG"/>
        </w:rPr>
        <w:t xml:space="preserve">по държавния бюджет към </w:t>
      </w:r>
      <w:r w:rsidRPr="004554CA">
        <w:rPr>
          <w:lang w:val="ru-RU" w:eastAsia="bg-BG"/>
        </w:rPr>
        <w:t>31.12.</w:t>
      </w:r>
      <w:r w:rsidRPr="004554CA">
        <w:rPr>
          <w:lang w:eastAsia="bg-BG"/>
        </w:rPr>
        <w:t xml:space="preserve">2021 г. са в общ размер на </w:t>
      </w:r>
      <w:r w:rsidRPr="004554CA">
        <w:rPr>
          <w:b/>
          <w:lang w:eastAsia="bg-BG"/>
        </w:rPr>
        <w:t>579,0 млн. лв</w:t>
      </w:r>
      <w:r w:rsidRPr="004554CA">
        <w:rPr>
          <w:lang w:eastAsia="bg-BG"/>
        </w:rPr>
        <w:t>. или</w:t>
      </w:r>
      <w:r w:rsidRPr="004554CA">
        <w:rPr>
          <w:color w:val="0070C0"/>
          <w:lang w:eastAsia="bg-BG"/>
        </w:rPr>
        <w:t xml:space="preserve"> </w:t>
      </w:r>
      <w:r w:rsidRPr="004554CA">
        <w:rPr>
          <w:lang w:eastAsia="bg-BG"/>
        </w:rPr>
        <w:t xml:space="preserve">93,0 % от предвидените в годишните разчети. </w:t>
      </w:r>
    </w:p>
    <w:p w14:paraId="6E9060B1" w14:textId="6F29AF48" w:rsidR="00FA6EA6" w:rsidRPr="004554CA" w:rsidRDefault="00FF3253" w:rsidP="00FA6EA6">
      <w:pPr>
        <w:spacing w:after="120"/>
        <w:jc w:val="both"/>
        <w:rPr>
          <w:lang w:eastAsia="bg-BG"/>
        </w:rPr>
      </w:pPr>
      <w:r>
        <w:rPr>
          <w:lang w:eastAsia="bg-BG"/>
        </w:rPr>
        <w:t>Нетният размер на р</w:t>
      </w:r>
      <w:r w:rsidR="00FA6EA6" w:rsidRPr="004554CA">
        <w:rPr>
          <w:lang w:eastAsia="bg-BG"/>
        </w:rPr>
        <w:t xml:space="preserve">азходите за </w:t>
      </w:r>
      <w:r w:rsidR="00FA6EA6" w:rsidRPr="004554CA">
        <w:rPr>
          <w:b/>
          <w:lang w:eastAsia="bg-BG"/>
        </w:rPr>
        <w:t>лихви по външни заеми</w:t>
      </w:r>
      <w:r w:rsidR="00FA6EA6" w:rsidRPr="004554CA">
        <w:rPr>
          <w:lang w:eastAsia="bg-BG"/>
        </w:rPr>
        <w:t xml:space="preserve"> са в размер на </w:t>
      </w:r>
      <w:r w:rsidR="00FA6EA6" w:rsidRPr="004554CA">
        <w:rPr>
          <w:b/>
          <w:lang w:eastAsia="bg-BG"/>
        </w:rPr>
        <w:t xml:space="preserve">448,3 млн. лв. </w:t>
      </w:r>
      <w:r w:rsidR="00FA6EA6" w:rsidRPr="004554CA">
        <w:rPr>
          <w:lang w:val="ru-RU" w:eastAsia="bg-BG"/>
        </w:rPr>
        <w:t>(</w:t>
      </w:r>
      <w:r w:rsidR="00FA6EA6" w:rsidRPr="004554CA">
        <w:rPr>
          <w:lang w:eastAsia="bg-BG"/>
        </w:rPr>
        <w:t xml:space="preserve">от тях 13,3 млн. лв. са възстановени средства след приключване на операция по опрощаване на </w:t>
      </w:r>
      <w:r w:rsidR="00FA6EA6" w:rsidRPr="004554CA">
        <w:rPr>
          <w:lang w:eastAsia="bg-BG"/>
        </w:rPr>
        <w:lastRenderedPageBreak/>
        <w:t>дълга на Судан</w:t>
      </w:r>
      <w:r w:rsidR="00FA6EA6" w:rsidRPr="004554CA">
        <w:rPr>
          <w:lang w:val="ru-RU" w:eastAsia="bg-BG"/>
        </w:rPr>
        <w:t>)</w:t>
      </w:r>
      <w:r w:rsidR="00FA6EA6" w:rsidRPr="004554CA">
        <w:rPr>
          <w:lang w:eastAsia="bg-BG"/>
        </w:rPr>
        <w:t>, в т.ч. 423,6 млн. лв. по централния бюджет. Разходите за лихви по ДИЗ, управлявани от министерства и ведомства са в размер на 24,7 млн. лв. (от тях 2,5 млн. лв. са по заемите с краен бенефициент търговско дружество).</w:t>
      </w:r>
    </w:p>
    <w:p w14:paraId="33DA57BE" w14:textId="77777777" w:rsidR="00FA6EA6" w:rsidRPr="004554CA" w:rsidRDefault="00FA6EA6" w:rsidP="00FA6EA6">
      <w:pPr>
        <w:spacing w:after="120"/>
        <w:jc w:val="both"/>
        <w:rPr>
          <w:b/>
          <w:lang w:eastAsia="bg-BG"/>
        </w:rPr>
      </w:pPr>
      <w:r w:rsidRPr="004554CA">
        <w:rPr>
          <w:lang w:eastAsia="bg-BG"/>
        </w:rPr>
        <w:t>През отчетния период не са използвани средства, предвидени за покриване на риска от активиране на държавни гаранции.</w:t>
      </w:r>
      <w:r w:rsidRPr="004554CA">
        <w:rPr>
          <w:b/>
          <w:lang w:eastAsia="bg-BG"/>
        </w:rPr>
        <w:t xml:space="preserve"> </w:t>
      </w:r>
    </w:p>
    <w:p w14:paraId="5A64EE29" w14:textId="1CEBD309" w:rsidR="00FA6EA6" w:rsidRPr="004554CA" w:rsidRDefault="00FA6EA6" w:rsidP="00FA6EA6">
      <w:pPr>
        <w:spacing w:after="60"/>
        <w:jc w:val="both"/>
        <w:rPr>
          <w:lang w:eastAsia="bg-BG"/>
        </w:rPr>
      </w:pPr>
      <w:r w:rsidRPr="004554CA">
        <w:rPr>
          <w:b/>
          <w:lang w:eastAsia="bg-BG"/>
        </w:rPr>
        <w:t>Лихвите по вътрешни заеми</w:t>
      </w:r>
      <w:r w:rsidRPr="004554CA">
        <w:rPr>
          <w:lang w:eastAsia="bg-BG"/>
        </w:rPr>
        <w:t xml:space="preserve"> по държавния бюджет </w:t>
      </w:r>
      <w:r w:rsidRPr="004554CA">
        <w:rPr>
          <w:bCs/>
          <w:lang w:eastAsia="bg-BG"/>
        </w:rPr>
        <w:t>към декември 2021</w:t>
      </w:r>
      <w:r w:rsidRPr="004554CA">
        <w:rPr>
          <w:lang w:eastAsia="bg-BG"/>
        </w:rPr>
        <w:t xml:space="preserve"> г. са в размер на </w:t>
      </w:r>
      <w:r w:rsidRPr="004554CA">
        <w:rPr>
          <w:b/>
          <w:lang w:eastAsia="bg-BG"/>
        </w:rPr>
        <w:t>130,6</w:t>
      </w:r>
      <w:r w:rsidRPr="004554CA">
        <w:rPr>
          <w:rFonts w:eastAsia="Calibri"/>
          <w:b/>
        </w:rPr>
        <w:t> </w:t>
      </w:r>
      <w:r w:rsidRPr="004554CA">
        <w:rPr>
          <w:b/>
          <w:lang w:eastAsia="bg-BG"/>
        </w:rPr>
        <w:t>млн. лв.</w:t>
      </w:r>
      <w:r w:rsidR="004E5ABC">
        <w:rPr>
          <w:b/>
          <w:lang w:eastAsia="bg-BG"/>
        </w:rPr>
        <w:t xml:space="preserve"> </w:t>
      </w:r>
      <w:r w:rsidR="004E5ABC" w:rsidRPr="004E5ABC">
        <w:rPr>
          <w:lang w:eastAsia="bg-BG"/>
        </w:rPr>
        <w:t>(</w:t>
      </w:r>
      <w:r w:rsidR="0039313C" w:rsidRPr="00E561D3">
        <w:rPr>
          <w:lang w:val="ru-RU" w:eastAsia="bg-BG"/>
        </w:rPr>
        <w:t>вкл.</w:t>
      </w:r>
      <w:r w:rsidR="004E5ABC">
        <w:rPr>
          <w:lang w:eastAsia="bg-BG"/>
        </w:rPr>
        <w:t xml:space="preserve"> 0,8 млн. лв. разходи на министерствата</w:t>
      </w:r>
      <w:r w:rsidR="0039313C">
        <w:rPr>
          <w:lang w:eastAsia="bg-BG"/>
        </w:rPr>
        <w:t xml:space="preserve"> и ведомствата</w:t>
      </w:r>
      <w:r w:rsidR="004E5ABC">
        <w:rPr>
          <w:lang w:eastAsia="bg-BG"/>
        </w:rPr>
        <w:t xml:space="preserve"> за вътрешни лихви)</w:t>
      </w:r>
      <w:r w:rsidRPr="004554CA">
        <w:rPr>
          <w:lang w:eastAsia="bg-BG"/>
        </w:rPr>
        <w:t xml:space="preserve"> и представляват основно лихви по емисии на ДЦК на вътрешния пазар.</w:t>
      </w:r>
      <w:r w:rsidRPr="004554CA">
        <w:rPr>
          <w:color w:val="0070C0"/>
          <w:lang w:eastAsia="bg-BG"/>
        </w:rPr>
        <w:t xml:space="preserve"> </w:t>
      </w:r>
      <w:r w:rsidRPr="004554CA">
        <w:rPr>
          <w:lang w:eastAsia="bg-BG"/>
        </w:rPr>
        <w:t>Платените лихви и отстъпки по ДЦК, емитирани на аукционен принцип са в размер на 134,8 млн. лв. Реализираните при аукционите премии над номинала от емисии ДЦК към 31.12.2021 г. (отчетени в намаление на разходите за лихви по вътрешния дълг) са съответно (-4,9) млн. лв.</w:t>
      </w:r>
    </w:p>
    <w:p w14:paraId="6D118870" w14:textId="77777777" w:rsidR="00FA6EA6" w:rsidRPr="004554CA" w:rsidRDefault="00FA6EA6" w:rsidP="00FA6EA6">
      <w:pPr>
        <w:numPr>
          <w:ilvl w:val="0"/>
          <w:numId w:val="27"/>
        </w:numPr>
        <w:tabs>
          <w:tab w:val="left" w:pos="426"/>
        </w:tabs>
        <w:spacing w:before="120" w:after="60"/>
        <w:ind w:left="0" w:firstLine="0"/>
        <w:jc w:val="both"/>
        <w:rPr>
          <w:b/>
          <w:bCs/>
          <w:lang w:eastAsia="bg-BG"/>
        </w:rPr>
      </w:pPr>
      <w:r w:rsidRPr="004554CA">
        <w:rPr>
          <w:b/>
          <w:bCs/>
          <w:lang w:eastAsia="bg-BG"/>
        </w:rPr>
        <w:t>Нетният размер на трансферите по държавния бюджет</w:t>
      </w:r>
      <w:r w:rsidRPr="004554CA">
        <w:rPr>
          <w:bCs/>
          <w:lang w:eastAsia="bg-BG"/>
        </w:rPr>
        <w:t xml:space="preserve">  към декември 2021</w:t>
      </w:r>
      <w:r w:rsidRPr="004554CA">
        <w:rPr>
          <w:lang w:eastAsia="bg-BG"/>
        </w:rPr>
        <w:t xml:space="preserve"> г.</w:t>
      </w:r>
      <w:r w:rsidRPr="004554CA">
        <w:rPr>
          <w:bCs/>
          <w:lang w:eastAsia="bg-BG"/>
        </w:rPr>
        <w:t xml:space="preserve"> е</w:t>
      </w:r>
      <w:r w:rsidRPr="004554CA">
        <w:rPr>
          <w:b/>
          <w:bCs/>
          <w:lang w:eastAsia="bg-BG"/>
        </w:rPr>
        <w:t xml:space="preserve"> 18 603,6</w:t>
      </w:r>
      <w:r w:rsidRPr="004554CA">
        <w:rPr>
          <w:rFonts w:eastAsia="Calibri"/>
          <w:b/>
        </w:rPr>
        <w:t> </w:t>
      </w:r>
      <w:r w:rsidRPr="004554CA">
        <w:rPr>
          <w:b/>
          <w:bCs/>
          <w:lang w:eastAsia="bg-BG"/>
        </w:rPr>
        <w:t xml:space="preserve">млн. лв.,  </w:t>
      </w:r>
      <w:r w:rsidRPr="004554CA">
        <w:rPr>
          <w:bCs/>
          <w:lang w:eastAsia="bg-BG"/>
        </w:rPr>
        <w:t>в т.ч.:</w:t>
      </w:r>
      <w:r w:rsidRPr="004554CA">
        <w:rPr>
          <w:b/>
          <w:bCs/>
          <w:lang w:eastAsia="bg-BG"/>
        </w:rPr>
        <w:t xml:space="preserve"> </w:t>
      </w:r>
    </w:p>
    <w:p w14:paraId="54AC1FF5" w14:textId="77777777" w:rsidR="00FA6EA6" w:rsidRPr="004554CA" w:rsidRDefault="00FA6EA6" w:rsidP="00FA6EA6">
      <w:pPr>
        <w:numPr>
          <w:ilvl w:val="0"/>
          <w:numId w:val="21"/>
        </w:numPr>
        <w:tabs>
          <w:tab w:val="clear" w:pos="700"/>
          <w:tab w:val="left" w:pos="180"/>
          <w:tab w:val="num" w:pos="540"/>
          <w:tab w:val="num" w:pos="1495"/>
          <w:tab w:val="num" w:pos="9858"/>
        </w:tabs>
        <w:ind w:left="538" w:hanging="357"/>
        <w:jc w:val="both"/>
        <w:rPr>
          <w:lang w:eastAsia="bg-BG"/>
        </w:rPr>
      </w:pPr>
      <w:r w:rsidRPr="004554CA">
        <w:rPr>
          <w:lang w:eastAsia="bg-BG"/>
        </w:rPr>
        <w:t>бюджетните  взаимоотношения  с  общините  включват  нето трансфери  и временни безлихвени заеми в  размер  на 6 264,4 млн. лв.,</w:t>
      </w:r>
      <w:r w:rsidRPr="004554CA">
        <w:rPr>
          <w:lang w:val="ru-RU" w:eastAsia="bg-BG"/>
        </w:rPr>
        <w:t xml:space="preserve"> </w:t>
      </w:r>
      <w:r w:rsidRPr="004554CA">
        <w:rPr>
          <w:lang w:eastAsia="bg-BG"/>
        </w:rPr>
        <w:t>от които субсидии от централния бюджет в размер на 5 102,2 млн. лв., други целеви трансфери от централния бюджет в размер на 587,6 млн. лв., нетни трансфери от/за други бюджети в размер на 584,9 млн. лв. и възстановени трансфери от предходни години в централния бюджет – 10,3 млн. лева;</w:t>
      </w:r>
    </w:p>
    <w:p w14:paraId="6A52C9CD" w14:textId="77777777" w:rsidR="00FA6EA6" w:rsidRPr="004554CA" w:rsidRDefault="00FA6EA6" w:rsidP="00FA6EA6">
      <w:pPr>
        <w:numPr>
          <w:ilvl w:val="0"/>
          <w:numId w:val="21"/>
        </w:numPr>
        <w:tabs>
          <w:tab w:val="clear" w:pos="700"/>
          <w:tab w:val="left" w:pos="180"/>
          <w:tab w:val="num" w:pos="540"/>
          <w:tab w:val="num" w:pos="1495"/>
          <w:tab w:val="num" w:pos="9858"/>
        </w:tabs>
        <w:ind w:left="538" w:hanging="357"/>
        <w:jc w:val="both"/>
        <w:rPr>
          <w:lang w:eastAsia="bg-BG"/>
        </w:rPr>
      </w:pPr>
      <w:r w:rsidRPr="004554CA">
        <w:rPr>
          <w:lang w:eastAsia="bg-BG"/>
        </w:rPr>
        <w:t>на социалноосигурителните фондове (нето) – 10 553,4 млн. лв.,</w:t>
      </w:r>
      <w:r w:rsidRPr="004554CA">
        <w:rPr>
          <w:b/>
          <w:lang w:eastAsia="bg-BG"/>
        </w:rPr>
        <w:t xml:space="preserve"> </w:t>
      </w:r>
      <w:r w:rsidRPr="004554CA">
        <w:rPr>
          <w:lang w:eastAsia="bg-BG"/>
        </w:rPr>
        <w:t>което представлява 122,8 % спрямо годишния разчет;</w:t>
      </w:r>
    </w:p>
    <w:p w14:paraId="0514A879" w14:textId="77777777" w:rsidR="00FA6EA6" w:rsidRPr="004554CA" w:rsidRDefault="00FA6EA6" w:rsidP="00FA6EA6">
      <w:pPr>
        <w:numPr>
          <w:ilvl w:val="0"/>
          <w:numId w:val="21"/>
        </w:numPr>
        <w:tabs>
          <w:tab w:val="clear" w:pos="700"/>
          <w:tab w:val="left" w:pos="180"/>
          <w:tab w:val="num" w:pos="540"/>
          <w:tab w:val="num" w:pos="1495"/>
          <w:tab w:val="num" w:pos="9858"/>
        </w:tabs>
        <w:ind w:left="538" w:hanging="357"/>
        <w:jc w:val="both"/>
        <w:rPr>
          <w:lang w:eastAsia="bg-BG"/>
        </w:rPr>
      </w:pPr>
      <w:r w:rsidRPr="004554CA">
        <w:rPr>
          <w:lang w:eastAsia="bg-BG"/>
        </w:rPr>
        <w:t>на други автономни бюджети (ДВУ, БАН, ССА, БНТ, БНР и БТА) – 1 077,2 млн. лв., 124,9 % спрямо годишния разчет.</w:t>
      </w:r>
    </w:p>
    <w:p w14:paraId="048FEC1F" w14:textId="1BD16590" w:rsidR="00FA6EA6" w:rsidRPr="004554CA" w:rsidRDefault="00014AA9" w:rsidP="00FA6EA6">
      <w:pPr>
        <w:numPr>
          <w:ilvl w:val="0"/>
          <w:numId w:val="6"/>
        </w:numPr>
        <w:tabs>
          <w:tab w:val="clear" w:pos="700"/>
          <w:tab w:val="left" w:pos="426"/>
          <w:tab w:val="num" w:pos="786"/>
        </w:tabs>
        <w:spacing w:before="120"/>
        <w:ind w:left="0" w:firstLine="0"/>
        <w:jc w:val="both"/>
        <w:rPr>
          <w:bCs/>
          <w:lang w:eastAsia="bg-BG"/>
        </w:rPr>
      </w:pPr>
      <w:r>
        <w:rPr>
          <w:b/>
          <w:lang w:eastAsia="bg-BG"/>
        </w:rPr>
        <w:t>В</w:t>
      </w:r>
      <w:r w:rsidR="00FA6EA6" w:rsidRPr="004554CA">
        <w:rPr>
          <w:b/>
          <w:lang w:eastAsia="bg-BG"/>
        </w:rPr>
        <w:t xml:space="preserve">носката на Република България в общия бюджет на ЕС, </w:t>
      </w:r>
      <w:r w:rsidR="00FA6EA6" w:rsidRPr="004554CA">
        <w:rPr>
          <w:lang w:eastAsia="bg-BG"/>
        </w:rPr>
        <w:t>изплатена към 31.12.2021 г. от централния бюджет, възлиза на</w:t>
      </w:r>
      <w:r w:rsidR="00FA6EA6" w:rsidRPr="004554CA">
        <w:rPr>
          <w:b/>
          <w:lang w:eastAsia="bg-BG"/>
        </w:rPr>
        <w:t xml:space="preserve"> 1 681,0 млн. лева.</w:t>
      </w:r>
      <w:r w:rsidR="00FA6EA6" w:rsidRPr="004554CA">
        <w:rPr>
          <w:lang w:eastAsia="bg-BG"/>
        </w:rPr>
        <w:t xml:space="preserve"> </w:t>
      </w:r>
    </w:p>
    <w:p w14:paraId="206223A7" w14:textId="77777777" w:rsidR="00FA6EA6" w:rsidRPr="004554CA" w:rsidRDefault="00FA6EA6" w:rsidP="00FA6EA6">
      <w:pPr>
        <w:numPr>
          <w:ilvl w:val="0"/>
          <w:numId w:val="6"/>
        </w:numPr>
        <w:tabs>
          <w:tab w:val="clear" w:pos="700"/>
          <w:tab w:val="num" w:pos="426"/>
          <w:tab w:val="num" w:pos="786"/>
        </w:tabs>
        <w:spacing w:before="240" w:after="240"/>
        <w:ind w:left="0" w:firstLine="0"/>
        <w:jc w:val="both"/>
        <w:rPr>
          <w:sz w:val="16"/>
          <w:szCs w:val="16"/>
          <w:lang w:eastAsia="bg-BG"/>
        </w:rPr>
      </w:pPr>
      <w:r w:rsidRPr="004554CA">
        <w:rPr>
          <w:b/>
          <w:lang w:eastAsia="bg-BG"/>
        </w:rPr>
        <w:t>Бюджетното салдо по държавния бюджет</w:t>
      </w:r>
      <w:r w:rsidRPr="004554CA">
        <w:rPr>
          <w:lang w:eastAsia="bg-BG"/>
        </w:rPr>
        <w:t xml:space="preserve"> към </w:t>
      </w:r>
      <w:r w:rsidRPr="004554CA">
        <w:rPr>
          <w:lang w:val="ru-RU" w:eastAsia="bg-BG"/>
        </w:rPr>
        <w:t>31.12.202</w:t>
      </w:r>
      <w:r w:rsidRPr="004554CA">
        <w:rPr>
          <w:lang w:eastAsia="bg-BG"/>
        </w:rPr>
        <w:t xml:space="preserve">1 г. </w:t>
      </w:r>
      <w:r w:rsidRPr="004554CA">
        <w:rPr>
          <w:b/>
          <w:lang w:eastAsia="bg-BG"/>
        </w:rPr>
        <w:t>е отрицателно</w:t>
      </w:r>
      <w:r w:rsidRPr="004554CA">
        <w:rPr>
          <w:lang w:eastAsia="bg-BG"/>
        </w:rPr>
        <w:t xml:space="preserve"> в размер на </w:t>
      </w:r>
      <w:r w:rsidRPr="004554CA">
        <w:rPr>
          <w:b/>
          <w:lang w:eastAsia="bg-BG"/>
        </w:rPr>
        <w:t>4 381,7 млн. лева</w:t>
      </w:r>
      <w:r w:rsidRPr="004554CA">
        <w:rPr>
          <w:lang w:eastAsia="bg-BG"/>
        </w:rPr>
        <w:t xml:space="preserve">. </w:t>
      </w:r>
    </w:p>
    <w:p w14:paraId="6FFE6E98" w14:textId="77777777" w:rsidR="00FA6EA6" w:rsidRPr="004554CA" w:rsidRDefault="00FA6EA6" w:rsidP="00FA6EA6">
      <w:pPr>
        <w:numPr>
          <w:ilvl w:val="0"/>
          <w:numId w:val="6"/>
        </w:numPr>
        <w:tabs>
          <w:tab w:val="clear" w:pos="700"/>
          <w:tab w:val="num" w:pos="426"/>
          <w:tab w:val="num" w:pos="786"/>
        </w:tabs>
        <w:spacing w:before="240" w:after="240"/>
        <w:ind w:left="0" w:firstLine="0"/>
        <w:jc w:val="both"/>
        <w:rPr>
          <w:b/>
          <w:lang w:eastAsia="bg-BG"/>
        </w:rPr>
      </w:pPr>
      <w:r w:rsidRPr="004554CA">
        <w:rPr>
          <w:b/>
          <w:lang w:eastAsia="bg-BG"/>
        </w:rPr>
        <w:t>Финансиране на бюджета чрез операции по дълга</w:t>
      </w:r>
    </w:p>
    <w:p w14:paraId="0EE5AE83" w14:textId="77777777" w:rsidR="00FA6EA6" w:rsidRPr="004554CA" w:rsidRDefault="00FA6EA6" w:rsidP="00FA6EA6">
      <w:pPr>
        <w:spacing w:after="120"/>
        <w:jc w:val="both"/>
        <w:rPr>
          <w:lang w:eastAsia="bg-BG"/>
        </w:rPr>
      </w:pPr>
      <w:r w:rsidRPr="004554CA">
        <w:rPr>
          <w:lang w:eastAsia="bg-BG"/>
        </w:rPr>
        <w:t>Към 31.12.2021 г. е отчетено положително нетно външно финансиране по централния бюджет в размер на 858,6 млн. лева.</w:t>
      </w:r>
    </w:p>
    <w:p w14:paraId="1C64A3A5" w14:textId="77777777" w:rsidR="00FA6EA6" w:rsidRPr="004554CA" w:rsidRDefault="00FA6EA6" w:rsidP="00FA6EA6">
      <w:pPr>
        <w:spacing w:after="120"/>
        <w:jc w:val="both"/>
        <w:rPr>
          <w:lang w:eastAsia="bg-BG"/>
        </w:rPr>
      </w:pPr>
      <w:r w:rsidRPr="004554CA">
        <w:rPr>
          <w:lang w:eastAsia="bg-BG"/>
        </w:rPr>
        <w:t xml:space="preserve">През отчетния период по централния бюджет са </w:t>
      </w:r>
      <w:r w:rsidRPr="004554CA">
        <w:rPr>
          <w:b/>
          <w:i/>
          <w:lang w:eastAsia="bg-BG"/>
        </w:rPr>
        <w:t>усвоени</w:t>
      </w:r>
      <w:r w:rsidRPr="004554CA">
        <w:rPr>
          <w:lang w:eastAsia="bg-BG"/>
        </w:rPr>
        <w:t xml:space="preserve"> 999,4 млн. лв. по заеми от чужбина.</w:t>
      </w:r>
    </w:p>
    <w:p w14:paraId="5BE6B26D" w14:textId="09B51A49" w:rsidR="00FA6EA6" w:rsidRPr="004554CA" w:rsidRDefault="00FA6EA6" w:rsidP="00FA6EA6">
      <w:pPr>
        <w:spacing w:after="120"/>
        <w:jc w:val="both"/>
        <w:rPr>
          <w:lang w:val="ru-RU" w:eastAsia="bg-BG"/>
        </w:rPr>
      </w:pPr>
      <w:r w:rsidRPr="004554CA">
        <w:rPr>
          <w:lang w:eastAsia="bg-BG"/>
        </w:rPr>
        <w:t>Усвоените средства, в размер на 511,0 млн. евро (999,4 млн. лв.), са по Споразумение за заем между Европейския съюз и Република България за временна подкрепа с цел смекчаване на рисковете от безработица при извънредни обстоятелства (SURE) вследствие на COVID-19, постъпили по централен бюджет през май на два транша, съответно 8-годишен транш от 311 млн. евро и 25-годишен транш от 200 млн. евро.</w:t>
      </w:r>
    </w:p>
    <w:p w14:paraId="3C57F65C" w14:textId="77777777" w:rsidR="00FA6EA6" w:rsidRPr="004554CA" w:rsidRDefault="00FA6EA6" w:rsidP="00FA6EA6">
      <w:pPr>
        <w:tabs>
          <w:tab w:val="num" w:pos="900"/>
          <w:tab w:val="num" w:pos="1500"/>
        </w:tabs>
        <w:spacing w:before="120" w:after="60"/>
        <w:jc w:val="both"/>
        <w:rPr>
          <w:lang w:eastAsia="bg-BG"/>
        </w:rPr>
      </w:pPr>
      <w:r w:rsidRPr="004554CA">
        <w:rPr>
          <w:b/>
          <w:i/>
          <w:lang w:eastAsia="bg-BG"/>
        </w:rPr>
        <w:t>Извършените погашения</w:t>
      </w:r>
      <w:r w:rsidRPr="004554CA">
        <w:rPr>
          <w:lang w:eastAsia="bg-BG"/>
        </w:rPr>
        <w:t xml:space="preserve"> по заеми от чужбина по централния бюджет възлизат на 140,9 млн. лв. и са, както следва:</w:t>
      </w:r>
    </w:p>
    <w:p w14:paraId="1592FD71" w14:textId="77777777" w:rsidR="00FA6EA6" w:rsidRPr="004554CA" w:rsidRDefault="00FA6EA6" w:rsidP="00FA6EA6">
      <w:pPr>
        <w:numPr>
          <w:ilvl w:val="0"/>
          <w:numId w:val="26"/>
        </w:numPr>
        <w:tabs>
          <w:tab w:val="num" w:pos="900"/>
          <w:tab w:val="num" w:pos="1134"/>
        </w:tabs>
        <w:ind w:left="1276" w:hanging="425"/>
        <w:jc w:val="both"/>
        <w:rPr>
          <w:rFonts w:ascii="Arial" w:hAnsi="Arial" w:cs="Arial"/>
          <w:lang w:eastAsia="bg-BG"/>
        </w:rPr>
      </w:pPr>
      <w:r w:rsidRPr="004554CA">
        <w:rPr>
          <w:lang w:eastAsia="bg-BG"/>
        </w:rPr>
        <w:t xml:space="preserve"> 86,8 млн. лв. към Международната банка за възстановяване и развитие; </w:t>
      </w:r>
    </w:p>
    <w:p w14:paraId="43119F9C" w14:textId="77777777" w:rsidR="00FA6EA6" w:rsidRPr="004554CA" w:rsidRDefault="00FA6EA6" w:rsidP="00FA6EA6">
      <w:pPr>
        <w:numPr>
          <w:ilvl w:val="0"/>
          <w:numId w:val="26"/>
        </w:numPr>
        <w:tabs>
          <w:tab w:val="num" w:pos="900"/>
          <w:tab w:val="left" w:pos="1134"/>
        </w:tabs>
        <w:ind w:left="993" w:hanging="142"/>
        <w:jc w:val="both"/>
        <w:rPr>
          <w:rFonts w:ascii="Arial" w:hAnsi="Arial" w:cs="Arial"/>
          <w:lang w:eastAsia="bg-BG"/>
        </w:rPr>
      </w:pPr>
      <w:r w:rsidRPr="004554CA">
        <w:rPr>
          <w:lang w:eastAsia="bg-BG"/>
        </w:rPr>
        <w:t xml:space="preserve"> 44,3 млн. лв. към </w:t>
      </w:r>
      <w:r w:rsidRPr="004554CA">
        <w:rPr>
          <w:rFonts w:cs="Arial"/>
          <w:lang w:eastAsia="bg-BG"/>
        </w:rPr>
        <w:t>Европейската инвестиционна банка</w:t>
      </w:r>
      <w:r w:rsidRPr="004554CA">
        <w:rPr>
          <w:lang w:eastAsia="bg-BG"/>
        </w:rPr>
        <w:t>;</w:t>
      </w:r>
    </w:p>
    <w:p w14:paraId="1624E90F" w14:textId="77777777" w:rsidR="00FA6EA6" w:rsidRPr="004554CA" w:rsidRDefault="00FA6EA6" w:rsidP="00FA6EA6">
      <w:pPr>
        <w:numPr>
          <w:ilvl w:val="0"/>
          <w:numId w:val="26"/>
        </w:numPr>
        <w:tabs>
          <w:tab w:val="num" w:pos="900"/>
          <w:tab w:val="left" w:pos="1134"/>
        </w:tabs>
        <w:ind w:left="993" w:hanging="142"/>
        <w:jc w:val="both"/>
        <w:rPr>
          <w:rFonts w:ascii="Arial" w:hAnsi="Arial" w:cs="Arial"/>
          <w:lang w:eastAsia="bg-BG"/>
        </w:rPr>
      </w:pPr>
      <w:r w:rsidRPr="004554CA">
        <w:rPr>
          <w:rFonts w:cs="Arial"/>
          <w:lang w:eastAsia="bg-BG"/>
        </w:rPr>
        <w:t xml:space="preserve"> 9,8 млн. лв. </w:t>
      </w:r>
      <w:r w:rsidRPr="004554CA">
        <w:rPr>
          <w:lang w:eastAsia="bg-BG"/>
        </w:rPr>
        <w:t>към Банка за развитие на Съвета на Европа</w:t>
      </w:r>
      <w:r w:rsidRPr="004554CA">
        <w:rPr>
          <w:rFonts w:cs="Arial"/>
          <w:lang w:eastAsia="bg-BG"/>
        </w:rPr>
        <w:t>.</w:t>
      </w:r>
    </w:p>
    <w:p w14:paraId="210D9F92" w14:textId="77777777" w:rsidR="00FA6EA6" w:rsidRPr="004554CA" w:rsidRDefault="00FA6EA6" w:rsidP="00FA6EA6">
      <w:pPr>
        <w:spacing w:before="120" w:after="120"/>
        <w:jc w:val="both"/>
      </w:pPr>
      <w:r w:rsidRPr="004554CA">
        <w:rPr>
          <w:lang w:eastAsia="bg-BG"/>
        </w:rPr>
        <w:t xml:space="preserve">По </w:t>
      </w:r>
      <w:r w:rsidRPr="004554CA">
        <w:rPr>
          <w:b/>
          <w:lang w:eastAsia="bg-BG"/>
        </w:rPr>
        <w:t>държавните инвестиционни заеми</w:t>
      </w:r>
      <w:r w:rsidRPr="004554CA">
        <w:rPr>
          <w:lang w:eastAsia="bg-BG"/>
        </w:rPr>
        <w:t xml:space="preserve">, управлявани от министерства и ведомства, през отчетния период няма </w:t>
      </w:r>
      <w:r w:rsidRPr="004554CA">
        <w:rPr>
          <w:b/>
          <w:i/>
          <w:lang w:eastAsia="bg-BG"/>
        </w:rPr>
        <w:t>усвоени</w:t>
      </w:r>
      <w:r w:rsidRPr="004554CA">
        <w:rPr>
          <w:lang w:eastAsia="bg-BG"/>
        </w:rPr>
        <w:t xml:space="preserve"> средства</w:t>
      </w:r>
      <w:r w:rsidRPr="004554CA">
        <w:t xml:space="preserve">. </w:t>
      </w:r>
    </w:p>
    <w:p w14:paraId="22AF6395" w14:textId="2A40F787" w:rsidR="00FA6EA6" w:rsidRPr="004554CA" w:rsidRDefault="00FA6EA6" w:rsidP="00FA6EA6">
      <w:pPr>
        <w:spacing w:after="120"/>
        <w:jc w:val="both"/>
      </w:pPr>
      <w:r w:rsidRPr="004554CA">
        <w:rPr>
          <w:b/>
          <w:i/>
          <w:lang w:eastAsia="bg-BG"/>
        </w:rPr>
        <w:t>Изплатените погашения</w:t>
      </w:r>
      <w:r w:rsidRPr="004554CA">
        <w:rPr>
          <w:lang w:eastAsia="bg-BG"/>
        </w:rPr>
        <w:t xml:space="preserve"> по ДИЗ, управлявани от министерства и ведомства, са в размер на 1</w:t>
      </w:r>
      <w:r w:rsidRPr="004554CA">
        <w:rPr>
          <w:lang w:val="ru-RU" w:eastAsia="bg-BG"/>
        </w:rPr>
        <w:t>17,</w:t>
      </w:r>
      <w:r w:rsidR="008C7C61">
        <w:rPr>
          <w:lang w:val="ru-RU" w:eastAsia="bg-BG"/>
        </w:rPr>
        <w:t>2</w:t>
      </w:r>
      <w:r w:rsidRPr="004554CA">
        <w:rPr>
          <w:lang w:eastAsia="bg-BG"/>
        </w:rPr>
        <w:t xml:space="preserve"> млн. лв. По заемите с краен бенефициент търговско дружество извършените погашения са в размер на 19,</w:t>
      </w:r>
      <w:r w:rsidR="008C7C61">
        <w:rPr>
          <w:lang w:eastAsia="bg-BG"/>
        </w:rPr>
        <w:t>1</w:t>
      </w:r>
      <w:r w:rsidRPr="004554CA">
        <w:rPr>
          <w:lang w:eastAsia="bg-BG"/>
        </w:rPr>
        <w:t xml:space="preserve"> млн. лева.</w:t>
      </w:r>
    </w:p>
    <w:p w14:paraId="3D8BFFCE" w14:textId="77777777" w:rsidR="00FA6EA6" w:rsidRPr="004554CA" w:rsidRDefault="00FA6EA6" w:rsidP="00FA6EA6">
      <w:pPr>
        <w:spacing w:after="120"/>
        <w:jc w:val="both"/>
        <w:rPr>
          <w:lang w:eastAsia="bg-BG"/>
        </w:rPr>
      </w:pPr>
      <w:r w:rsidRPr="004554CA">
        <w:rPr>
          <w:lang w:eastAsia="bg-BG"/>
        </w:rPr>
        <w:lastRenderedPageBreak/>
        <w:t>Не са използвани средства, предвидени за покриване на риска от активиране на държавни гаранции.</w:t>
      </w:r>
    </w:p>
    <w:p w14:paraId="3EE14FE9" w14:textId="1344A004" w:rsidR="00FA6EA6" w:rsidRPr="004554CA" w:rsidRDefault="00FA6EA6" w:rsidP="00FA6EA6">
      <w:pPr>
        <w:spacing w:after="60"/>
        <w:jc w:val="both"/>
        <w:rPr>
          <w:lang w:eastAsia="bg-BG"/>
        </w:rPr>
      </w:pPr>
      <w:r w:rsidRPr="004554CA">
        <w:rPr>
          <w:lang w:eastAsia="bg-BG"/>
        </w:rPr>
        <w:t xml:space="preserve">Операции с </w:t>
      </w:r>
      <w:r w:rsidRPr="004554CA">
        <w:rPr>
          <w:b/>
          <w:lang w:eastAsia="bg-BG"/>
        </w:rPr>
        <w:t xml:space="preserve">държавни ценни книжа </w:t>
      </w:r>
      <w:r w:rsidRPr="004554CA">
        <w:rPr>
          <w:lang w:eastAsia="bg-BG"/>
        </w:rPr>
        <w:t xml:space="preserve">по централния бюджет </w:t>
      </w:r>
      <w:r w:rsidRPr="004554CA">
        <w:rPr>
          <w:b/>
          <w:lang w:eastAsia="bg-BG"/>
        </w:rPr>
        <w:t>(позиция във вътрешното финансиране):</w:t>
      </w:r>
      <w:r w:rsidRPr="004554CA">
        <w:rPr>
          <w:lang w:eastAsia="bg-BG"/>
        </w:rPr>
        <w:t xml:space="preserve"> В края на месец декември 2021 г. е отчетено положително нетно вътрешно финансиране на бюджета с държавни ценни книжа (ДЦК) в размер на </w:t>
      </w:r>
      <w:r w:rsidRPr="004554CA">
        <w:rPr>
          <w:lang w:val="ru-RU" w:eastAsia="bg-BG"/>
        </w:rPr>
        <w:t>2</w:t>
      </w:r>
      <w:r w:rsidRPr="004554CA">
        <w:rPr>
          <w:lang w:val="en-US" w:eastAsia="bg-BG"/>
        </w:rPr>
        <w:t> </w:t>
      </w:r>
      <w:r w:rsidRPr="004554CA">
        <w:rPr>
          <w:lang w:eastAsia="bg-BG"/>
        </w:rPr>
        <w:t>959,2 млн. лв. Общият размер на постъпленията от емисии на ДЦК е 3 758,4 млн. лв. или са емитирани 3 800,0 млн. лв. ДЦК на обща номинална стойност, както следва: през февруари - петгодишни облигации в обем 200 млн. лв. номинална стойност при постигната среднопретеглена годишна доходност в размер на (-0,17) и облигации с матуритет десет години и 6 месеца с номинална стойност 300 млн. лв. при постигната среднопретеглена годишна доходност в размер на 0,14 %; на 22 март Министерството на финансите (МФ) преотвори емисия петгодишни ДЦК (деноминирана в лева с падеж 24.02.2026 година), като на проведения аукцион са пласирани ДЦК за 300 млн. лв. съвкупна номинална стойност при среднопретеглена годишна доходност в размер на (-0,10 %). През септември са проведени два аукциона за пласмент на ДЦК, като на 7 септември 2021 г. МФ преотвори и пласира емисия 5-годишни ДЦК за 200 млн. лв. съвкупна номинална стойност при постигната среднопретеглена годишна доходност в размер от (-0,15 %) и съответно - на 20 септември 2021 г. емисия 10,5-годишни ДЦК за 300 млн. лв. съвкупна номинална стойност при постигната среднопретеглена годишна доходност в размер на 0,20 %. През октомври са проведени два аукциона за пласмент на ДЦК, като на 11 октомври 2021 г. МФ преотвори емисия 5-годишни ДЦК и бяха пласирани успешно ДЦК за 500 млн. лв. съвкупна номинална стойност при среднопретеглена годишна доходност в размер на -0,02 % и на 25 октомври 2021 г. МФ преотвори емисия 10,5-годишни ДЦК. На проведения аукцион бяха пласирани успешно ДЦК за 500 млн. лв. съвкупна номинална стойност при среднопретеглена годишна доходност в размер на 0,53 %. През ноември са проведени 3 аукциона за пласмент на ДЦК. На 8 ноември 2021 г. МФ преотвори емисия 5-годишни ДЦК, бяха пласирани успешно ДЦК за 500 млн. лв. съвкупна номинална стойност при средно</w:t>
      </w:r>
      <w:r w:rsidRPr="004554CA">
        <w:rPr>
          <w:lang w:val="ru-RU" w:eastAsia="bg-BG"/>
        </w:rPr>
        <w:t>-</w:t>
      </w:r>
      <w:r w:rsidRPr="004554CA">
        <w:rPr>
          <w:lang w:eastAsia="bg-BG"/>
        </w:rPr>
        <w:t xml:space="preserve"> претеглена годишна доходност в размер на 0,27 %. На 15 ноември 2021 г. МФ пусна в обращение нова емисия 3,5-годишни ДЦК, на проведения аукцион бяха пласирани успешно ДЦК за 500 млн. лв. съвкупна номинална стойност при среднопретеглена годишна доходност в размер на 0,13 %. На 22 ноември 2021 г. МФ пусна в обращение нова емисия 7,5-годишни ДЦК, на проведения аукцион бяха пласирани успешно ДЦК за 500 млн. лв. съвкупна номинална стойност при среднопретеглена годишна доходност в размер на 0,49 %.</w:t>
      </w:r>
    </w:p>
    <w:p w14:paraId="64C381D2" w14:textId="77777777" w:rsidR="00FA6EA6" w:rsidRPr="004554CA" w:rsidRDefault="00FA6EA6" w:rsidP="00FA6EA6">
      <w:pPr>
        <w:spacing w:after="60"/>
        <w:jc w:val="both"/>
        <w:rPr>
          <w:lang w:eastAsia="bg-BG"/>
        </w:rPr>
      </w:pPr>
      <w:r w:rsidRPr="004554CA">
        <w:rPr>
          <w:lang w:eastAsia="bg-BG"/>
        </w:rPr>
        <w:t xml:space="preserve">Отчетените погашения в края на декември 2021 г. са в размер на 799,2 млн. лв., в т.ч. през февруари Министерството на финансите погаси емисия 4-годишни ДЦК от 2017 г. в обем от 200 млн. лв. и 7-годишни ДЦК от 2014 г. в размер на 145 млн. евро (283,6 млн. лв.) номинална стойност; през </w:t>
      </w:r>
      <w:r w:rsidRPr="004554CA">
        <w:rPr>
          <w:rFonts w:eastAsia="Calibri"/>
        </w:rPr>
        <w:t xml:space="preserve">юли </w:t>
      </w:r>
      <w:r w:rsidRPr="004554CA">
        <w:rPr>
          <w:lang w:eastAsia="bg-BG"/>
        </w:rPr>
        <w:t>емисия 10,5-годишни ДЦК от 2011 г. в обем 315,6 млн. лева.</w:t>
      </w:r>
    </w:p>
    <w:p w14:paraId="1F082796" w14:textId="77777777" w:rsidR="0004753C" w:rsidRPr="008D6455" w:rsidRDefault="0004753C" w:rsidP="006531A3">
      <w:pPr>
        <w:pStyle w:val="Heading1"/>
        <w:numPr>
          <w:ilvl w:val="1"/>
          <w:numId w:val="10"/>
        </w:numPr>
        <w:tabs>
          <w:tab w:val="left" w:pos="993"/>
        </w:tabs>
        <w:spacing w:before="240" w:after="120"/>
        <w:ind w:left="709" w:right="-108" w:hanging="425"/>
        <w:jc w:val="both"/>
        <w:rPr>
          <w:sz w:val="24"/>
        </w:rPr>
      </w:pPr>
      <w:r w:rsidRPr="008D6455">
        <w:rPr>
          <w:sz w:val="24"/>
        </w:rPr>
        <w:t>Бюджет на съдебната власт</w:t>
      </w:r>
    </w:p>
    <w:p w14:paraId="16E36B54" w14:textId="6B622037" w:rsidR="005B6604" w:rsidRPr="00BA4AB9" w:rsidRDefault="005B6604" w:rsidP="00D80BC7">
      <w:pPr>
        <w:jc w:val="both"/>
        <w:rPr>
          <w:color w:val="0070C0"/>
        </w:rPr>
      </w:pPr>
      <w:r w:rsidRPr="008D6455">
        <w:t>Със ЗДБРБ за 20</w:t>
      </w:r>
      <w:r w:rsidR="007C1025" w:rsidRPr="008D6455">
        <w:t>21</w:t>
      </w:r>
      <w:r w:rsidRPr="008D6455">
        <w:t xml:space="preserve"> г. са предвидени общо </w:t>
      </w:r>
      <w:r w:rsidRPr="008D6455">
        <w:rPr>
          <w:b/>
        </w:rPr>
        <w:t>приходи</w:t>
      </w:r>
      <w:r w:rsidRPr="008D6455">
        <w:t xml:space="preserve"> по бюджета на съдебната власт в </w:t>
      </w:r>
      <w:r w:rsidR="007C1025" w:rsidRPr="008D6455">
        <w:t>размер на 109,0 млн. лв., от тях 93</w:t>
      </w:r>
      <w:r w:rsidRPr="008D6455">
        <w:t xml:space="preserve">,0 млн. лв. са приходи от съдебни такси. </w:t>
      </w:r>
      <w:r w:rsidR="008D6455" w:rsidRPr="008D6455">
        <w:t>За</w:t>
      </w:r>
      <w:r w:rsidR="007C1025" w:rsidRPr="008D6455">
        <w:t xml:space="preserve"> 2021</w:t>
      </w:r>
      <w:r w:rsidRPr="008D6455">
        <w:t xml:space="preserve"> г. са отчетени приходи в размер на </w:t>
      </w:r>
      <w:r w:rsidR="008D6455" w:rsidRPr="008D6455">
        <w:t>99,8</w:t>
      </w:r>
      <w:r w:rsidRPr="008D6455">
        <w:t xml:space="preserve"> млн. лв. (</w:t>
      </w:r>
      <w:r w:rsidR="008D6455" w:rsidRPr="008D6455">
        <w:t>91,5</w:t>
      </w:r>
      <w:r w:rsidRPr="008D6455">
        <w:t xml:space="preserve"> % от планираните), от които </w:t>
      </w:r>
      <w:r w:rsidR="008D6455" w:rsidRPr="008D6455">
        <w:t>82,9</w:t>
      </w:r>
      <w:r w:rsidRPr="008D6455">
        <w:t xml:space="preserve"> млн. лв. - приходи от съдебни такси. </w:t>
      </w:r>
      <w:r w:rsidR="008D6455" w:rsidRPr="002C0363">
        <w:t xml:space="preserve">За сравнение за </w:t>
      </w:r>
      <w:r w:rsidR="000B49EE" w:rsidRPr="002C0363">
        <w:t>2020</w:t>
      </w:r>
      <w:r w:rsidRPr="002C0363">
        <w:t xml:space="preserve"> г. са отчетени общо приходи в размер на </w:t>
      </w:r>
      <w:r w:rsidR="008D6455" w:rsidRPr="002C0363">
        <w:t>98,3</w:t>
      </w:r>
      <w:r w:rsidRPr="002C0363">
        <w:t xml:space="preserve"> млн. лв. (</w:t>
      </w:r>
      <w:r w:rsidR="002C0363" w:rsidRPr="002C0363">
        <w:t>84</w:t>
      </w:r>
      <w:r w:rsidR="00BE153D" w:rsidRPr="002C0363">
        <w:t>,</w:t>
      </w:r>
      <w:r w:rsidR="002C0363" w:rsidRPr="002C0363">
        <w:t>7</w:t>
      </w:r>
      <w:r w:rsidRPr="002C0363">
        <w:t xml:space="preserve"> % от </w:t>
      </w:r>
      <w:r w:rsidR="00272CBF" w:rsidRPr="002C0363">
        <w:t>планираните</w:t>
      </w:r>
      <w:r w:rsidRPr="002C0363">
        <w:t xml:space="preserve">), от които </w:t>
      </w:r>
      <w:r w:rsidR="002C0363" w:rsidRPr="002C0363">
        <w:t>81,8</w:t>
      </w:r>
      <w:r w:rsidRPr="002C0363">
        <w:t xml:space="preserve"> млн. лв. - приходи от съдебни такси.</w:t>
      </w:r>
    </w:p>
    <w:p w14:paraId="2D993415" w14:textId="41035867" w:rsidR="005B6604" w:rsidRPr="00BA4AB9" w:rsidRDefault="005B6604" w:rsidP="00D80BC7">
      <w:pPr>
        <w:spacing w:before="120"/>
        <w:jc w:val="both"/>
        <w:rPr>
          <w:color w:val="0070C0"/>
        </w:rPr>
      </w:pPr>
      <w:r w:rsidRPr="002C0363">
        <w:rPr>
          <w:b/>
        </w:rPr>
        <w:t xml:space="preserve">Разходите </w:t>
      </w:r>
      <w:r w:rsidRPr="002C0363">
        <w:t>по бюджета на съдебната власт</w:t>
      </w:r>
      <w:r w:rsidRPr="002C0363">
        <w:rPr>
          <w:b/>
        </w:rPr>
        <w:t xml:space="preserve"> </w:t>
      </w:r>
      <w:r w:rsidR="002C0363" w:rsidRPr="002C0363">
        <w:t xml:space="preserve">за </w:t>
      </w:r>
      <w:r w:rsidR="000B49EE" w:rsidRPr="002C0363">
        <w:t>2021</w:t>
      </w:r>
      <w:r w:rsidRPr="002C0363">
        <w:t xml:space="preserve"> г.</w:t>
      </w:r>
      <w:r w:rsidRPr="002C0363">
        <w:rPr>
          <w:b/>
        </w:rPr>
        <w:t xml:space="preserve"> </w:t>
      </w:r>
      <w:r w:rsidRPr="002C0363">
        <w:t xml:space="preserve">са в размер на </w:t>
      </w:r>
      <w:r w:rsidR="002C0363" w:rsidRPr="002C0363">
        <w:t>850</w:t>
      </w:r>
      <w:r w:rsidR="006E0AAE" w:rsidRPr="002C0363">
        <w:t>,9</w:t>
      </w:r>
      <w:r w:rsidRPr="002C0363">
        <w:t xml:space="preserve"> млн. лв. или </w:t>
      </w:r>
      <w:r w:rsidR="002C0363" w:rsidRPr="002C0363">
        <w:t>96,7</w:t>
      </w:r>
      <w:r w:rsidRPr="002C0363">
        <w:t> % от планираните за годината (</w:t>
      </w:r>
      <w:r w:rsidR="000B49EE" w:rsidRPr="002C0363">
        <w:t>880</w:t>
      </w:r>
      <w:r w:rsidRPr="002C0363">
        <w:t>,3 млн. лв.). За сра</w:t>
      </w:r>
      <w:r w:rsidR="002C0363">
        <w:t>внение з</w:t>
      </w:r>
      <w:r w:rsidR="000B49EE" w:rsidRPr="002C0363">
        <w:t>а 2020</w:t>
      </w:r>
      <w:r w:rsidRPr="002C0363">
        <w:t xml:space="preserve"> г. са отчетени разходи в размер </w:t>
      </w:r>
      <w:r w:rsidR="002C0363" w:rsidRPr="002C0363">
        <w:t>760,4</w:t>
      </w:r>
      <w:r w:rsidRPr="002C0363">
        <w:t xml:space="preserve"> млн. лв., които представляват </w:t>
      </w:r>
      <w:r w:rsidR="002C0363" w:rsidRPr="002C0363">
        <w:t>98,6</w:t>
      </w:r>
      <w:r w:rsidRPr="002C0363">
        <w:t xml:space="preserve"> % от определените с годишния закон </w:t>
      </w:r>
      <w:r w:rsidR="000B49EE" w:rsidRPr="002C0363">
        <w:t>771</w:t>
      </w:r>
      <w:r w:rsidR="00B86928" w:rsidRPr="002C0363">
        <w:t>,3</w:t>
      </w:r>
      <w:r w:rsidRPr="002C0363">
        <w:t xml:space="preserve"> млн. лева. За </w:t>
      </w:r>
      <w:r w:rsidR="000B49EE" w:rsidRPr="002C0363">
        <w:t>2021</w:t>
      </w:r>
      <w:r w:rsidRPr="002C0363">
        <w:t xml:space="preserve"> г. с най-голям относителен дял от отчетените разходи са тези за персонал – </w:t>
      </w:r>
      <w:r w:rsidR="00230E2C" w:rsidRPr="00230E2C">
        <w:t>91,3</w:t>
      </w:r>
      <w:r w:rsidRPr="00230E2C">
        <w:t xml:space="preserve"> % (</w:t>
      </w:r>
      <w:r w:rsidR="002C0363" w:rsidRPr="00230E2C">
        <w:t>776,9</w:t>
      </w:r>
      <w:r w:rsidRPr="00230E2C">
        <w:t xml:space="preserve"> млн. лв.).</w:t>
      </w:r>
    </w:p>
    <w:p w14:paraId="696FD6CE" w14:textId="77777777" w:rsidR="00F521AA" w:rsidRPr="00E87581" w:rsidRDefault="00F521AA" w:rsidP="00F521AA">
      <w:pPr>
        <w:pStyle w:val="Heading1"/>
        <w:numPr>
          <w:ilvl w:val="0"/>
          <w:numId w:val="10"/>
        </w:numPr>
        <w:spacing w:before="240" w:after="120"/>
        <w:ind w:left="748" w:right="-108" w:hanging="391"/>
        <w:jc w:val="both"/>
        <w:rPr>
          <w:sz w:val="24"/>
        </w:rPr>
      </w:pPr>
      <w:r w:rsidRPr="00E87581">
        <w:rPr>
          <w:sz w:val="24"/>
        </w:rPr>
        <w:lastRenderedPageBreak/>
        <w:t xml:space="preserve">Сметки за средства от ЕС на Разплащателната агенция към ДФ „Земеделие“ и на Националния фонд към Министерството на финансите </w:t>
      </w:r>
    </w:p>
    <w:p w14:paraId="02907A20" w14:textId="77777777" w:rsidR="00F521AA" w:rsidRPr="00E87581" w:rsidRDefault="00F521AA" w:rsidP="00F521AA">
      <w:pPr>
        <w:pStyle w:val="Heading1"/>
        <w:numPr>
          <w:ilvl w:val="1"/>
          <w:numId w:val="10"/>
        </w:numPr>
        <w:spacing w:after="120"/>
        <w:ind w:left="788" w:right="-108" w:hanging="431"/>
        <w:jc w:val="both"/>
        <w:rPr>
          <w:sz w:val="24"/>
        </w:rPr>
      </w:pPr>
      <w:r w:rsidRPr="00E87581">
        <w:rPr>
          <w:sz w:val="24"/>
        </w:rPr>
        <w:t xml:space="preserve"> Сметка за Европейски средства на Разплащателна агенция към Държавен фонд „Земеделие” </w:t>
      </w:r>
    </w:p>
    <w:p w14:paraId="7BA9D691" w14:textId="77777777" w:rsidR="00063CF1" w:rsidRPr="00E87581" w:rsidRDefault="00063CF1" w:rsidP="00A750C5">
      <w:pPr>
        <w:numPr>
          <w:ilvl w:val="0"/>
          <w:numId w:val="23"/>
        </w:numPr>
        <w:tabs>
          <w:tab w:val="num" w:pos="540"/>
        </w:tabs>
        <w:spacing w:before="120" w:after="120" w:line="276" w:lineRule="auto"/>
        <w:contextualSpacing/>
        <w:jc w:val="both"/>
        <w:rPr>
          <w:b/>
          <w:lang w:eastAsia="bg-BG"/>
        </w:rPr>
      </w:pPr>
      <w:r w:rsidRPr="00E87581">
        <w:rPr>
          <w:b/>
          <w:lang w:eastAsia="bg-BG"/>
        </w:rPr>
        <w:t>Приходи</w:t>
      </w:r>
    </w:p>
    <w:p w14:paraId="24E7DE07" w14:textId="77777777" w:rsidR="00E87581" w:rsidRPr="00A0139B" w:rsidRDefault="00E87581" w:rsidP="00E87581">
      <w:pPr>
        <w:ind w:firstLine="567"/>
        <w:jc w:val="both"/>
        <w:rPr>
          <w:color w:val="000000" w:themeColor="text1"/>
        </w:rPr>
      </w:pPr>
      <w:r w:rsidRPr="00A0139B">
        <w:rPr>
          <w:color w:val="000000" w:themeColor="text1"/>
        </w:rPr>
        <w:t xml:space="preserve">За 2021 г. планираните приходи по утвърдените актуализирани годишни разчети на сметката за средства от Европейския съюз на Разплащателната агенция към ДФ „Земеделие” са в размер на 467,1 млн. лева. Към 31.12.2021 г. постъпленията са в размер на 461,6 млн. лв., което представлява 98,8 % от годишния план, при 101,4 % изпълнение на годишния план за предходната година. </w:t>
      </w:r>
      <w:r w:rsidRPr="00A0139B">
        <w:rPr>
          <w:rFonts w:eastAsiaTheme="minorHAnsi"/>
          <w:color w:val="000000" w:themeColor="text1"/>
        </w:rPr>
        <w:t>Приходната част е формирана от помощи и дарения от чужбина, приходи от наказателни лихви и коректив на касови постъпления, разпределени както следва:</w:t>
      </w:r>
    </w:p>
    <w:p w14:paraId="6E3D7DEB" w14:textId="77777777" w:rsidR="00E87581" w:rsidRPr="00A0139B" w:rsidRDefault="00E87581" w:rsidP="00E87581">
      <w:pPr>
        <w:numPr>
          <w:ilvl w:val="0"/>
          <w:numId w:val="22"/>
        </w:numPr>
        <w:tabs>
          <w:tab w:val="left" w:pos="993"/>
        </w:tabs>
        <w:spacing w:before="120" w:after="120"/>
        <w:ind w:left="1321" w:hanging="612"/>
        <w:jc w:val="both"/>
        <w:rPr>
          <w:b/>
          <w:i/>
          <w:color w:val="000000" w:themeColor="text1"/>
        </w:rPr>
      </w:pPr>
      <w:r w:rsidRPr="00A0139B">
        <w:rPr>
          <w:b/>
          <w:i/>
          <w:color w:val="000000" w:themeColor="text1"/>
        </w:rPr>
        <w:t>Текущи помощи и дарения от Европейския съюз</w:t>
      </w:r>
    </w:p>
    <w:p w14:paraId="4814963C" w14:textId="77777777" w:rsidR="00E87581" w:rsidRPr="009D1FAC" w:rsidRDefault="00E87581" w:rsidP="00E87581">
      <w:pPr>
        <w:ind w:firstLine="567"/>
        <w:jc w:val="both"/>
        <w:rPr>
          <w:color w:val="000000" w:themeColor="text1"/>
        </w:rPr>
      </w:pPr>
      <w:r w:rsidRPr="009D1FAC">
        <w:rPr>
          <w:color w:val="000000" w:themeColor="text1"/>
        </w:rPr>
        <w:t>Общият размер на получените приходи, отчетени в „Текущи помощи и дарения от Европейския съюз“ за 2021 г. е 81,5 млн. лв. при планирани за годината средства в размер на 81,5 млн. лева.</w:t>
      </w:r>
    </w:p>
    <w:p w14:paraId="58D44AFF" w14:textId="77777777" w:rsidR="00E87581" w:rsidRPr="009D1FAC" w:rsidRDefault="00E87581" w:rsidP="00E87581">
      <w:pPr>
        <w:ind w:firstLine="567"/>
        <w:jc w:val="both"/>
        <w:rPr>
          <w:color w:val="000000" w:themeColor="text1"/>
        </w:rPr>
      </w:pPr>
      <w:r w:rsidRPr="009D1FAC">
        <w:rPr>
          <w:color w:val="000000" w:themeColor="text1"/>
        </w:rPr>
        <w:t>Получените текущи приходи от възстановяване на средства от Европейски земеделски фонд за развитие на селските райони (ЕЗФРСР) по линия на ПРСР, без директни плащания, за 2021 г. възлизат на 67,1 млн. лв., което е изпълнение от 100 % на планираните за годината средства. За сравнение, през 2020 г. текущите приходи по ПРСР са 41,3 млн. лева.</w:t>
      </w:r>
    </w:p>
    <w:p w14:paraId="634DF240" w14:textId="77777777" w:rsidR="00E87581" w:rsidRPr="005815F0" w:rsidRDefault="00E87581" w:rsidP="00E87581">
      <w:pPr>
        <w:ind w:firstLine="567"/>
        <w:jc w:val="both"/>
        <w:rPr>
          <w:color w:val="000000" w:themeColor="text1"/>
        </w:rPr>
      </w:pPr>
      <w:r w:rsidRPr="005815F0">
        <w:rPr>
          <w:color w:val="000000" w:themeColor="text1"/>
        </w:rPr>
        <w:t xml:space="preserve">Получените текущи приходи от възстановяване на средства по линия на схемите „Училищен плод“ и „Училищно мляко“ от Европейски фонд за гарантиране на земеделието (EФГЗ) през 2021 г. са 7,1 млн. лв., което е 100 % изпълнение на планираните за годината средства. За сравнение, за предходната година възстановените суми по това направление са 97,2 % от годишния план. </w:t>
      </w:r>
    </w:p>
    <w:p w14:paraId="40536461" w14:textId="77777777" w:rsidR="00E87581" w:rsidRPr="005815F0" w:rsidRDefault="00E87581" w:rsidP="00E87581">
      <w:pPr>
        <w:ind w:firstLine="567"/>
        <w:jc w:val="both"/>
        <w:rPr>
          <w:color w:val="000000" w:themeColor="text1"/>
        </w:rPr>
      </w:pPr>
      <w:r w:rsidRPr="005815F0">
        <w:rPr>
          <w:color w:val="000000" w:themeColor="text1"/>
        </w:rPr>
        <w:t xml:space="preserve">През 2021 г. са получени 7,3 млн. лв. текущи приходи, възстановени средства от Европейския фонд за морско дело и рибарство (ЕФМДР), което представлява изпълнение от 100 % на планираните за годината средства. За предходната година изпълнението също е 100 процента. </w:t>
      </w:r>
    </w:p>
    <w:p w14:paraId="5A3EC2FD" w14:textId="77777777" w:rsidR="00E87581" w:rsidRPr="005815F0" w:rsidRDefault="00E87581" w:rsidP="00E87581">
      <w:pPr>
        <w:numPr>
          <w:ilvl w:val="0"/>
          <w:numId w:val="22"/>
        </w:numPr>
        <w:tabs>
          <w:tab w:val="left" w:pos="993"/>
        </w:tabs>
        <w:spacing w:before="120" w:after="120"/>
        <w:ind w:left="1321" w:hanging="612"/>
        <w:jc w:val="both"/>
        <w:rPr>
          <w:b/>
          <w:i/>
          <w:color w:val="000000" w:themeColor="text1"/>
        </w:rPr>
      </w:pPr>
      <w:r w:rsidRPr="005815F0">
        <w:rPr>
          <w:b/>
          <w:i/>
          <w:color w:val="000000" w:themeColor="text1"/>
        </w:rPr>
        <w:t>Капиталови помощи и дарения от Европейския съюз</w:t>
      </w:r>
    </w:p>
    <w:p w14:paraId="34CB5760" w14:textId="77777777" w:rsidR="00E87581" w:rsidRPr="00B23EFD" w:rsidRDefault="00E87581" w:rsidP="00E87581">
      <w:pPr>
        <w:ind w:firstLine="567"/>
        <w:jc w:val="both"/>
        <w:rPr>
          <w:color w:val="000000" w:themeColor="text1"/>
        </w:rPr>
      </w:pPr>
      <w:r w:rsidRPr="00B23EFD">
        <w:rPr>
          <w:color w:val="000000" w:themeColor="text1"/>
        </w:rPr>
        <w:t>Общият размер на получените приходи, отчетени в „Капиталови помощи и дарения от Европейския съюз“ през 2021 г. е 385,6 млн. лв. при планирани за годината 385,6 млн. лева.</w:t>
      </w:r>
    </w:p>
    <w:p w14:paraId="77E3D430" w14:textId="77777777" w:rsidR="00E87581" w:rsidRPr="00221608" w:rsidRDefault="00E87581" w:rsidP="00E87581">
      <w:pPr>
        <w:ind w:firstLine="567"/>
        <w:jc w:val="both"/>
        <w:rPr>
          <w:color w:val="000000" w:themeColor="text1"/>
        </w:rPr>
      </w:pPr>
      <w:r w:rsidRPr="00221608">
        <w:rPr>
          <w:color w:val="000000" w:themeColor="text1"/>
        </w:rPr>
        <w:t>Получените капиталови приходи от ЕЗФРСР по линия на ПРСР без директни плащания през 2021 г. са 371,0 млн. лв., което е 100 % изпълнение на годишния план. За сравнение, през 2020 г. са получени 344,2 млн. лева.</w:t>
      </w:r>
    </w:p>
    <w:p w14:paraId="7A503F3A" w14:textId="77777777" w:rsidR="00E87581" w:rsidRPr="00221608" w:rsidRDefault="00E87581" w:rsidP="00E87581">
      <w:pPr>
        <w:ind w:firstLine="567"/>
        <w:jc w:val="both"/>
        <w:rPr>
          <w:color w:val="000000" w:themeColor="text1"/>
        </w:rPr>
      </w:pPr>
      <w:r w:rsidRPr="00221608">
        <w:rPr>
          <w:color w:val="000000" w:themeColor="text1"/>
        </w:rPr>
        <w:t xml:space="preserve">През 2021 г. са  получени капиталови приходи в размер на 13,8 млн. лв. </w:t>
      </w:r>
      <w:r w:rsidRPr="00221608">
        <w:rPr>
          <w:rFonts w:eastAsiaTheme="minorHAnsi"/>
          <w:color w:val="000000" w:themeColor="text1"/>
        </w:rPr>
        <w:t>от фонд ЕФМДР</w:t>
      </w:r>
      <w:r w:rsidRPr="00221608">
        <w:rPr>
          <w:color w:val="000000" w:themeColor="text1"/>
        </w:rPr>
        <w:t xml:space="preserve"> при планирани за годината 13,8 млн. лв., което е 100</w:t>
      </w:r>
      <w:r w:rsidRPr="00221608">
        <w:rPr>
          <w:rFonts w:eastAsiaTheme="minorHAnsi"/>
          <w:color w:val="000000" w:themeColor="text1"/>
        </w:rPr>
        <w:t xml:space="preserve"> % изпълнение на плана за годината. </w:t>
      </w:r>
      <w:r w:rsidRPr="00221608">
        <w:rPr>
          <w:color w:val="000000" w:themeColor="text1"/>
        </w:rPr>
        <w:t>За сравнение, изпълнението на годишния план за 2020 г. е 93,4 процента.</w:t>
      </w:r>
    </w:p>
    <w:p w14:paraId="739695C5" w14:textId="38EB4F77" w:rsidR="00E87581" w:rsidRPr="00221608" w:rsidRDefault="00E87581" w:rsidP="00E87581">
      <w:pPr>
        <w:ind w:firstLine="567"/>
        <w:jc w:val="both"/>
        <w:rPr>
          <w:color w:val="000000" w:themeColor="text1"/>
        </w:rPr>
      </w:pPr>
      <w:r w:rsidRPr="00221608">
        <w:rPr>
          <w:color w:val="000000" w:themeColor="text1"/>
        </w:rPr>
        <w:t xml:space="preserve">През 2021 г. са </w:t>
      </w:r>
      <w:r w:rsidR="00FF44C5">
        <w:rPr>
          <w:color w:val="000000" w:themeColor="text1"/>
        </w:rPr>
        <w:t>получени</w:t>
      </w:r>
      <w:r w:rsidRPr="00221608">
        <w:rPr>
          <w:color w:val="000000" w:themeColor="text1"/>
        </w:rPr>
        <w:t xml:space="preserve"> 0,8 млн. лв. капиталови приходи от ЕФГЗ за пазарни мерки.</w:t>
      </w:r>
    </w:p>
    <w:p w14:paraId="72FC9096" w14:textId="77777777" w:rsidR="00E87581" w:rsidRPr="003364DA" w:rsidRDefault="00E87581" w:rsidP="00E87581">
      <w:pPr>
        <w:numPr>
          <w:ilvl w:val="0"/>
          <w:numId w:val="22"/>
        </w:numPr>
        <w:tabs>
          <w:tab w:val="left" w:pos="993"/>
        </w:tabs>
        <w:spacing w:before="120" w:after="120"/>
        <w:ind w:left="1321" w:hanging="612"/>
        <w:jc w:val="both"/>
        <w:rPr>
          <w:b/>
          <w:i/>
          <w:color w:val="000000" w:themeColor="text1"/>
        </w:rPr>
      </w:pPr>
      <w:r w:rsidRPr="003364DA">
        <w:rPr>
          <w:b/>
          <w:i/>
          <w:color w:val="000000" w:themeColor="text1"/>
        </w:rPr>
        <w:t>Приходи от наказателни лихви</w:t>
      </w:r>
    </w:p>
    <w:p w14:paraId="5E43CB98" w14:textId="572D3479" w:rsidR="00E87581" w:rsidRPr="003364DA" w:rsidRDefault="00E87581" w:rsidP="00E87581">
      <w:pPr>
        <w:tabs>
          <w:tab w:val="left" w:pos="993"/>
        </w:tabs>
        <w:spacing w:before="120" w:after="120"/>
        <w:ind w:firstLine="567"/>
        <w:jc w:val="both"/>
        <w:rPr>
          <w:color w:val="000000" w:themeColor="text1"/>
        </w:rPr>
      </w:pPr>
      <w:r w:rsidRPr="003364DA">
        <w:rPr>
          <w:color w:val="000000" w:themeColor="text1"/>
        </w:rPr>
        <w:t xml:space="preserve">През 2021 г. са отчетени приходи от </w:t>
      </w:r>
      <w:r w:rsidR="00FF44C5">
        <w:rPr>
          <w:color w:val="000000" w:themeColor="text1"/>
        </w:rPr>
        <w:t>н</w:t>
      </w:r>
      <w:r w:rsidRPr="003364DA">
        <w:rPr>
          <w:color w:val="000000" w:themeColor="text1"/>
        </w:rPr>
        <w:t>аказателни лихви, свързани с вземания за възстановяване на средства от ЕК в размер на 1,6 млн. лева.</w:t>
      </w:r>
    </w:p>
    <w:p w14:paraId="69E65EDB" w14:textId="77777777" w:rsidR="00E87581" w:rsidRPr="003364DA" w:rsidRDefault="00E87581" w:rsidP="00E87581">
      <w:pPr>
        <w:numPr>
          <w:ilvl w:val="0"/>
          <w:numId w:val="22"/>
        </w:numPr>
        <w:tabs>
          <w:tab w:val="left" w:pos="993"/>
        </w:tabs>
        <w:spacing w:before="120" w:after="120"/>
        <w:ind w:left="1321" w:hanging="612"/>
        <w:jc w:val="both"/>
        <w:rPr>
          <w:b/>
          <w:i/>
          <w:color w:val="000000" w:themeColor="text1"/>
        </w:rPr>
      </w:pPr>
      <w:r w:rsidRPr="003364DA">
        <w:rPr>
          <w:b/>
          <w:i/>
          <w:color w:val="000000" w:themeColor="text1"/>
        </w:rPr>
        <w:t xml:space="preserve">Коректив на касови постъпления </w:t>
      </w:r>
    </w:p>
    <w:p w14:paraId="45D1F331" w14:textId="77777777" w:rsidR="00E87581" w:rsidRPr="007F104B" w:rsidRDefault="00E87581" w:rsidP="00E87581">
      <w:pPr>
        <w:tabs>
          <w:tab w:val="left" w:pos="993"/>
        </w:tabs>
        <w:spacing w:before="120" w:after="120"/>
        <w:jc w:val="both"/>
        <w:rPr>
          <w:bCs/>
          <w:iCs/>
          <w:color w:val="000000" w:themeColor="text1"/>
        </w:rPr>
      </w:pPr>
      <w:r w:rsidRPr="00BA4AB9">
        <w:rPr>
          <w:bCs/>
          <w:iCs/>
          <w:color w:val="0070C0"/>
        </w:rPr>
        <w:tab/>
      </w:r>
      <w:r w:rsidRPr="007F104B">
        <w:rPr>
          <w:bCs/>
          <w:iCs/>
          <w:color w:val="000000" w:themeColor="text1"/>
        </w:rPr>
        <w:t>Към 31.12.2021 г. отчетеният коректив на касови постъпления е минус 7,1 млн. лв. Той е формиран от размера на принудително събрани суми от НАП, за които не е извършен превод на средства по сметката на ДФЗ-РА.</w:t>
      </w:r>
    </w:p>
    <w:p w14:paraId="226B6D67" w14:textId="77777777" w:rsidR="00E87581" w:rsidRPr="007F104B" w:rsidRDefault="00E87581" w:rsidP="00E87581">
      <w:pPr>
        <w:numPr>
          <w:ilvl w:val="0"/>
          <w:numId w:val="23"/>
        </w:numPr>
        <w:tabs>
          <w:tab w:val="num" w:pos="540"/>
        </w:tabs>
        <w:spacing w:before="120" w:after="120" w:line="276" w:lineRule="auto"/>
        <w:contextualSpacing/>
        <w:jc w:val="both"/>
        <w:rPr>
          <w:b/>
          <w:color w:val="000000" w:themeColor="text1"/>
          <w:lang w:eastAsia="bg-BG"/>
        </w:rPr>
      </w:pPr>
      <w:r w:rsidRPr="007F104B">
        <w:rPr>
          <w:b/>
          <w:color w:val="000000" w:themeColor="text1"/>
          <w:lang w:eastAsia="bg-BG"/>
        </w:rPr>
        <w:t xml:space="preserve">Разходи </w:t>
      </w:r>
    </w:p>
    <w:p w14:paraId="0E50D0A7" w14:textId="77777777" w:rsidR="00E87581" w:rsidRPr="002E0E6E" w:rsidRDefault="00E87581" w:rsidP="00E87581">
      <w:pPr>
        <w:ind w:firstLine="567"/>
        <w:jc w:val="both"/>
        <w:rPr>
          <w:color w:val="000000" w:themeColor="text1"/>
        </w:rPr>
      </w:pPr>
      <w:r w:rsidRPr="00075EF0">
        <w:rPr>
          <w:color w:val="000000" w:themeColor="text1"/>
        </w:rPr>
        <w:t xml:space="preserve">Общият размер на планираните за 2021 г. разходи по утвърдените актуализирани </w:t>
      </w:r>
      <w:r w:rsidRPr="002E0E6E">
        <w:rPr>
          <w:color w:val="000000" w:themeColor="text1"/>
        </w:rPr>
        <w:t xml:space="preserve">годишни разчети на сметката за средства от Европейския съюз на Разплащателната агенция към ДФ „Земеделие” е 773,0 млн. лева. </w:t>
      </w:r>
    </w:p>
    <w:p w14:paraId="4D614E0A" w14:textId="77777777" w:rsidR="00E87581" w:rsidRPr="002E0E6E" w:rsidRDefault="00E87581" w:rsidP="00E87581">
      <w:pPr>
        <w:ind w:firstLine="567"/>
        <w:jc w:val="both"/>
        <w:rPr>
          <w:color w:val="000000" w:themeColor="text1"/>
        </w:rPr>
      </w:pPr>
      <w:r w:rsidRPr="002E0E6E">
        <w:rPr>
          <w:color w:val="000000" w:themeColor="text1"/>
        </w:rPr>
        <w:lastRenderedPageBreak/>
        <w:t>Уточненият план на субсидиите за текуща дейност и капиталовите трансфери за 2021 г. е 396,0 млн. лева. Изпълнението за 2021 г. възлиза на 76,0 % от годишния план и е в размер на 300,9 млн. лева.</w:t>
      </w:r>
    </w:p>
    <w:p w14:paraId="28FBB864" w14:textId="77777777" w:rsidR="00E87581" w:rsidRPr="002E0E6E" w:rsidRDefault="00E87581" w:rsidP="00E87581">
      <w:pPr>
        <w:ind w:firstLine="567"/>
        <w:jc w:val="both"/>
        <w:rPr>
          <w:color w:val="000000" w:themeColor="text1"/>
        </w:rPr>
      </w:pPr>
      <w:r w:rsidRPr="002E0E6E">
        <w:rPr>
          <w:color w:val="000000" w:themeColor="text1"/>
        </w:rPr>
        <w:t>Разпределението на разходите е както следва:</w:t>
      </w:r>
    </w:p>
    <w:p w14:paraId="5BDD973D" w14:textId="77777777" w:rsidR="00E87581" w:rsidRPr="002E0E6E" w:rsidRDefault="00E87581" w:rsidP="00E87581">
      <w:pPr>
        <w:numPr>
          <w:ilvl w:val="0"/>
          <w:numId w:val="22"/>
        </w:numPr>
        <w:tabs>
          <w:tab w:val="left" w:pos="993"/>
        </w:tabs>
        <w:spacing w:before="120" w:after="120"/>
        <w:ind w:left="1321" w:hanging="612"/>
        <w:jc w:val="both"/>
        <w:rPr>
          <w:b/>
          <w:i/>
          <w:color w:val="000000" w:themeColor="text1"/>
        </w:rPr>
      </w:pPr>
      <w:r w:rsidRPr="002E0E6E">
        <w:rPr>
          <w:b/>
          <w:i/>
          <w:color w:val="000000" w:themeColor="text1"/>
        </w:rPr>
        <w:t>Субсидии и други текущи трансфери за нефинансови предприятия</w:t>
      </w:r>
    </w:p>
    <w:p w14:paraId="5EFFE0DD" w14:textId="77777777" w:rsidR="00E87581" w:rsidRPr="001D69EB" w:rsidRDefault="00E87581" w:rsidP="00E87581">
      <w:pPr>
        <w:ind w:firstLine="567"/>
        <w:jc w:val="both"/>
      </w:pPr>
      <w:r w:rsidRPr="001D69EB">
        <w:t>За 2021 г. са планирани средства в размер на 169,3 млн. лв. за субсидии и други текущи трансфери за нефинансови предприятия. Отчетените за 2021 г. средства представляват 83,6 % от планираните за годината и са в размер на 141,5 млн. лева. За 2020 г. година, изпълнението е 109,5 млн. лева.</w:t>
      </w:r>
    </w:p>
    <w:p w14:paraId="19627918" w14:textId="77777777" w:rsidR="00E87581" w:rsidRPr="001D69EB" w:rsidRDefault="00E87581" w:rsidP="00E87581">
      <w:pPr>
        <w:ind w:firstLine="567"/>
        <w:jc w:val="both"/>
      </w:pPr>
      <w:r w:rsidRPr="001D69EB">
        <w:t>Изпълнението по дейности е както следва:</w:t>
      </w:r>
    </w:p>
    <w:p w14:paraId="71CC5C64" w14:textId="77777777" w:rsidR="00E87581" w:rsidRPr="004B1182" w:rsidRDefault="00E87581" w:rsidP="00E87581">
      <w:pPr>
        <w:ind w:firstLine="567"/>
        <w:contextualSpacing/>
        <w:jc w:val="both"/>
      </w:pPr>
      <w:r w:rsidRPr="004B1182">
        <w:t>- национално съфинансиране към ЕЗФРСР за директни плащания – 58,1 млн. лв., изпълнение 94,3 % на планираните за годината 61,6 млн. лева;</w:t>
      </w:r>
    </w:p>
    <w:p w14:paraId="48015DE4" w14:textId="77777777" w:rsidR="00E87581" w:rsidRPr="004B1182" w:rsidRDefault="00E87581" w:rsidP="00E87581">
      <w:pPr>
        <w:ind w:firstLine="567"/>
        <w:contextualSpacing/>
        <w:jc w:val="both"/>
      </w:pPr>
      <w:r w:rsidRPr="004B1182">
        <w:t>- текущи субсидии по Програмата за морско дело и рибарство – 0,3 млн. лв., изпълнение 14,3 % на планираните за годината 2,1 млн. лева;</w:t>
      </w:r>
    </w:p>
    <w:p w14:paraId="777BCD84" w14:textId="77777777" w:rsidR="00E87581" w:rsidRPr="004B1182" w:rsidRDefault="00E87581" w:rsidP="00E87581">
      <w:pPr>
        <w:ind w:firstLine="567"/>
        <w:contextualSpacing/>
        <w:jc w:val="both"/>
      </w:pPr>
      <w:r w:rsidRPr="004B1182">
        <w:t>- текущи субсидии по Програмата за развитие на селските райони – 54,6 млн. лв., изпълнение от 69,6 % на планираните за годината 78,4 млн. лева;</w:t>
      </w:r>
    </w:p>
    <w:p w14:paraId="63882B0D" w14:textId="77777777" w:rsidR="00E87581" w:rsidRPr="004B1182" w:rsidRDefault="00E87581" w:rsidP="00E87581">
      <w:pPr>
        <w:tabs>
          <w:tab w:val="left" w:pos="851"/>
          <w:tab w:val="left" w:pos="1134"/>
        </w:tabs>
        <w:ind w:firstLine="567"/>
        <w:contextualSpacing/>
        <w:jc w:val="both"/>
      </w:pPr>
      <w:r w:rsidRPr="004B1182">
        <w:t>- текущи субсидии за пазарни мерки – 28,5 млн. лв., изпълнение от 104,8 % на планираните за 2021 г. 27,2 млн. лева.</w:t>
      </w:r>
    </w:p>
    <w:p w14:paraId="79E8735A" w14:textId="77777777" w:rsidR="00E87581" w:rsidRPr="004B1182" w:rsidRDefault="00E87581" w:rsidP="00E87581">
      <w:pPr>
        <w:numPr>
          <w:ilvl w:val="0"/>
          <w:numId w:val="22"/>
        </w:numPr>
        <w:tabs>
          <w:tab w:val="left" w:pos="993"/>
        </w:tabs>
        <w:spacing w:before="120" w:after="120"/>
        <w:ind w:left="1321" w:hanging="612"/>
        <w:jc w:val="both"/>
        <w:rPr>
          <w:b/>
          <w:i/>
        </w:rPr>
      </w:pPr>
      <w:r w:rsidRPr="004B1182">
        <w:rPr>
          <w:b/>
          <w:i/>
        </w:rPr>
        <w:t>Субсидии и други текущи трансфери за юридически лица с нестопанска цел</w:t>
      </w:r>
    </w:p>
    <w:p w14:paraId="659E3788" w14:textId="77777777" w:rsidR="00E87581" w:rsidRPr="00793C48" w:rsidRDefault="00E87581" w:rsidP="00E87581">
      <w:pPr>
        <w:ind w:firstLine="567"/>
        <w:contextualSpacing/>
        <w:jc w:val="both"/>
      </w:pPr>
      <w:r w:rsidRPr="00BA4AB9">
        <w:rPr>
          <w:color w:val="0070C0"/>
        </w:rPr>
        <w:tab/>
      </w:r>
      <w:r w:rsidRPr="002935D7">
        <w:t xml:space="preserve">За 2021 г. за субсидии и други текущи трансфери за юридически лица с нестопанска цел </w:t>
      </w:r>
      <w:r w:rsidRPr="00793C48">
        <w:t>са планирани 19,2 млн. лева. През 2021 г. са отчетени разходи в размер на 12,1 млн. лв., които са близки до отчетените за 2020 година.</w:t>
      </w:r>
    </w:p>
    <w:p w14:paraId="01C555B8" w14:textId="77777777" w:rsidR="00E87581" w:rsidRPr="00793C48" w:rsidRDefault="00E87581" w:rsidP="00E87581">
      <w:pPr>
        <w:ind w:firstLine="567"/>
        <w:contextualSpacing/>
        <w:jc w:val="both"/>
      </w:pPr>
      <w:r w:rsidRPr="00793C48">
        <w:t>Разпределението по дейности е както следва:</w:t>
      </w:r>
    </w:p>
    <w:p w14:paraId="0A762A3F" w14:textId="77777777" w:rsidR="00E87581" w:rsidRPr="00793C48" w:rsidRDefault="00E87581" w:rsidP="00E87581">
      <w:pPr>
        <w:ind w:firstLine="567"/>
        <w:contextualSpacing/>
        <w:jc w:val="both"/>
      </w:pPr>
      <w:r w:rsidRPr="00793C48">
        <w:t xml:space="preserve">-  национално съфинансиране към ЕЗФРСР за директни плащания  – 0,1 млн. лв.; </w:t>
      </w:r>
    </w:p>
    <w:p w14:paraId="723F616B" w14:textId="77777777" w:rsidR="00E87581" w:rsidRPr="00793C48" w:rsidRDefault="00E87581" w:rsidP="00E87581">
      <w:pPr>
        <w:tabs>
          <w:tab w:val="left" w:pos="851"/>
        </w:tabs>
        <w:ind w:firstLine="567"/>
        <w:contextualSpacing/>
        <w:jc w:val="both"/>
      </w:pPr>
      <w:r w:rsidRPr="00793C48">
        <w:t>-  текущи субсидии по ПМДР – 2,2 млн. лв. при планирани 5,4 млн. лева;</w:t>
      </w:r>
    </w:p>
    <w:p w14:paraId="04892EFD" w14:textId="77777777" w:rsidR="00E87581" w:rsidRPr="00793C48" w:rsidRDefault="00E87581" w:rsidP="00E87581">
      <w:pPr>
        <w:ind w:firstLine="567"/>
        <w:contextualSpacing/>
        <w:jc w:val="both"/>
      </w:pPr>
      <w:r w:rsidRPr="00793C48">
        <w:t>- текущи субсидии по Програмата за развитие на селските райони – 9,8 млн. лв., изпълнение 71,5 % на планираните 13,7 млн. лева;</w:t>
      </w:r>
    </w:p>
    <w:p w14:paraId="1DDC6479" w14:textId="77777777" w:rsidR="00E87581" w:rsidRPr="00793C48" w:rsidRDefault="00E87581" w:rsidP="00E87581">
      <w:pPr>
        <w:ind w:firstLine="567"/>
        <w:contextualSpacing/>
        <w:jc w:val="both"/>
      </w:pPr>
      <w:r w:rsidRPr="00793C48">
        <w:t>-  текущи субсидии за пазарни мерки – 0,03 млн. лв., при планирани за годината 0,1 млн. лева.</w:t>
      </w:r>
    </w:p>
    <w:p w14:paraId="2B073127" w14:textId="77777777" w:rsidR="00E87581" w:rsidRPr="00793C48" w:rsidRDefault="00E87581" w:rsidP="00E87581">
      <w:pPr>
        <w:numPr>
          <w:ilvl w:val="0"/>
          <w:numId w:val="22"/>
        </w:numPr>
        <w:tabs>
          <w:tab w:val="left" w:pos="993"/>
        </w:tabs>
        <w:spacing w:before="120" w:after="120"/>
        <w:ind w:left="1321" w:hanging="612"/>
        <w:jc w:val="both"/>
        <w:rPr>
          <w:b/>
          <w:i/>
        </w:rPr>
      </w:pPr>
      <w:r w:rsidRPr="00793C48">
        <w:rPr>
          <w:b/>
          <w:i/>
        </w:rPr>
        <w:t>Капиталови трансфери за нефинансови предприятия</w:t>
      </w:r>
    </w:p>
    <w:p w14:paraId="4DF56BAD" w14:textId="77777777" w:rsidR="00E87581" w:rsidRPr="00B12541" w:rsidRDefault="00E87581" w:rsidP="00E87581">
      <w:pPr>
        <w:ind w:firstLine="567"/>
        <w:jc w:val="both"/>
      </w:pPr>
      <w:r w:rsidRPr="00B12541">
        <w:t>За 2021 г. за капиталови трансфери за нефинансови предприятия са планирани 190,3 млн. лева. През 2021 г. са отчетени 141,8 млн. лв., което е 74,5 % изпълнение на годишния план. Изпълнението за предходната година е 169,8 млн. лева.</w:t>
      </w:r>
    </w:p>
    <w:p w14:paraId="5B30A2C3" w14:textId="77777777" w:rsidR="00E87581" w:rsidRPr="003B4FBF" w:rsidRDefault="00E87581" w:rsidP="00E87581">
      <w:pPr>
        <w:ind w:firstLine="567"/>
        <w:jc w:val="both"/>
      </w:pPr>
      <w:r w:rsidRPr="003B4FBF">
        <w:t>Разпределението по дейности е както следва:</w:t>
      </w:r>
    </w:p>
    <w:p w14:paraId="73E107A6" w14:textId="77777777" w:rsidR="00E87581" w:rsidRPr="003B4FBF" w:rsidRDefault="00E87581" w:rsidP="00E87581">
      <w:pPr>
        <w:ind w:firstLine="567"/>
        <w:contextualSpacing/>
        <w:jc w:val="both"/>
      </w:pPr>
      <w:r w:rsidRPr="003B4FBF">
        <w:t>-  капиталови трансфери по Програмата за морско дело и рибарство (ПМДР) – 8,8 млн. лв., което е 64,2 %  изпълнение на годишния план (13,7 млн. лева);</w:t>
      </w:r>
    </w:p>
    <w:p w14:paraId="1AEF7254" w14:textId="77777777" w:rsidR="00E87581" w:rsidRPr="003B4FBF" w:rsidRDefault="00E87581" w:rsidP="00E87581">
      <w:pPr>
        <w:ind w:firstLine="567"/>
        <w:contextualSpacing/>
        <w:jc w:val="both"/>
      </w:pPr>
      <w:r w:rsidRPr="003B4FBF">
        <w:t>-  капиталови трансфери по ПРСР – 132,5 млн. лв., 75,4 %  изпълнение на годишния план (175,8 млн. лв.);</w:t>
      </w:r>
    </w:p>
    <w:p w14:paraId="6F01C047" w14:textId="77777777" w:rsidR="00E87581" w:rsidRPr="003B4FBF" w:rsidRDefault="00E87581" w:rsidP="00E87581">
      <w:pPr>
        <w:ind w:firstLine="567"/>
        <w:contextualSpacing/>
        <w:jc w:val="both"/>
      </w:pPr>
      <w:r w:rsidRPr="003B4FBF">
        <w:t xml:space="preserve">-  капиталови трансфери за пазарни мерки – 0,6 млн. лв., което е 85,7 %  изпълнение на годишния план (0,7 млн. лева). </w:t>
      </w:r>
    </w:p>
    <w:p w14:paraId="313A53BD" w14:textId="77777777" w:rsidR="00E87581" w:rsidRPr="003B4FBF" w:rsidRDefault="00E87581" w:rsidP="00E87581">
      <w:pPr>
        <w:numPr>
          <w:ilvl w:val="0"/>
          <w:numId w:val="22"/>
        </w:numPr>
        <w:tabs>
          <w:tab w:val="left" w:pos="993"/>
        </w:tabs>
        <w:spacing w:before="120" w:after="120"/>
        <w:ind w:left="1321" w:hanging="612"/>
        <w:jc w:val="both"/>
        <w:rPr>
          <w:b/>
          <w:i/>
        </w:rPr>
      </w:pPr>
      <w:r w:rsidRPr="003B4FBF">
        <w:rPr>
          <w:b/>
          <w:i/>
        </w:rPr>
        <w:t>Капиталови трансфери за организации с нестопанска цел</w:t>
      </w:r>
    </w:p>
    <w:p w14:paraId="25AB3B86" w14:textId="77777777" w:rsidR="00E87581" w:rsidRPr="00982E71" w:rsidRDefault="00E87581" w:rsidP="00E87581">
      <w:pPr>
        <w:ind w:firstLine="567"/>
        <w:jc w:val="both"/>
      </w:pPr>
      <w:r w:rsidRPr="00982E71">
        <w:t>За 2021 г. са планирани капиталови трансфери за организации с нестопанска цел в размер на 17,3 млн. лева. През 2021 г. са отчетени капиталови трансфери по ПРСР в размер на 5,4 млн. лв., 31,2 % изпълнение на годишния план. За предходната година изпълнението спрямо годишния план е 40,3 процента.</w:t>
      </w:r>
    </w:p>
    <w:p w14:paraId="3517508F" w14:textId="77777777" w:rsidR="00E87581" w:rsidRPr="00CD6464" w:rsidRDefault="00E87581" w:rsidP="00E87581">
      <w:pPr>
        <w:spacing w:before="120"/>
        <w:ind w:firstLine="567"/>
        <w:jc w:val="both"/>
      </w:pPr>
      <w:r w:rsidRPr="00CD6464">
        <w:t>Планираните разходи в размер 265,6 млн. лв., в т.ч.: за заплати и възнаграждения на персонала 8,9 млн. лв., задължителни осигурителни вноски от работодатели 2,5 млн. лв., издръжка 8,9 млн. лв. и придобиване на ДМА 245,2 млн. лв., подлежат на отчитане в § 63-00 „Трансфери между сметки за средствата от ЕС“.</w:t>
      </w:r>
    </w:p>
    <w:p w14:paraId="5A7A3F5C" w14:textId="77777777" w:rsidR="00E87581" w:rsidRPr="00CD6464" w:rsidRDefault="00E87581" w:rsidP="00E87581">
      <w:pPr>
        <w:ind w:firstLine="567"/>
        <w:jc w:val="both"/>
        <w:rPr>
          <w:b/>
          <w:sz w:val="12"/>
          <w:u w:val="single"/>
        </w:rPr>
      </w:pPr>
    </w:p>
    <w:p w14:paraId="1EDD9C38" w14:textId="77777777" w:rsidR="00E87581" w:rsidRPr="00CD6464" w:rsidRDefault="00E87581" w:rsidP="00E87581">
      <w:pPr>
        <w:numPr>
          <w:ilvl w:val="0"/>
          <w:numId w:val="23"/>
        </w:numPr>
        <w:tabs>
          <w:tab w:val="num" w:pos="540"/>
        </w:tabs>
        <w:spacing w:before="120" w:after="120" w:line="276" w:lineRule="auto"/>
        <w:contextualSpacing/>
        <w:jc w:val="both"/>
        <w:rPr>
          <w:b/>
          <w:lang w:eastAsia="bg-BG"/>
        </w:rPr>
      </w:pPr>
      <w:r w:rsidRPr="00CD6464">
        <w:rPr>
          <w:b/>
          <w:lang w:eastAsia="bg-BG"/>
        </w:rPr>
        <w:t xml:space="preserve">Трансфери </w:t>
      </w:r>
    </w:p>
    <w:p w14:paraId="36BEC41F" w14:textId="77777777" w:rsidR="00E87581" w:rsidRDefault="00E87581" w:rsidP="00E87581">
      <w:pPr>
        <w:ind w:firstLine="567"/>
        <w:jc w:val="both"/>
      </w:pPr>
      <w:r w:rsidRPr="00CD6464">
        <w:lastRenderedPageBreak/>
        <w:t>В частта на трансферите, в касовия отчет на ДФЗ-РА към 31.12.2021 г. са отразени следните касови потоци:</w:t>
      </w:r>
    </w:p>
    <w:p w14:paraId="4F76A071" w14:textId="77777777" w:rsidR="00E87581" w:rsidRPr="004F6B02" w:rsidRDefault="00E87581" w:rsidP="00E87581">
      <w:pPr>
        <w:numPr>
          <w:ilvl w:val="0"/>
          <w:numId w:val="22"/>
        </w:numPr>
        <w:tabs>
          <w:tab w:val="left" w:pos="993"/>
        </w:tabs>
        <w:spacing w:before="120" w:after="120"/>
        <w:ind w:left="1321" w:hanging="612"/>
        <w:jc w:val="both"/>
        <w:rPr>
          <w:b/>
          <w:i/>
          <w:lang w:eastAsia="bg-BG"/>
        </w:rPr>
      </w:pPr>
      <w:r w:rsidRPr="004F6B02">
        <w:rPr>
          <w:b/>
          <w:i/>
          <w:lang w:eastAsia="bg-BG"/>
        </w:rPr>
        <w:t xml:space="preserve">Трансфери между ЦБ и сметки за средства от Европейския съюз </w:t>
      </w:r>
    </w:p>
    <w:p w14:paraId="14F5FE52" w14:textId="77777777" w:rsidR="00E87581" w:rsidRPr="004F6B02" w:rsidRDefault="00E87581" w:rsidP="00E87581">
      <w:pPr>
        <w:tabs>
          <w:tab w:val="left" w:pos="540"/>
          <w:tab w:val="left" w:pos="993"/>
        </w:tabs>
        <w:jc w:val="both"/>
      </w:pPr>
      <w:r w:rsidRPr="004F6B02">
        <w:tab/>
        <w:t>П</w:t>
      </w:r>
      <w:r>
        <w:t>олученият т</w:t>
      </w:r>
      <w:r w:rsidRPr="004F6B02">
        <w:t xml:space="preserve">рансфер от ЦБ </w:t>
      </w:r>
      <w:r>
        <w:t xml:space="preserve">за компенсиране на средствата, изплатени от Разплащателната агенция към Държавен фонд „Земеделие“ за сметка на национално съфинансиране към </w:t>
      </w:r>
      <w:r w:rsidRPr="004F6B02">
        <w:t>фондовете ЕФГЗ, ЕЗФРСР, ЕФМДР и ЕФР</w:t>
      </w:r>
      <w:r>
        <w:t xml:space="preserve"> е 167,0 млн. лв. при заложен в план-сметката 191,5 млн. лева</w:t>
      </w:r>
      <w:r w:rsidRPr="004F6B02">
        <w:t>.</w:t>
      </w:r>
    </w:p>
    <w:p w14:paraId="3C2A5F83" w14:textId="77777777" w:rsidR="00E87581" w:rsidRPr="00CD6464" w:rsidRDefault="00E87581" w:rsidP="00E87581">
      <w:pPr>
        <w:numPr>
          <w:ilvl w:val="0"/>
          <w:numId w:val="22"/>
        </w:numPr>
        <w:tabs>
          <w:tab w:val="left" w:pos="993"/>
        </w:tabs>
        <w:spacing w:before="120" w:after="120"/>
        <w:ind w:left="1321" w:hanging="612"/>
        <w:jc w:val="both"/>
        <w:rPr>
          <w:b/>
          <w:i/>
        </w:rPr>
      </w:pPr>
      <w:r w:rsidRPr="00CD6464">
        <w:rPr>
          <w:b/>
          <w:i/>
        </w:rPr>
        <w:t xml:space="preserve">Трансфери между бюджети и сметки за средства от Европейския съюз </w:t>
      </w:r>
    </w:p>
    <w:p w14:paraId="409F089F" w14:textId="77777777" w:rsidR="00E87581" w:rsidRPr="00C31D68" w:rsidRDefault="00E87581" w:rsidP="00E87581">
      <w:pPr>
        <w:ind w:firstLine="567"/>
        <w:jc w:val="both"/>
      </w:pPr>
      <w:r w:rsidRPr="00C31D68">
        <w:t xml:space="preserve">Получените трансфери от бюджетни сметки на бюджетни организации и общини са формирани при възстановяване на суми по вземания по ПРСР, ОПРСР, ПМДР и директни плащания. За 2021 г. техният размер е 1,6 млн. лева. </w:t>
      </w:r>
    </w:p>
    <w:p w14:paraId="301A820C" w14:textId="78671ABA" w:rsidR="00E87581" w:rsidRPr="00C31D68" w:rsidRDefault="00E87581" w:rsidP="00E87581">
      <w:pPr>
        <w:ind w:firstLine="567"/>
        <w:jc w:val="both"/>
      </w:pPr>
      <w:r w:rsidRPr="00C31D68">
        <w:tab/>
        <w:t>Предоставените през 2021 г. трансфери във връзка с чл.14 от Закона за подпомагане на земеделските производители възлизат на 0,9 млн. лева.</w:t>
      </w:r>
    </w:p>
    <w:p w14:paraId="03FBC860" w14:textId="77777777" w:rsidR="00E87581" w:rsidRPr="00C31D68" w:rsidRDefault="00E87581" w:rsidP="00E87581">
      <w:pPr>
        <w:numPr>
          <w:ilvl w:val="0"/>
          <w:numId w:val="22"/>
        </w:numPr>
        <w:tabs>
          <w:tab w:val="left" w:pos="993"/>
        </w:tabs>
        <w:spacing w:before="120" w:after="120"/>
        <w:ind w:left="1321" w:hanging="612"/>
        <w:jc w:val="both"/>
        <w:rPr>
          <w:b/>
          <w:i/>
        </w:rPr>
      </w:pPr>
      <w:r w:rsidRPr="00C31D68">
        <w:rPr>
          <w:b/>
          <w:i/>
        </w:rPr>
        <w:t>Трансфери между сметки за средства от Европейския съюз:</w:t>
      </w:r>
    </w:p>
    <w:p w14:paraId="6D42BF53" w14:textId="77777777" w:rsidR="00E87581" w:rsidRPr="00C31D68" w:rsidRDefault="00E87581" w:rsidP="00E87581">
      <w:pPr>
        <w:ind w:firstLine="567"/>
        <w:jc w:val="both"/>
      </w:pPr>
      <w:r w:rsidRPr="00C31D68">
        <w:t>Предоставените трансфери са формирани от изплатените субсидии и възстановените суми от публични бенефициенти. За 2021 г. са отчетени 290,1 млн. лв., в т.ч.:</w:t>
      </w:r>
    </w:p>
    <w:p w14:paraId="34B2B2B0" w14:textId="77777777" w:rsidR="00E87581" w:rsidRPr="009459C9" w:rsidRDefault="00E87581" w:rsidP="00E87581">
      <w:pPr>
        <w:pStyle w:val="ListParagraph"/>
        <w:numPr>
          <w:ilvl w:val="0"/>
          <w:numId w:val="21"/>
        </w:numPr>
        <w:tabs>
          <w:tab w:val="left" w:pos="1080"/>
        </w:tabs>
        <w:spacing w:line="240" w:lineRule="auto"/>
        <w:ind w:left="706" w:firstLine="14"/>
        <w:rPr>
          <w:rFonts w:ascii="Times New Roman" w:hAnsi="Times New Roman"/>
        </w:rPr>
      </w:pPr>
      <w:r w:rsidRPr="009459C9">
        <w:rPr>
          <w:rFonts w:ascii="Times New Roman" w:hAnsi="Times New Roman"/>
        </w:rPr>
        <w:t>по Програмата за развитие на селските райони – 274,7 млн. лв.;</w:t>
      </w:r>
    </w:p>
    <w:p w14:paraId="467DD431" w14:textId="77777777" w:rsidR="00E87581" w:rsidRPr="009459C9" w:rsidRDefault="00E87581" w:rsidP="00E87581">
      <w:pPr>
        <w:pStyle w:val="ListParagraph"/>
        <w:numPr>
          <w:ilvl w:val="0"/>
          <w:numId w:val="21"/>
        </w:numPr>
        <w:tabs>
          <w:tab w:val="left" w:pos="1080"/>
        </w:tabs>
        <w:spacing w:line="240" w:lineRule="auto"/>
        <w:ind w:left="706" w:firstLine="14"/>
        <w:rPr>
          <w:rFonts w:ascii="Times New Roman" w:hAnsi="Times New Roman"/>
        </w:rPr>
      </w:pPr>
      <w:r w:rsidRPr="009459C9">
        <w:rPr>
          <w:rFonts w:ascii="Times New Roman" w:hAnsi="Times New Roman"/>
        </w:rPr>
        <w:t>национално съфинансиране към директни плащания  – 0,1 млн. лв.;</w:t>
      </w:r>
    </w:p>
    <w:p w14:paraId="644235DD" w14:textId="77777777" w:rsidR="00E87581" w:rsidRPr="009459C9" w:rsidRDefault="00E87581" w:rsidP="00E87581">
      <w:pPr>
        <w:pStyle w:val="ListParagraph"/>
        <w:numPr>
          <w:ilvl w:val="0"/>
          <w:numId w:val="21"/>
        </w:numPr>
        <w:tabs>
          <w:tab w:val="left" w:pos="1080"/>
        </w:tabs>
        <w:spacing w:line="240" w:lineRule="auto"/>
        <w:ind w:left="706" w:firstLine="14"/>
        <w:rPr>
          <w:rFonts w:ascii="Times New Roman" w:hAnsi="Times New Roman"/>
        </w:rPr>
      </w:pPr>
      <w:r w:rsidRPr="009459C9">
        <w:rPr>
          <w:rFonts w:ascii="Times New Roman" w:hAnsi="Times New Roman"/>
        </w:rPr>
        <w:t>по Програмата за морско дело и рибарство: 15,3 млн. лева.</w:t>
      </w:r>
    </w:p>
    <w:p w14:paraId="5B1945DC" w14:textId="77777777" w:rsidR="00E87581" w:rsidRPr="009459C9" w:rsidRDefault="00E87581" w:rsidP="00E87581">
      <w:pPr>
        <w:ind w:firstLine="567"/>
        <w:jc w:val="both"/>
      </w:pPr>
      <w:r w:rsidRPr="009459C9">
        <w:t>През 2020 г. са предоставени трансфери в размер на 308,5 млн. лева.</w:t>
      </w:r>
    </w:p>
    <w:p w14:paraId="7399FC4F" w14:textId="77777777" w:rsidR="00E87581" w:rsidRPr="009459C9" w:rsidRDefault="00E87581" w:rsidP="00E87581">
      <w:pPr>
        <w:tabs>
          <w:tab w:val="left" w:pos="540"/>
        </w:tabs>
        <w:ind w:firstLine="567"/>
        <w:jc w:val="both"/>
      </w:pPr>
      <w:r w:rsidRPr="009459C9">
        <w:rPr>
          <w:lang w:eastAsia="bg-BG"/>
        </w:rPr>
        <w:tab/>
      </w:r>
    </w:p>
    <w:p w14:paraId="75715869" w14:textId="77777777" w:rsidR="00E87581" w:rsidRPr="009459C9" w:rsidRDefault="00E87581" w:rsidP="00E87581">
      <w:pPr>
        <w:numPr>
          <w:ilvl w:val="0"/>
          <w:numId w:val="23"/>
        </w:numPr>
        <w:tabs>
          <w:tab w:val="num" w:pos="540"/>
        </w:tabs>
        <w:spacing w:before="120" w:after="120" w:line="276" w:lineRule="auto"/>
        <w:contextualSpacing/>
        <w:jc w:val="both"/>
        <w:rPr>
          <w:b/>
          <w:lang w:eastAsia="bg-BG"/>
        </w:rPr>
      </w:pPr>
      <w:r w:rsidRPr="009459C9">
        <w:rPr>
          <w:b/>
          <w:lang w:eastAsia="bg-BG"/>
        </w:rPr>
        <w:t>Финансиране</w:t>
      </w:r>
    </w:p>
    <w:p w14:paraId="18599BC6" w14:textId="77777777" w:rsidR="00E87581" w:rsidRDefault="00E87581" w:rsidP="00E87581">
      <w:pPr>
        <w:numPr>
          <w:ilvl w:val="0"/>
          <w:numId w:val="22"/>
        </w:numPr>
        <w:tabs>
          <w:tab w:val="left" w:pos="993"/>
        </w:tabs>
        <w:spacing w:before="120" w:after="120"/>
        <w:ind w:left="851" w:hanging="425"/>
        <w:jc w:val="both"/>
        <w:rPr>
          <w:b/>
          <w:lang w:eastAsia="bg-BG"/>
        </w:rPr>
      </w:pPr>
      <w:r>
        <w:rPr>
          <w:b/>
          <w:lang w:eastAsia="bg-BG"/>
        </w:rPr>
        <w:t>Събрани средства и извършени плащания за сметка на други бюджети</w:t>
      </w:r>
    </w:p>
    <w:p w14:paraId="40B9B67F" w14:textId="77777777" w:rsidR="00E87581" w:rsidRDefault="00E87581" w:rsidP="00E87581">
      <w:pPr>
        <w:tabs>
          <w:tab w:val="left" w:pos="851"/>
        </w:tabs>
        <w:spacing w:before="120" w:after="120"/>
        <w:ind w:firstLine="426"/>
        <w:jc w:val="both"/>
        <w:rPr>
          <w:lang w:eastAsia="bg-BG"/>
        </w:rPr>
      </w:pPr>
      <w:r>
        <w:rPr>
          <w:b/>
          <w:lang w:eastAsia="bg-BG"/>
        </w:rPr>
        <w:tab/>
      </w:r>
      <w:r>
        <w:rPr>
          <w:lang w:eastAsia="bg-BG"/>
        </w:rPr>
        <w:t>Към 31.12.2021 г. сумата за събрани средства и извършени плащания за сметка на други бюджети възлиза нето на минус 0,06 млн. лева.</w:t>
      </w:r>
    </w:p>
    <w:p w14:paraId="2F9B0F7D" w14:textId="77777777" w:rsidR="00E87581" w:rsidRDefault="00E87581" w:rsidP="00E87581">
      <w:pPr>
        <w:numPr>
          <w:ilvl w:val="0"/>
          <w:numId w:val="22"/>
        </w:numPr>
        <w:tabs>
          <w:tab w:val="left" w:pos="993"/>
        </w:tabs>
        <w:spacing w:before="120" w:after="120"/>
        <w:ind w:left="851" w:hanging="425"/>
        <w:jc w:val="both"/>
        <w:rPr>
          <w:b/>
          <w:lang w:eastAsia="bg-BG"/>
        </w:rPr>
      </w:pPr>
      <w:r>
        <w:rPr>
          <w:b/>
          <w:lang w:eastAsia="bg-BG"/>
        </w:rPr>
        <w:t>Суми по разчети за поети осигурителни вноски и данъци</w:t>
      </w:r>
    </w:p>
    <w:p w14:paraId="6AADF0B8" w14:textId="77777777" w:rsidR="00E87581" w:rsidRDefault="00E87581" w:rsidP="00E87581">
      <w:pPr>
        <w:ind w:firstLine="851"/>
        <w:jc w:val="both"/>
        <w:rPr>
          <w:lang w:eastAsia="bg-BG"/>
        </w:rPr>
      </w:pPr>
      <w:r>
        <w:rPr>
          <w:lang w:eastAsia="bg-BG"/>
        </w:rPr>
        <w:t>Към края на четвъртото тримесечие на 2021 г. сумата по разчети за поети данъци, формирани от удържан и внесен окончателен данък на физически лица, съгл. чл. 65, ал. 14 от ЗДДФЛ възлиза нето на минус 0,03 млн. лева.</w:t>
      </w:r>
    </w:p>
    <w:p w14:paraId="2DF8B988" w14:textId="77777777" w:rsidR="00E87581" w:rsidRDefault="00E87581" w:rsidP="00E87581">
      <w:pPr>
        <w:numPr>
          <w:ilvl w:val="0"/>
          <w:numId w:val="22"/>
        </w:numPr>
        <w:tabs>
          <w:tab w:val="left" w:pos="993"/>
        </w:tabs>
        <w:spacing w:before="120" w:after="120"/>
        <w:ind w:left="851" w:hanging="425"/>
        <w:jc w:val="both"/>
        <w:rPr>
          <w:b/>
          <w:lang w:eastAsia="bg-BG"/>
        </w:rPr>
      </w:pPr>
      <w:r>
        <w:rPr>
          <w:b/>
          <w:lang w:eastAsia="bg-BG"/>
        </w:rPr>
        <w:t>Друго финансиране</w:t>
      </w:r>
    </w:p>
    <w:p w14:paraId="39F26575" w14:textId="77777777" w:rsidR="00E87581" w:rsidRDefault="00E87581" w:rsidP="00E87581">
      <w:pPr>
        <w:jc w:val="both"/>
        <w:rPr>
          <w:lang w:eastAsia="bg-BG"/>
        </w:rPr>
      </w:pPr>
      <w:r w:rsidRPr="0073650D">
        <w:rPr>
          <w:lang w:eastAsia="bg-BG"/>
        </w:rPr>
        <w:tab/>
        <w:t xml:space="preserve">През </w:t>
      </w:r>
      <w:r>
        <w:rPr>
          <w:lang w:eastAsia="bg-BG"/>
        </w:rPr>
        <w:t>2021 г. извършените плащания, възстановените суми, разчетът с централния бюджет и операциите с чужди средства, включени в отчетността в „Друго финансиране“ възлизат общо на минус 38,2 млн. лв., при планирани 114,5 млн. лева.</w:t>
      </w:r>
    </w:p>
    <w:p w14:paraId="4472A115" w14:textId="312F9211" w:rsidR="00E87581" w:rsidRDefault="00E87581" w:rsidP="00E87581">
      <w:pPr>
        <w:jc w:val="both"/>
        <w:rPr>
          <w:lang w:eastAsia="bg-BG"/>
        </w:rPr>
      </w:pPr>
      <w:r>
        <w:rPr>
          <w:lang w:eastAsia="bg-BG"/>
        </w:rPr>
        <w:tab/>
        <w:t xml:space="preserve">През 2021 г. плащанията са в общ размер 1 818,7 млн. лв., представляващи 96,6 % от годишните разчети </w:t>
      </w:r>
      <w:r w:rsidRPr="00432992">
        <w:rPr>
          <w:lang w:eastAsia="bg-BG"/>
        </w:rPr>
        <w:t>(</w:t>
      </w:r>
      <w:r>
        <w:rPr>
          <w:lang w:eastAsia="bg-BG"/>
        </w:rPr>
        <w:t>1 882,3 млн. лв.</w:t>
      </w:r>
      <w:r w:rsidRPr="00432992">
        <w:rPr>
          <w:lang w:eastAsia="bg-BG"/>
        </w:rPr>
        <w:t>).</w:t>
      </w:r>
      <w:r>
        <w:rPr>
          <w:lang w:eastAsia="bg-BG"/>
        </w:rPr>
        <w:t xml:space="preserve"> За 2020 г. плащанията, отчетени в частта на финансирането са 1 926,1 млн. лв.</w:t>
      </w:r>
    </w:p>
    <w:p w14:paraId="7C9A87A1" w14:textId="77777777" w:rsidR="00E87581" w:rsidRDefault="00E87581" w:rsidP="00E87581">
      <w:pPr>
        <w:contextualSpacing/>
        <w:jc w:val="both"/>
        <w:rPr>
          <w:lang w:eastAsia="bg-BG"/>
        </w:rPr>
      </w:pPr>
      <w:r>
        <w:rPr>
          <w:lang w:eastAsia="bg-BG"/>
        </w:rPr>
        <w:tab/>
        <w:t>Отчетените плащания са по следните направления:</w:t>
      </w:r>
    </w:p>
    <w:p w14:paraId="4F5225FF" w14:textId="77777777" w:rsidR="00E87581" w:rsidRDefault="00E87581" w:rsidP="00E87581">
      <w:pPr>
        <w:numPr>
          <w:ilvl w:val="0"/>
          <w:numId w:val="24"/>
        </w:numPr>
        <w:tabs>
          <w:tab w:val="left" w:pos="993"/>
        </w:tabs>
        <w:ind w:left="0" w:firstLine="709"/>
        <w:contextualSpacing/>
        <w:jc w:val="both"/>
        <w:rPr>
          <w:szCs w:val="20"/>
        </w:rPr>
      </w:pPr>
      <w:r>
        <w:rPr>
          <w:szCs w:val="20"/>
        </w:rPr>
        <w:t>1 595,1 млн.</w:t>
      </w:r>
      <w:r w:rsidRPr="00432992">
        <w:rPr>
          <w:szCs w:val="20"/>
        </w:rPr>
        <w:t xml:space="preserve"> </w:t>
      </w:r>
      <w:r>
        <w:rPr>
          <w:szCs w:val="20"/>
        </w:rPr>
        <w:t>лв. за директни плащания за сметка на ЕФГЗ, представляващи 97,3</w:t>
      </w:r>
      <w:r w:rsidRPr="00432992">
        <w:rPr>
          <w:szCs w:val="20"/>
        </w:rPr>
        <w:t xml:space="preserve"> </w:t>
      </w:r>
      <w:r>
        <w:rPr>
          <w:szCs w:val="20"/>
        </w:rPr>
        <w:t>% от планираните 1 640,1 млн.</w:t>
      </w:r>
      <w:r w:rsidRPr="00432992">
        <w:rPr>
          <w:szCs w:val="20"/>
        </w:rPr>
        <w:t xml:space="preserve"> </w:t>
      </w:r>
      <w:r>
        <w:rPr>
          <w:szCs w:val="20"/>
        </w:rPr>
        <w:t>лв.;</w:t>
      </w:r>
    </w:p>
    <w:p w14:paraId="1D8880E1" w14:textId="77777777" w:rsidR="00E87581" w:rsidRDefault="00E87581" w:rsidP="00E87581">
      <w:pPr>
        <w:numPr>
          <w:ilvl w:val="0"/>
          <w:numId w:val="24"/>
        </w:numPr>
        <w:tabs>
          <w:tab w:val="left" w:pos="993"/>
        </w:tabs>
        <w:ind w:left="0" w:firstLine="709"/>
        <w:contextualSpacing/>
        <w:jc w:val="both"/>
        <w:rPr>
          <w:szCs w:val="20"/>
        </w:rPr>
      </w:pPr>
      <w:r>
        <w:rPr>
          <w:szCs w:val="20"/>
        </w:rPr>
        <w:t>177,8 млн.</w:t>
      </w:r>
      <w:r w:rsidRPr="00432992">
        <w:rPr>
          <w:szCs w:val="20"/>
        </w:rPr>
        <w:t xml:space="preserve"> </w:t>
      </w:r>
      <w:r>
        <w:rPr>
          <w:szCs w:val="20"/>
        </w:rPr>
        <w:t>лв. средства от ЕЗФРСР, прехвърлени към директни плащания, което е 91,3</w:t>
      </w:r>
      <w:r w:rsidRPr="00432992">
        <w:rPr>
          <w:szCs w:val="20"/>
        </w:rPr>
        <w:t xml:space="preserve"> </w:t>
      </w:r>
      <w:r>
        <w:rPr>
          <w:szCs w:val="20"/>
        </w:rPr>
        <w:t>% от планираните 194,7 млн.</w:t>
      </w:r>
      <w:r w:rsidRPr="00432992">
        <w:rPr>
          <w:szCs w:val="20"/>
        </w:rPr>
        <w:t xml:space="preserve"> </w:t>
      </w:r>
      <w:r>
        <w:rPr>
          <w:szCs w:val="20"/>
        </w:rPr>
        <w:t>лв.;</w:t>
      </w:r>
    </w:p>
    <w:p w14:paraId="18C4F808" w14:textId="77777777" w:rsidR="00E87581" w:rsidRDefault="00E87581" w:rsidP="00E87581">
      <w:pPr>
        <w:numPr>
          <w:ilvl w:val="0"/>
          <w:numId w:val="24"/>
        </w:numPr>
        <w:tabs>
          <w:tab w:val="left" w:pos="993"/>
        </w:tabs>
        <w:ind w:left="0" w:firstLine="709"/>
        <w:contextualSpacing/>
        <w:jc w:val="both"/>
        <w:rPr>
          <w:szCs w:val="20"/>
        </w:rPr>
      </w:pPr>
      <w:r>
        <w:rPr>
          <w:szCs w:val="20"/>
        </w:rPr>
        <w:t>29,5 млн.</w:t>
      </w:r>
      <w:r w:rsidRPr="00432992">
        <w:rPr>
          <w:szCs w:val="20"/>
        </w:rPr>
        <w:t xml:space="preserve"> </w:t>
      </w:r>
      <w:r>
        <w:rPr>
          <w:szCs w:val="20"/>
        </w:rPr>
        <w:t>лв. за пазарни мерки при разчет за плащания в размер 30,9 млн.</w:t>
      </w:r>
      <w:r w:rsidRPr="00432992">
        <w:rPr>
          <w:szCs w:val="20"/>
        </w:rPr>
        <w:t xml:space="preserve"> </w:t>
      </w:r>
      <w:r>
        <w:rPr>
          <w:szCs w:val="20"/>
        </w:rPr>
        <w:t>лв. изпълнение 95,5</w:t>
      </w:r>
      <w:r w:rsidRPr="00432992">
        <w:rPr>
          <w:szCs w:val="20"/>
        </w:rPr>
        <w:t xml:space="preserve"> </w:t>
      </w:r>
      <w:r>
        <w:rPr>
          <w:szCs w:val="20"/>
        </w:rPr>
        <w:t>%;</w:t>
      </w:r>
    </w:p>
    <w:p w14:paraId="576BF889" w14:textId="77777777" w:rsidR="00E87581" w:rsidRDefault="00E87581" w:rsidP="00E87581">
      <w:pPr>
        <w:numPr>
          <w:ilvl w:val="0"/>
          <w:numId w:val="24"/>
        </w:numPr>
        <w:tabs>
          <w:tab w:val="left" w:pos="993"/>
        </w:tabs>
        <w:ind w:left="0" w:firstLine="709"/>
        <w:contextualSpacing/>
        <w:jc w:val="both"/>
        <w:rPr>
          <w:szCs w:val="20"/>
        </w:rPr>
      </w:pPr>
      <w:r>
        <w:rPr>
          <w:szCs w:val="20"/>
        </w:rPr>
        <w:t>16,3 млн.</w:t>
      </w:r>
      <w:r w:rsidRPr="00432992">
        <w:rPr>
          <w:szCs w:val="20"/>
        </w:rPr>
        <w:t xml:space="preserve"> </w:t>
      </w:r>
      <w:r>
        <w:rPr>
          <w:szCs w:val="20"/>
        </w:rPr>
        <w:t>лв. за преструктуриране, изпълнение 98,8</w:t>
      </w:r>
      <w:r w:rsidRPr="00432992">
        <w:rPr>
          <w:szCs w:val="20"/>
        </w:rPr>
        <w:t xml:space="preserve"> </w:t>
      </w:r>
      <w:r>
        <w:rPr>
          <w:szCs w:val="20"/>
        </w:rPr>
        <w:t>% от планираните плащания в размер 16,5 млн.</w:t>
      </w:r>
      <w:r w:rsidRPr="00432992">
        <w:rPr>
          <w:szCs w:val="20"/>
        </w:rPr>
        <w:t xml:space="preserve"> </w:t>
      </w:r>
      <w:r>
        <w:rPr>
          <w:szCs w:val="20"/>
        </w:rPr>
        <w:t>лв.</w:t>
      </w:r>
    </w:p>
    <w:p w14:paraId="642A915C" w14:textId="77777777" w:rsidR="00E87581" w:rsidRDefault="00E87581" w:rsidP="00E87581">
      <w:pPr>
        <w:jc w:val="both"/>
        <w:rPr>
          <w:lang w:eastAsia="bg-BG"/>
        </w:rPr>
      </w:pPr>
      <w:r>
        <w:rPr>
          <w:lang w:eastAsia="bg-BG"/>
        </w:rPr>
        <w:tab/>
        <w:t>Възстановените суми от Европейския съюз за</w:t>
      </w:r>
      <w:r w:rsidRPr="00432992">
        <w:rPr>
          <w:lang w:eastAsia="bg-BG"/>
        </w:rPr>
        <w:t xml:space="preserve"> </w:t>
      </w:r>
      <w:r>
        <w:rPr>
          <w:lang w:eastAsia="bg-BG"/>
        </w:rPr>
        <w:t>2021 г. възлизат общо на 1 914,3 млн. лв., при планирани 1 913,5 млн. лева. Степента на изпълнение за 2020 г. е 99,4 %.</w:t>
      </w:r>
    </w:p>
    <w:p w14:paraId="50175E59" w14:textId="77777777" w:rsidR="00E87581" w:rsidRDefault="00E87581" w:rsidP="00E87581">
      <w:pPr>
        <w:jc w:val="both"/>
        <w:rPr>
          <w:color w:val="0070C0"/>
          <w:lang w:eastAsia="bg-BG"/>
        </w:rPr>
      </w:pPr>
      <w:r>
        <w:rPr>
          <w:lang w:eastAsia="bg-BG"/>
        </w:rPr>
        <w:tab/>
        <w:t>Възстановени са суми по следните направления:</w:t>
      </w:r>
    </w:p>
    <w:p w14:paraId="2B8B53B3" w14:textId="77777777" w:rsidR="00E87581" w:rsidRDefault="00E87581" w:rsidP="00E87581">
      <w:pPr>
        <w:numPr>
          <w:ilvl w:val="0"/>
          <w:numId w:val="24"/>
        </w:numPr>
        <w:tabs>
          <w:tab w:val="left" w:pos="993"/>
        </w:tabs>
        <w:ind w:left="0" w:firstLine="709"/>
        <w:contextualSpacing/>
        <w:jc w:val="both"/>
        <w:rPr>
          <w:szCs w:val="20"/>
        </w:rPr>
      </w:pPr>
      <w:r>
        <w:rPr>
          <w:szCs w:val="20"/>
        </w:rPr>
        <w:t>1 638,9 млн. лв. за директни плащания от ЕФГЗ – при планирани 1 638,9 млн. лв.;</w:t>
      </w:r>
    </w:p>
    <w:p w14:paraId="1B16CBED" w14:textId="77777777" w:rsidR="00E87581" w:rsidRDefault="00E87581" w:rsidP="00E87581">
      <w:pPr>
        <w:numPr>
          <w:ilvl w:val="0"/>
          <w:numId w:val="24"/>
        </w:numPr>
        <w:tabs>
          <w:tab w:val="left" w:pos="993"/>
        </w:tabs>
        <w:ind w:left="0" w:firstLine="709"/>
        <w:contextualSpacing/>
        <w:jc w:val="both"/>
        <w:rPr>
          <w:szCs w:val="20"/>
        </w:rPr>
      </w:pPr>
      <w:r>
        <w:rPr>
          <w:szCs w:val="20"/>
        </w:rPr>
        <w:lastRenderedPageBreak/>
        <w:t>237,2 млн. лв. от ЕЗФРСР, прехвърлени към директни плащания – 100,3 % спрямо заложените 236,5 млн. лв.;</w:t>
      </w:r>
    </w:p>
    <w:p w14:paraId="549A0B07" w14:textId="56CC2346" w:rsidR="00E87581" w:rsidRDefault="00E87581" w:rsidP="00E87581">
      <w:pPr>
        <w:numPr>
          <w:ilvl w:val="0"/>
          <w:numId w:val="24"/>
        </w:numPr>
        <w:tabs>
          <w:tab w:val="left" w:pos="993"/>
        </w:tabs>
        <w:ind w:left="0" w:firstLine="709"/>
        <w:contextualSpacing/>
        <w:jc w:val="both"/>
        <w:rPr>
          <w:szCs w:val="20"/>
        </w:rPr>
      </w:pPr>
      <w:r>
        <w:rPr>
          <w:szCs w:val="20"/>
        </w:rPr>
        <w:t>28,3 млн. лв. за пазарни мерки от ЕФГЗ при планирани 28,3 млн. лв.;</w:t>
      </w:r>
    </w:p>
    <w:p w14:paraId="34A5F3C5" w14:textId="341EA9D5" w:rsidR="00E87581" w:rsidRPr="005D4716" w:rsidRDefault="00E87581" w:rsidP="00E87581">
      <w:pPr>
        <w:numPr>
          <w:ilvl w:val="0"/>
          <w:numId w:val="24"/>
        </w:numPr>
        <w:tabs>
          <w:tab w:val="left" w:pos="993"/>
        </w:tabs>
        <w:spacing w:after="120"/>
        <w:ind w:left="0" w:firstLine="709"/>
        <w:contextualSpacing/>
        <w:jc w:val="both"/>
      </w:pPr>
      <w:r>
        <w:rPr>
          <w:szCs w:val="20"/>
        </w:rPr>
        <w:t>9,9 млн. лв. за преструктуриране от ЕФГЗ при планирани 9,9 млн. л</w:t>
      </w:r>
      <w:r w:rsidR="004F1FBA">
        <w:rPr>
          <w:szCs w:val="20"/>
        </w:rPr>
        <w:t>е</w:t>
      </w:r>
      <w:r>
        <w:rPr>
          <w:szCs w:val="20"/>
        </w:rPr>
        <w:t>в</w:t>
      </w:r>
      <w:r w:rsidR="004F1FBA">
        <w:rPr>
          <w:szCs w:val="20"/>
        </w:rPr>
        <w:t>а</w:t>
      </w:r>
      <w:r>
        <w:rPr>
          <w:szCs w:val="20"/>
        </w:rPr>
        <w:t>.</w:t>
      </w:r>
    </w:p>
    <w:p w14:paraId="5D859971" w14:textId="77777777" w:rsidR="00E87581" w:rsidRDefault="00E87581" w:rsidP="00E87581">
      <w:pPr>
        <w:tabs>
          <w:tab w:val="left" w:pos="993"/>
        </w:tabs>
        <w:spacing w:after="120"/>
        <w:contextualSpacing/>
        <w:jc w:val="both"/>
        <w:rPr>
          <w:szCs w:val="20"/>
        </w:rPr>
      </w:pPr>
    </w:p>
    <w:p w14:paraId="695C6BD3" w14:textId="328A466A" w:rsidR="00E87581" w:rsidRDefault="004F1FBA" w:rsidP="00E87581">
      <w:pPr>
        <w:tabs>
          <w:tab w:val="left" w:pos="993"/>
        </w:tabs>
        <w:spacing w:after="120"/>
        <w:contextualSpacing/>
        <w:jc w:val="both"/>
      </w:pPr>
      <w:r>
        <w:t xml:space="preserve">            </w:t>
      </w:r>
      <w:r w:rsidR="00E87581">
        <w:t>Операциите с чужди средства към 31.12.2021 г. възлизат (нето) на минус 0,1 млн. лв.</w:t>
      </w:r>
    </w:p>
    <w:p w14:paraId="19A16D73" w14:textId="77777777" w:rsidR="00E87581" w:rsidRDefault="00E87581" w:rsidP="00E87581">
      <w:pPr>
        <w:tabs>
          <w:tab w:val="left" w:pos="709"/>
        </w:tabs>
        <w:spacing w:after="120"/>
        <w:contextualSpacing/>
        <w:jc w:val="both"/>
      </w:pPr>
      <w:r>
        <w:rPr>
          <w:lang w:eastAsia="bg-BG"/>
        </w:rPr>
        <w:tab/>
        <w:t xml:space="preserve">Предоставените суми (нето) </w:t>
      </w:r>
      <w:r>
        <w:t>по разчети с ЦБ за финансиране на плащания при недостиг на средства по сметки</w:t>
      </w:r>
      <w:r>
        <w:rPr>
          <w:lang w:eastAsia="bg-BG"/>
        </w:rPr>
        <w:t xml:space="preserve"> към 31.12.2021 г. възлизат на -133,7 млн. лв. при планирани 83,2 млн. лв.</w:t>
      </w:r>
      <w:r>
        <w:t xml:space="preserve"> </w:t>
      </w:r>
    </w:p>
    <w:p w14:paraId="60F0888D" w14:textId="77777777" w:rsidR="00E87581" w:rsidRPr="00BA4AB9" w:rsidRDefault="00E87581" w:rsidP="00E87581">
      <w:pPr>
        <w:tabs>
          <w:tab w:val="left" w:pos="540"/>
        </w:tabs>
        <w:spacing w:before="120"/>
        <w:ind w:firstLine="567"/>
        <w:jc w:val="both"/>
        <w:rPr>
          <w:color w:val="0070C0"/>
        </w:rPr>
      </w:pPr>
      <w:r w:rsidRPr="00BA4AB9">
        <w:rPr>
          <w:color w:val="0070C0"/>
          <w:lang w:eastAsia="bg-BG"/>
        </w:rPr>
        <w:tab/>
      </w:r>
    </w:p>
    <w:p w14:paraId="06B376C6" w14:textId="77777777" w:rsidR="00E87581" w:rsidRPr="004B6296" w:rsidRDefault="00E87581" w:rsidP="00E87581">
      <w:pPr>
        <w:pStyle w:val="Heading1"/>
        <w:numPr>
          <w:ilvl w:val="1"/>
          <w:numId w:val="10"/>
        </w:numPr>
        <w:spacing w:after="120"/>
        <w:ind w:left="788" w:right="-108" w:hanging="431"/>
        <w:jc w:val="both"/>
        <w:rPr>
          <w:sz w:val="24"/>
        </w:rPr>
      </w:pPr>
      <w:r w:rsidRPr="004B6296">
        <w:rPr>
          <w:sz w:val="24"/>
        </w:rPr>
        <w:t>Национален фонд към Министерство на финансите</w:t>
      </w:r>
    </w:p>
    <w:p w14:paraId="2DE02C79" w14:textId="77777777" w:rsidR="00E87581" w:rsidRDefault="00E87581" w:rsidP="00E87581">
      <w:pPr>
        <w:pStyle w:val="BodyTextIndent"/>
        <w:ind w:left="0" w:firstLine="686"/>
        <w:jc w:val="both"/>
        <w:rPr>
          <w:bCs/>
          <w:color w:val="0070C0"/>
          <w:szCs w:val="20"/>
        </w:rPr>
      </w:pPr>
      <w:r>
        <w:rPr>
          <w:bCs/>
        </w:rPr>
        <w:t>По сметките на НФ към 3</w:t>
      </w:r>
      <w:r>
        <w:rPr>
          <w:bCs/>
          <w:lang w:val="ru-RU"/>
        </w:rPr>
        <w:t>1</w:t>
      </w:r>
      <w:r>
        <w:rPr>
          <w:bCs/>
        </w:rPr>
        <w:t>.</w:t>
      </w:r>
      <w:r>
        <w:rPr>
          <w:bCs/>
          <w:lang w:val="ru-RU"/>
        </w:rPr>
        <w:t>12</w:t>
      </w:r>
      <w:r>
        <w:rPr>
          <w:bCs/>
        </w:rPr>
        <w:t>.2021 г. са постъпили приходи (нето) в размер на 2 220,9 млн. лева по програмите, съфинансирани от Европейския фонд за регионално развитие, Европейския социален фонд (включително Инициативата за младежка заетост), Кохезионния фонд и Фонда за европейско подпомагане на най-нуждаещите се лица (ФЕПНЛ) на ЕС за финансовата рамка 2014–2020 г. и двустранните програми за трансгранично сътрудничество по външните граници на EС (ПТСВГ) за периода 2014 – 2020 г., като в тази сума са включени и отразените (нето) в отчетността на НФ операции по постъпването по банковите бюджетни сметки на Министерство на регионалното развитие и благоустройството (МРРБ) на чуждото финансиране по ПТСВГ и изплатените средства от получения ресурс към бенефициенти извън страната.</w:t>
      </w:r>
    </w:p>
    <w:p w14:paraId="0C16EDAF" w14:textId="77777777" w:rsidR="00E87581" w:rsidRDefault="00E87581" w:rsidP="00E87581">
      <w:pPr>
        <w:pStyle w:val="BodyTextIndent"/>
        <w:ind w:left="0" w:firstLine="686"/>
        <w:jc w:val="both"/>
        <w:rPr>
          <w:bCs/>
        </w:rPr>
      </w:pPr>
      <w:r>
        <w:rPr>
          <w:bCs/>
        </w:rPr>
        <w:t>Извършените разходи (нето) за периода с натрупване чрез сметките на НФ възлизат на 857,2 млн. лева. По видове разходи изпълнението е както следва: 49,26 % от общата стойност са капиталови трансфери, 49,76 % са субсидии, 0,98 % предоставени текущи и капиталови трансфери за чужбина и 0,002 % - издръжка.</w:t>
      </w:r>
    </w:p>
    <w:p w14:paraId="66A9103D" w14:textId="77777777" w:rsidR="00E87581" w:rsidRDefault="00E87581" w:rsidP="00E87581">
      <w:pPr>
        <w:pStyle w:val="BodyTextIndent"/>
        <w:ind w:left="0" w:firstLine="686"/>
        <w:jc w:val="both"/>
        <w:rPr>
          <w:bCs/>
          <w:color w:val="0070C0"/>
        </w:rPr>
      </w:pPr>
      <w:r>
        <w:rPr>
          <w:bCs/>
        </w:rPr>
        <w:t>Трансферите (нето), временните безлихвени заеми (нето) и временна възмездна финансова помощ за 2021 г. са на стойност 1 494,</w:t>
      </w:r>
      <w:r>
        <w:rPr>
          <w:bCs/>
          <w:lang w:val="ru-RU"/>
        </w:rPr>
        <w:t>4</w:t>
      </w:r>
      <w:r>
        <w:rPr>
          <w:bCs/>
        </w:rPr>
        <w:t xml:space="preserve"> млн. лв. (включват предоставените трансфери към бенефициенти по Оперативните програми (ОП) на ЕС - програмен период 2014 – 2020 г., ПТСВГ за периода 2014 – 2020 г., ФМ на ЕИП 2014 – 2021 г. и НФМ 2014 – 2021 г., както и възстановени трансфери от бенефициенти-бюджетни организации за неусвоени суми по приключили проекти, за недопустими разходи или други надплащания. В консолидираната отчетност на НФ са отразени и трансфери (нето) към бенефициенти – бюджетни организации, които са за сметка на средства, предоставени от държавите-партньори по ПТСВГ.</w:t>
      </w:r>
    </w:p>
    <w:p w14:paraId="141D2737" w14:textId="34F8EC17" w:rsidR="00E87581" w:rsidRDefault="00E87581" w:rsidP="00E87581">
      <w:pPr>
        <w:pStyle w:val="BodyTextIndent"/>
        <w:ind w:left="0" w:firstLine="686"/>
        <w:jc w:val="both"/>
        <w:rPr>
          <w:bCs/>
        </w:rPr>
      </w:pPr>
      <w:r>
        <w:rPr>
          <w:bCs/>
          <w:color w:val="0070C0"/>
        </w:rPr>
        <w:t xml:space="preserve"> </w:t>
      </w:r>
      <w:r>
        <w:rPr>
          <w:bCs/>
        </w:rPr>
        <w:t>Във връзка с изпълнение на ОП - програмен период 2014 – 2020 г. и ПТСВГ 2014 – 2020 г. по сметките на НФ са получени трансфери от централния бюджет на стойност 311,2 млн. лева.</w:t>
      </w:r>
    </w:p>
    <w:p w14:paraId="3D761D81" w14:textId="0375E8D3" w:rsidR="00E87581" w:rsidRDefault="00E87581" w:rsidP="00E87581">
      <w:pPr>
        <w:pStyle w:val="BodyTextIndent"/>
        <w:ind w:left="0" w:firstLine="686"/>
        <w:jc w:val="both"/>
        <w:rPr>
          <w:bCs/>
        </w:rPr>
      </w:pPr>
      <w:r>
        <w:rPr>
          <w:bCs/>
        </w:rPr>
        <w:t>Общата сума от други приходи (корективи за касови постъпления, отчетени за дъ</w:t>
      </w:r>
      <w:r w:rsidR="00BC7778">
        <w:rPr>
          <w:bCs/>
        </w:rPr>
        <w:t>лжими суми от бенефициенти), отчетени по сметката за средства от ЕС</w:t>
      </w:r>
      <w:r>
        <w:rPr>
          <w:bCs/>
        </w:rPr>
        <w:t xml:space="preserve"> на НФ, са в размер на 7,6 млн. лева.</w:t>
      </w:r>
    </w:p>
    <w:p w14:paraId="7756C45D" w14:textId="77777777" w:rsidR="00E87581" w:rsidRDefault="00E87581" w:rsidP="00E87581">
      <w:pPr>
        <w:pStyle w:val="BodyTextIndent"/>
        <w:ind w:left="0" w:firstLine="686"/>
        <w:jc w:val="both"/>
        <w:rPr>
          <w:bCs/>
        </w:rPr>
      </w:pPr>
      <w:r>
        <w:rPr>
          <w:bCs/>
        </w:rPr>
        <w:t>Наличностите по сметката за средства от ЕС на НФ към 31.12.2021 г. възлизат на 3 085,2 млн. лв. (в отчета на НФ са включени и наличностите на Фонда мениджър на финансови инструменти в България (Фонд на фондовете), които са на стойност 206,2 млн. лв.), като в БНБ наличните средства са в размер на 3 083,2 млн. лв., а в търговските банки (УниКредит Булбанк АД и Банка ДСК ЕАД) са в размер на 2,0 млн. лева.</w:t>
      </w:r>
    </w:p>
    <w:p w14:paraId="56B81035" w14:textId="77777777" w:rsidR="00E87581" w:rsidRDefault="00E87581" w:rsidP="00E87581">
      <w:pPr>
        <w:pStyle w:val="BodyTextIndent"/>
        <w:spacing w:before="120"/>
        <w:ind w:left="0" w:firstLine="686"/>
        <w:jc w:val="both"/>
        <w:rPr>
          <w:b/>
          <w:bCs/>
        </w:rPr>
      </w:pPr>
      <w:r>
        <w:rPr>
          <w:b/>
          <w:bCs/>
        </w:rPr>
        <w:t>Структурни и Кохезионен фондове (СКФ) 2007 – 2013 г.</w:t>
      </w:r>
    </w:p>
    <w:p w14:paraId="6E5294CC" w14:textId="0E54FA3D" w:rsidR="00E87581" w:rsidRDefault="00E87581" w:rsidP="00E87581">
      <w:pPr>
        <w:pStyle w:val="BodyTextIndent"/>
        <w:ind w:left="0" w:firstLine="686"/>
        <w:jc w:val="both"/>
        <w:rPr>
          <w:bCs/>
        </w:rPr>
      </w:pPr>
      <w:r>
        <w:rPr>
          <w:bCs/>
        </w:rPr>
        <w:t>П</w:t>
      </w:r>
      <w:r w:rsidR="00BC7778">
        <w:rPr>
          <w:bCs/>
        </w:rPr>
        <w:t>рез отчетния период са отчетени</w:t>
      </w:r>
      <w:r>
        <w:rPr>
          <w:bCs/>
        </w:rPr>
        <w:t xml:space="preserve"> (нето) въ</w:t>
      </w:r>
      <w:r w:rsidR="00BC7778">
        <w:rPr>
          <w:bCs/>
        </w:rPr>
        <w:t>зстановени суми от бенефициенти на стойност</w:t>
      </w:r>
      <w:r>
        <w:rPr>
          <w:bCs/>
        </w:rPr>
        <w:t xml:space="preserve"> 36,8 млн. лева.</w:t>
      </w:r>
    </w:p>
    <w:p w14:paraId="71234440" w14:textId="79D62B9E" w:rsidR="00E87581" w:rsidRDefault="00E87581" w:rsidP="00E87581">
      <w:pPr>
        <w:pStyle w:val="BodyTextIndent"/>
        <w:ind w:left="0" w:firstLine="686"/>
        <w:jc w:val="both"/>
        <w:rPr>
          <w:bCs/>
        </w:rPr>
      </w:pPr>
      <w:r>
        <w:rPr>
          <w:bCs/>
        </w:rPr>
        <w:t>През отчетния период е възстановено авансово финансиране, предоставено по реда на ДДС6/2011 г. на бюд</w:t>
      </w:r>
      <w:r w:rsidR="00CC5ACE">
        <w:rPr>
          <w:bCs/>
        </w:rPr>
        <w:t>жетни организации на стойност</w:t>
      </w:r>
      <w:r>
        <w:rPr>
          <w:bCs/>
        </w:rPr>
        <w:t xml:space="preserve"> 1,4 млн. лева. </w:t>
      </w:r>
    </w:p>
    <w:p w14:paraId="70FE4C0D" w14:textId="77777777" w:rsidR="00E87581" w:rsidRDefault="00E87581" w:rsidP="00E87581">
      <w:pPr>
        <w:pStyle w:val="BodyTextIndent"/>
        <w:spacing w:before="120"/>
        <w:ind w:left="0" w:firstLine="686"/>
        <w:jc w:val="both"/>
        <w:rPr>
          <w:b/>
          <w:bCs/>
        </w:rPr>
      </w:pPr>
      <w:r>
        <w:rPr>
          <w:bCs/>
        </w:rPr>
        <w:lastRenderedPageBreak/>
        <w:tab/>
        <w:t xml:space="preserve"> </w:t>
      </w:r>
      <w:r>
        <w:rPr>
          <w:b/>
          <w:bCs/>
        </w:rPr>
        <w:t>Европейски фонд за регионално развитие, Европейски социален фонд (включително Инициативата за младежка заетост), Кохезионния фонд и ФЕПНЛ на Европейския съюз за финансова рамка 2014 – 2020 г.</w:t>
      </w:r>
    </w:p>
    <w:p w14:paraId="66B871DA" w14:textId="77777777" w:rsidR="00E87581" w:rsidRDefault="00E87581" w:rsidP="00E87581">
      <w:pPr>
        <w:pStyle w:val="BodyTextIndent"/>
        <w:ind w:left="0" w:firstLine="686"/>
        <w:jc w:val="both"/>
        <w:rPr>
          <w:bCs/>
        </w:rPr>
      </w:pPr>
      <w:r>
        <w:rPr>
          <w:bCs/>
        </w:rPr>
        <w:tab/>
        <w:t>Общо получените средства (нето) от ЕК за периода са в размер на 2 167,6 млн. лв. (в тях влизат и получените приходи по REACT-EU в размер на 350,6 млн. лева) и са разпределени както следва:</w:t>
      </w:r>
    </w:p>
    <w:p w14:paraId="4CF49E06" w14:textId="77777777" w:rsidR="00E87581" w:rsidRPr="00C413BB" w:rsidRDefault="00E87581" w:rsidP="00E87581">
      <w:pPr>
        <w:pStyle w:val="BodyTextIndent"/>
        <w:numPr>
          <w:ilvl w:val="0"/>
          <w:numId w:val="12"/>
        </w:numPr>
        <w:tabs>
          <w:tab w:val="clear" w:pos="1101"/>
          <w:tab w:val="num" w:pos="786"/>
        </w:tabs>
        <w:spacing w:after="0"/>
        <w:ind w:left="0" w:firstLine="360"/>
        <w:jc w:val="both"/>
        <w:rPr>
          <w:bCs/>
        </w:rPr>
      </w:pPr>
      <w:r w:rsidRPr="00C413BB">
        <w:rPr>
          <w:bCs/>
        </w:rPr>
        <w:t>ОП „Иновации и конкурентоспособност” – 447</w:t>
      </w:r>
      <w:r>
        <w:rPr>
          <w:bCs/>
        </w:rPr>
        <w:t>,</w:t>
      </w:r>
      <w:r w:rsidRPr="00C413BB">
        <w:rPr>
          <w:bCs/>
        </w:rPr>
        <w:t>2 млн. лв. (вкл. REACT-EU в размер на 55</w:t>
      </w:r>
      <w:r>
        <w:rPr>
          <w:bCs/>
        </w:rPr>
        <w:t>,</w:t>
      </w:r>
      <w:r w:rsidRPr="00C413BB">
        <w:rPr>
          <w:bCs/>
        </w:rPr>
        <w:t xml:space="preserve">3 млн. лева);  </w:t>
      </w:r>
    </w:p>
    <w:p w14:paraId="5F5F203F" w14:textId="77777777" w:rsidR="00E87581" w:rsidRPr="00C413BB" w:rsidRDefault="00E87581" w:rsidP="00E87581">
      <w:pPr>
        <w:pStyle w:val="BodyTextIndent"/>
        <w:numPr>
          <w:ilvl w:val="0"/>
          <w:numId w:val="12"/>
        </w:numPr>
        <w:tabs>
          <w:tab w:val="clear" w:pos="1101"/>
          <w:tab w:val="num" w:pos="786"/>
        </w:tabs>
        <w:spacing w:after="0"/>
        <w:ind w:left="0" w:firstLine="360"/>
        <w:jc w:val="both"/>
        <w:rPr>
          <w:bCs/>
        </w:rPr>
      </w:pPr>
      <w:r w:rsidRPr="00C413BB">
        <w:rPr>
          <w:bCs/>
        </w:rPr>
        <w:t>ОП „Добро управление” – 35</w:t>
      </w:r>
      <w:r>
        <w:rPr>
          <w:bCs/>
        </w:rPr>
        <w:t>,</w:t>
      </w:r>
      <w:r w:rsidRPr="00C413BB">
        <w:rPr>
          <w:bCs/>
        </w:rPr>
        <w:t>2 млн. лв.;</w:t>
      </w:r>
    </w:p>
    <w:p w14:paraId="5F650972" w14:textId="77777777" w:rsidR="00E87581" w:rsidRPr="00C413BB" w:rsidRDefault="00E87581" w:rsidP="00E87581">
      <w:pPr>
        <w:pStyle w:val="BodyTextIndent"/>
        <w:numPr>
          <w:ilvl w:val="0"/>
          <w:numId w:val="12"/>
        </w:numPr>
        <w:tabs>
          <w:tab w:val="clear" w:pos="1101"/>
          <w:tab w:val="num" w:pos="786"/>
        </w:tabs>
        <w:spacing w:after="0"/>
        <w:ind w:left="0" w:firstLine="360"/>
        <w:jc w:val="both"/>
        <w:rPr>
          <w:bCs/>
        </w:rPr>
      </w:pPr>
      <w:r w:rsidRPr="00C413BB">
        <w:rPr>
          <w:bCs/>
        </w:rPr>
        <w:t>ОП „Транспорт и транспортна инфраструктура” – 295</w:t>
      </w:r>
      <w:r>
        <w:rPr>
          <w:bCs/>
        </w:rPr>
        <w:t>,</w:t>
      </w:r>
      <w:r w:rsidRPr="00C413BB">
        <w:rPr>
          <w:bCs/>
        </w:rPr>
        <w:t>2 млн. лв.;</w:t>
      </w:r>
    </w:p>
    <w:p w14:paraId="42283E38" w14:textId="77777777" w:rsidR="00E87581" w:rsidRPr="00C413BB" w:rsidRDefault="00E87581" w:rsidP="00E87581">
      <w:pPr>
        <w:pStyle w:val="BodyTextIndent"/>
        <w:numPr>
          <w:ilvl w:val="0"/>
          <w:numId w:val="12"/>
        </w:numPr>
        <w:tabs>
          <w:tab w:val="clear" w:pos="1101"/>
          <w:tab w:val="num" w:pos="786"/>
        </w:tabs>
        <w:spacing w:after="0"/>
        <w:ind w:left="0" w:firstLine="360"/>
        <w:jc w:val="both"/>
        <w:rPr>
          <w:bCs/>
        </w:rPr>
      </w:pPr>
      <w:r w:rsidRPr="00C413BB">
        <w:rPr>
          <w:bCs/>
        </w:rPr>
        <w:t>ОП „Околна среда 2014 – 2020 г.“ – 292</w:t>
      </w:r>
      <w:r>
        <w:rPr>
          <w:bCs/>
        </w:rPr>
        <w:t>,</w:t>
      </w:r>
      <w:r w:rsidRPr="00C413BB">
        <w:rPr>
          <w:bCs/>
        </w:rPr>
        <w:t>3 млн. лв.;</w:t>
      </w:r>
    </w:p>
    <w:p w14:paraId="1CE7C216" w14:textId="77777777" w:rsidR="00E87581" w:rsidRPr="00C413BB" w:rsidRDefault="00E87581" w:rsidP="00E87581">
      <w:pPr>
        <w:pStyle w:val="BodyTextIndent"/>
        <w:numPr>
          <w:ilvl w:val="0"/>
          <w:numId w:val="12"/>
        </w:numPr>
        <w:tabs>
          <w:tab w:val="clear" w:pos="1101"/>
          <w:tab w:val="num" w:pos="786"/>
        </w:tabs>
        <w:spacing w:after="0"/>
        <w:ind w:left="0" w:firstLine="360"/>
        <w:jc w:val="both"/>
        <w:rPr>
          <w:bCs/>
        </w:rPr>
      </w:pPr>
      <w:r w:rsidRPr="00C413BB">
        <w:rPr>
          <w:bCs/>
        </w:rPr>
        <w:t>ОП „Развитие на човешките ресурси 2014 - 2020 г.” – 438</w:t>
      </w:r>
      <w:r>
        <w:rPr>
          <w:bCs/>
        </w:rPr>
        <w:t>,</w:t>
      </w:r>
      <w:r w:rsidRPr="00C413BB">
        <w:rPr>
          <w:bCs/>
        </w:rPr>
        <w:t>8 млн. лв.</w:t>
      </w:r>
      <w:r w:rsidRPr="00C413BB">
        <w:t xml:space="preserve"> (</w:t>
      </w:r>
      <w:r w:rsidRPr="00C413BB">
        <w:rPr>
          <w:bCs/>
        </w:rPr>
        <w:t>вкл. REACT-EU в размер на 174</w:t>
      </w:r>
      <w:r>
        <w:rPr>
          <w:bCs/>
        </w:rPr>
        <w:t>,</w:t>
      </w:r>
      <w:r w:rsidRPr="00C413BB">
        <w:rPr>
          <w:bCs/>
        </w:rPr>
        <w:t>8 млн. лева);</w:t>
      </w:r>
    </w:p>
    <w:p w14:paraId="020D945F" w14:textId="77777777" w:rsidR="00E87581" w:rsidRPr="00C413BB" w:rsidRDefault="00E87581" w:rsidP="00E87581">
      <w:pPr>
        <w:pStyle w:val="BodyTextIndent"/>
        <w:numPr>
          <w:ilvl w:val="0"/>
          <w:numId w:val="12"/>
        </w:numPr>
        <w:tabs>
          <w:tab w:val="clear" w:pos="1101"/>
          <w:tab w:val="num" w:pos="786"/>
        </w:tabs>
        <w:spacing w:after="0"/>
        <w:ind w:left="0" w:firstLine="360"/>
        <w:jc w:val="both"/>
        <w:rPr>
          <w:bCs/>
        </w:rPr>
      </w:pPr>
      <w:r w:rsidRPr="00C413BB">
        <w:rPr>
          <w:bCs/>
        </w:rPr>
        <w:t>Инициативата за младежка заетост – 9</w:t>
      </w:r>
      <w:r>
        <w:rPr>
          <w:bCs/>
        </w:rPr>
        <w:t>,</w:t>
      </w:r>
      <w:r w:rsidRPr="00C413BB">
        <w:rPr>
          <w:bCs/>
        </w:rPr>
        <w:t>4 млн. лв.;</w:t>
      </w:r>
    </w:p>
    <w:p w14:paraId="5E01B3D6" w14:textId="77777777" w:rsidR="00E87581" w:rsidRPr="00C413BB" w:rsidRDefault="00E87581" w:rsidP="00E87581">
      <w:pPr>
        <w:pStyle w:val="BodyTextIndent"/>
        <w:numPr>
          <w:ilvl w:val="0"/>
          <w:numId w:val="12"/>
        </w:numPr>
        <w:tabs>
          <w:tab w:val="clear" w:pos="1101"/>
          <w:tab w:val="num" w:pos="786"/>
        </w:tabs>
        <w:spacing w:after="0"/>
        <w:ind w:left="0" w:firstLine="360"/>
        <w:jc w:val="both"/>
        <w:rPr>
          <w:bCs/>
        </w:rPr>
      </w:pPr>
      <w:r w:rsidRPr="00C413BB">
        <w:rPr>
          <w:bCs/>
        </w:rPr>
        <w:t>ОП „Региони в растеж“ – 389</w:t>
      </w:r>
      <w:r>
        <w:rPr>
          <w:bCs/>
        </w:rPr>
        <w:t>,</w:t>
      </w:r>
      <w:r w:rsidRPr="00C413BB">
        <w:rPr>
          <w:bCs/>
        </w:rPr>
        <w:t>4 млн. лв. . (вкл. REACT-EU в размер на 16</w:t>
      </w:r>
      <w:r>
        <w:rPr>
          <w:bCs/>
        </w:rPr>
        <w:t>,</w:t>
      </w:r>
      <w:r w:rsidRPr="00C413BB">
        <w:rPr>
          <w:bCs/>
        </w:rPr>
        <w:t>8 млн. лева);</w:t>
      </w:r>
    </w:p>
    <w:p w14:paraId="025D02D9" w14:textId="77777777" w:rsidR="00E87581" w:rsidRPr="00C413BB" w:rsidRDefault="00E87581" w:rsidP="00E87581">
      <w:pPr>
        <w:pStyle w:val="BodyTextIndent"/>
        <w:numPr>
          <w:ilvl w:val="0"/>
          <w:numId w:val="12"/>
        </w:numPr>
        <w:tabs>
          <w:tab w:val="clear" w:pos="1101"/>
          <w:tab w:val="num" w:pos="786"/>
        </w:tabs>
        <w:spacing w:after="0"/>
        <w:ind w:left="0" w:firstLine="360"/>
        <w:jc w:val="both"/>
        <w:rPr>
          <w:bCs/>
        </w:rPr>
      </w:pPr>
      <w:r w:rsidRPr="00C413BB">
        <w:rPr>
          <w:bCs/>
        </w:rPr>
        <w:t>ОП за храни и/или основно материално подпомагане от Фонда за европейско подпомагане на най-нуждаещите се лица в България за периода 2014 – 2020 г. – 36</w:t>
      </w:r>
      <w:r>
        <w:rPr>
          <w:bCs/>
        </w:rPr>
        <w:t>,</w:t>
      </w:r>
      <w:r w:rsidRPr="00C413BB">
        <w:rPr>
          <w:bCs/>
        </w:rPr>
        <w:t>8 млн. лв. (вкл. REACT-EU в размер на 20</w:t>
      </w:r>
      <w:r>
        <w:rPr>
          <w:bCs/>
        </w:rPr>
        <w:t>,</w:t>
      </w:r>
      <w:r w:rsidRPr="00C413BB">
        <w:rPr>
          <w:bCs/>
        </w:rPr>
        <w:t>8 млн. лева) и</w:t>
      </w:r>
    </w:p>
    <w:p w14:paraId="4542EABD" w14:textId="77777777" w:rsidR="00E87581" w:rsidRPr="00C413BB" w:rsidRDefault="00E87581" w:rsidP="00E87581">
      <w:pPr>
        <w:pStyle w:val="BodyTextIndent"/>
        <w:numPr>
          <w:ilvl w:val="0"/>
          <w:numId w:val="12"/>
        </w:numPr>
        <w:tabs>
          <w:tab w:val="clear" w:pos="1101"/>
          <w:tab w:val="num" w:pos="786"/>
        </w:tabs>
        <w:spacing w:after="0"/>
        <w:ind w:left="0" w:firstLine="360"/>
        <w:jc w:val="both"/>
        <w:rPr>
          <w:bCs/>
        </w:rPr>
      </w:pPr>
      <w:r w:rsidRPr="00C413BB">
        <w:rPr>
          <w:bCs/>
        </w:rPr>
        <w:t>ОП „Наука и образование за интелигентен растеж” – 223</w:t>
      </w:r>
      <w:r>
        <w:rPr>
          <w:bCs/>
        </w:rPr>
        <w:t>,</w:t>
      </w:r>
      <w:r w:rsidRPr="00C413BB">
        <w:rPr>
          <w:bCs/>
        </w:rPr>
        <w:t>3 млн. лв. (вкл. REACT-EU в размер на 82</w:t>
      </w:r>
      <w:r>
        <w:rPr>
          <w:bCs/>
        </w:rPr>
        <w:t>,</w:t>
      </w:r>
      <w:r w:rsidRPr="00C413BB">
        <w:rPr>
          <w:bCs/>
        </w:rPr>
        <w:t>8 млн. лева).</w:t>
      </w:r>
    </w:p>
    <w:p w14:paraId="33343F70" w14:textId="77777777" w:rsidR="00E87581" w:rsidRDefault="00E87581" w:rsidP="00E87581">
      <w:pPr>
        <w:pStyle w:val="BodyTextIndent"/>
        <w:ind w:left="0" w:firstLine="360"/>
        <w:jc w:val="both"/>
        <w:rPr>
          <w:bCs/>
          <w:color w:val="0070C0"/>
        </w:rPr>
      </w:pPr>
      <w:r>
        <w:rPr>
          <w:bCs/>
        </w:rPr>
        <w:t>Направените разходи (нето) по Оперативни програми и трансферите (нето) към бюджетни организации и операции с активи към края на годината са на стойност 2 456,6 млн. лв. (в тях влизат и извършените разходи по REACT-EU в размер на 429,3 млн. лева), като разпределението по Оперативни програми е следното:</w:t>
      </w:r>
    </w:p>
    <w:p w14:paraId="76726FF2" w14:textId="77777777" w:rsidR="00E87581" w:rsidRPr="00B0097B" w:rsidRDefault="00E87581" w:rsidP="00E87581">
      <w:pPr>
        <w:pStyle w:val="BodyTextIndent"/>
        <w:numPr>
          <w:ilvl w:val="0"/>
          <w:numId w:val="12"/>
        </w:numPr>
        <w:tabs>
          <w:tab w:val="clear" w:pos="1101"/>
          <w:tab w:val="num" w:pos="786"/>
        </w:tabs>
        <w:spacing w:after="0"/>
        <w:ind w:left="0" w:firstLine="360"/>
        <w:jc w:val="both"/>
        <w:rPr>
          <w:bCs/>
        </w:rPr>
      </w:pPr>
      <w:r w:rsidRPr="00B0097B">
        <w:rPr>
          <w:bCs/>
        </w:rPr>
        <w:t>ОП „Развитие на човешките ресурси 2014 - 2020 г.” – 486</w:t>
      </w:r>
      <w:r>
        <w:rPr>
          <w:bCs/>
        </w:rPr>
        <w:t>,</w:t>
      </w:r>
      <w:r w:rsidRPr="00B0097B">
        <w:rPr>
          <w:bCs/>
        </w:rPr>
        <w:t>3 млн. лв.</w:t>
      </w:r>
      <w:r w:rsidRPr="00B0097B">
        <w:t xml:space="preserve"> </w:t>
      </w:r>
      <w:r w:rsidRPr="00B0097B">
        <w:rPr>
          <w:bCs/>
        </w:rPr>
        <w:t>(вкл. REACT-EU в размер на 198</w:t>
      </w:r>
      <w:r>
        <w:rPr>
          <w:bCs/>
        </w:rPr>
        <w:t>,</w:t>
      </w:r>
      <w:r w:rsidRPr="00B0097B">
        <w:rPr>
          <w:bCs/>
        </w:rPr>
        <w:t>5</w:t>
      </w:r>
      <w:r w:rsidRPr="009B50C9">
        <w:rPr>
          <w:bCs/>
        </w:rPr>
        <w:t xml:space="preserve"> </w:t>
      </w:r>
      <w:r w:rsidRPr="00B0097B">
        <w:rPr>
          <w:bCs/>
        </w:rPr>
        <w:t>млн. лева);</w:t>
      </w:r>
    </w:p>
    <w:p w14:paraId="1F3D82F7" w14:textId="77777777" w:rsidR="00E87581" w:rsidRPr="00B0097B" w:rsidRDefault="00E87581" w:rsidP="00E87581">
      <w:pPr>
        <w:pStyle w:val="BodyTextIndent"/>
        <w:numPr>
          <w:ilvl w:val="0"/>
          <w:numId w:val="12"/>
        </w:numPr>
        <w:tabs>
          <w:tab w:val="clear" w:pos="1101"/>
          <w:tab w:val="num" w:pos="786"/>
        </w:tabs>
        <w:spacing w:after="0"/>
        <w:ind w:left="0" w:firstLine="360"/>
        <w:jc w:val="both"/>
        <w:rPr>
          <w:bCs/>
        </w:rPr>
      </w:pPr>
      <w:r w:rsidRPr="00B0097B">
        <w:rPr>
          <w:bCs/>
        </w:rPr>
        <w:t>Инициативата за младежка заетост – 15</w:t>
      </w:r>
      <w:r>
        <w:rPr>
          <w:bCs/>
        </w:rPr>
        <w:t>,</w:t>
      </w:r>
      <w:r w:rsidRPr="00B0097B">
        <w:rPr>
          <w:bCs/>
        </w:rPr>
        <w:t>5 млн. лв.;</w:t>
      </w:r>
    </w:p>
    <w:p w14:paraId="15D5EE83" w14:textId="77777777" w:rsidR="00E87581" w:rsidRPr="00B0097B" w:rsidRDefault="00E87581" w:rsidP="00E87581">
      <w:pPr>
        <w:pStyle w:val="BodyTextIndent"/>
        <w:numPr>
          <w:ilvl w:val="0"/>
          <w:numId w:val="12"/>
        </w:numPr>
        <w:tabs>
          <w:tab w:val="clear" w:pos="1101"/>
          <w:tab w:val="num" w:pos="786"/>
        </w:tabs>
        <w:spacing w:after="0"/>
        <w:ind w:left="0" w:firstLine="360"/>
        <w:jc w:val="both"/>
        <w:rPr>
          <w:bCs/>
        </w:rPr>
      </w:pPr>
      <w:r w:rsidRPr="00B0097B">
        <w:rPr>
          <w:bCs/>
        </w:rPr>
        <w:t>ОП за храни и/или основно материално подпомагане от Фонда за европейско подпомагане на най-нуждаещите се лица в България за периода 2014 – 2020 г. – 49</w:t>
      </w:r>
      <w:r>
        <w:rPr>
          <w:bCs/>
        </w:rPr>
        <w:t>,</w:t>
      </w:r>
      <w:r w:rsidRPr="00B0097B">
        <w:rPr>
          <w:bCs/>
        </w:rPr>
        <w:t>2 млн. лева (вкл. REACT-EU в размер на 31</w:t>
      </w:r>
      <w:r>
        <w:rPr>
          <w:bCs/>
        </w:rPr>
        <w:t>,</w:t>
      </w:r>
      <w:r w:rsidRPr="00B0097B">
        <w:rPr>
          <w:bCs/>
        </w:rPr>
        <w:t>7 млн. лева);</w:t>
      </w:r>
    </w:p>
    <w:p w14:paraId="4B2BD495" w14:textId="77777777" w:rsidR="00E87581" w:rsidRPr="00B0097B" w:rsidRDefault="00E87581" w:rsidP="00E87581">
      <w:pPr>
        <w:pStyle w:val="BodyTextIndent"/>
        <w:numPr>
          <w:ilvl w:val="0"/>
          <w:numId w:val="12"/>
        </w:numPr>
        <w:tabs>
          <w:tab w:val="clear" w:pos="1101"/>
          <w:tab w:val="num" w:pos="786"/>
        </w:tabs>
        <w:spacing w:after="0"/>
        <w:ind w:left="0" w:firstLine="360"/>
        <w:jc w:val="both"/>
        <w:rPr>
          <w:bCs/>
        </w:rPr>
      </w:pPr>
      <w:r w:rsidRPr="00B0097B">
        <w:rPr>
          <w:bCs/>
        </w:rPr>
        <w:t>ОП „Иновации и конкурентоспособност” – 637</w:t>
      </w:r>
      <w:r>
        <w:rPr>
          <w:bCs/>
        </w:rPr>
        <w:t>,</w:t>
      </w:r>
      <w:r w:rsidRPr="00B0097B">
        <w:rPr>
          <w:bCs/>
        </w:rPr>
        <w:t>1 млн. лв. (вкл. REACT-EU в размер на 125</w:t>
      </w:r>
      <w:r>
        <w:rPr>
          <w:bCs/>
        </w:rPr>
        <w:t>,</w:t>
      </w:r>
      <w:r w:rsidRPr="00B0097B">
        <w:rPr>
          <w:bCs/>
        </w:rPr>
        <w:t>9 млн. лева);</w:t>
      </w:r>
    </w:p>
    <w:p w14:paraId="6B872C6C" w14:textId="77777777" w:rsidR="00E87581" w:rsidRPr="00B0097B" w:rsidRDefault="00E87581" w:rsidP="00E87581">
      <w:pPr>
        <w:pStyle w:val="BodyTextIndent"/>
        <w:numPr>
          <w:ilvl w:val="0"/>
          <w:numId w:val="12"/>
        </w:numPr>
        <w:tabs>
          <w:tab w:val="clear" w:pos="1101"/>
          <w:tab w:val="num" w:pos="786"/>
        </w:tabs>
        <w:spacing w:after="0"/>
        <w:ind w:left="0" w:firstLine="360"/>
        <w:jc w:val="both"/>
        <w:rPr>
          <w:bCs/>
        </w:rPr>
      </w:pPr>
      <w:r w:rsidRPr="00B0097B">
        <w:rPr>
          <w:bCs/>
        </w:rPr>
        <w:t>ОП „Добро управление” – 58</w:t>
      </w:r>
      <w:r>
        <w:rPr>
          <w:bCs/>
        </w:rPr>
        <w:t>,</w:t>
      </w:r>
      <w:r w:rsidRPr="00B0097B">
        <w:rPr>
          <w:bCs/>
        </w:rPr>
        <w:t>3 млн. лв.;</w:t>
      </w:r>
    </w:p>
    <w:p w14:paraId="3BC01256" w14:textId="77777777" w:rsidR="00E87581" w:rsidRPr="00B0097B" w:rsidRDefault="00E87581" w:rsidP="00E87581">
      <w:pPr>
        <w:pStyle w:val="BodyTextIndent"/>
        <w:numPr>
          <w:ilvl w:val="0"/>
          <w:numId w:val="12"/>
        </w:numPr>
        <w:tabs>
          <w:tab w:val="clear" w:pos="1101"/>
          <w:tab w:val="num" w:pos="786"/>
        </w:tabs>
        <w:spacing w:after="0"/>
        <w:ind w:left="0" w:firstLine="360"/>
        <w:jc w:val="both"/>
        <w:rPr>
          <w:bCs/>
        </w:rPr>
      </w:pPr>
      <w:r w:rsidRPr="00B0097B">
        <w:rPr>
          <w:bCs/>
        </w:rPr>
        <w:t>ОП „Региони в растеж“ – 298</w:t>
      </w:r>
      <w:r>
        <w:rPr>
          <w:bCs/>
        </w:rPr>
        <w:t>,</w:t>
      </w:r>
      <w:r w:rsidRPr="00B0097B">
        <w:rPr>
          <w:bCs/>
        </w:rPr>
        <w:t>0 млн. лв.;</w:t>
      </w:r>
    </w:p>
    <w:p w14:paraId="528C44AF" w14:textId="77777777" w:rsidR="00E87581" w:rsidRPr="00B0097B" w:rsidRDefault="00E87581" w:rsidP="00E87581">
      <w:pPr>
        <w:pStyle w:val="BodyTextIndent"/>
        <w:numPr>
          <w:ilvl w:val="0"/>
          <w:numId w:val="12"/>
        </w:numPr>
        <w:tabs>
          <w:tab w:val="clear" w:pos="1101"/>
          <w:tab w:val="num" w:pos="786"/>
        </w:tabs>
        <w:spacing w:after="0"/>
        <w:ind w:left="0" w:firstLine="540"/>
        <w:jc w:val="both"/>
        <w:rPr>
          <w:bCs/>
        </w:rPr>
      </w:pPr>
      <w:r w:rsidRPr="00B0097B">
        <w:rPr>
          <w:bCs/>
        </w:rPr>
        <w:t>ОП „Транспорт и транспортна инфраструктура” – 291</w:t>
      </w:r>
      <w:r>
        <w:rPr>
          <w:bCs/>
        </w:rPr>
        <w:t>,</w:t>
      </w:r>
      <w:r w:rsidRPr="00B0097B">
        <w:rPr>
          <w:bCs/>
        </w:rPr>
        <w:t>5 млн. лв.;</w:t>
      </w:r>
    </w:p>
    <w:p w14:paraId="6A33C670" w14:textId="77777777" w:rsidR="00E87581" w:rsidRPr="00B0097B" w:rsidRDefault="00E87581" w:rsidP="00E87581">
      <w:pPr>
        <w:pStyle w:val="BodyTextIndent"/>
        <w:numPr>
          <w:ilvl w:val="0"/>
          <w:numId w:val="12"/>
        </w:numPr>
        <w:tabs>
          <w:tab w:val="clear" w:pos="1101"/>
          <w:tab w:val="num" w:pos="786"/>
        </w:tabs>
        <w:spacing w:after="0"/>
        <w:ind w:left="0" w:firstLine="540"/>
        <w:jc w:val="both"/>
        <w:rPr>
          <w:bCs/>
        </w:rPr>
      </w:pPr>
      <w:r w:rsidRPr="00B0097B">
        <w:rPr>
          <w:bCs/>
        </w:rPr>
        <w:t>ОП „Наука и образование за интелигентен растеж” – 260</w:t>
      </w:r>
      <w:r>
        <w:rPr>
          <w:bCs/>
        </w:rPr>
        <w:t>,</w:t>
      </w:r>
      <w:r w:rsidRPr="00B0097B">
        <w:rPr>
          <w:bCs/>
        </w:rPr>
        <w:t>8 млн. лв. (вкл. REACT-EU в размер на 73</w:t>
      </w:r>
      <w:r>
        <w:rPr>
          <w:bCs/>
        </w:rPr>
        <w:t>,</w:t>
      </w:r>
      <w:r w:rsidRPr="00B0097B">
        <w:rPr>
          <w:bCs/>
        </w:rPr>
        <w:t>2 млн. лева) и</w:t>
      </w:r>
    </w:p>
    <w:p w14:paraId="5F50A0DC" w14:textId="50069BD4" w:rsidR="00E87581" w:rsidRPr="00B0097B" w:rsidRDefault="00E87581" w:rsidP="00E87581">
      <w:pPr>
        <w:pStyle w:val="BodyTextIndent"/>
        <w:numPr>
          <w:ilvl w:val="0"/>
          <w:numId w:val="12"/>
        </w:numPr>
        <w:tabs>
          <w:tab w:val="clear" w:pos="1101"/>
          <w:tab w:val="num" w:pos="786"/>
        </w:tabs>
        <w:spacing w:after="0"/>
        <w:ind w:left="0" w:firstLine="540"/>
        <w:jc w:val="both"/>
        <w:rPr>
          <w:bCs/>
        </w:rPr>
      </w:pPr>
      <w:r w:rsidRPr="00B0097B">
        <w:rPr>
          <w:bCs/>
        </w:rPr>
        <w:t>ОП „Околна среда 2014 – 2020 г.“ – 359</w:t>
      </w:r>
      <w:r>
        <w:rPr>
          <w:bCs/>
        </w:rPr>
        <w:t>,</w:t>
      </w:r>
      <w:r w:rsidRPr="00B0097B">
        <w:rPr>
          <w:bCs/>
        </w:rPr>
        <w:t>9 млн. л</w:t>
      </w:r>
      <w:r>
        <w:rPr>
          <w:bCs/>
        </w:rPr>
        <w:t>е</w:t>
      </w:r>
      <w:r w:rsidRPr="00B0097B">
        <w:rPr>
          <w:bCs/>
        </w:rPr>
        <w:t>в</w:t>
      </w:r>
      <w:r>
        <w:rPr>
          <w:bCs/>
        </w:rPr>
        <w:t>а</w:t>
      </w:r>
      <w:r w:rsidRPr="00B0097B">
        <w:rPr>
          <w:bCs/>
        </w:rPr>
        <w:t>.</w:t>
      </w:r>
    </w:p>
    <w:p w14:paraId="33380086" w14:textId="77777777" w:rsidR="00E87581" w:rsidRPr="004B6296" w:rsidRDefault="00E87581" w:rsidP="00E87581">
      <w:pPr>
        <w:pStyle w:val="BodyTextIndent"/>
        <w:ind w:left="0" w:firstLine="540"/>
        <w:jc w:val="both"/>
        <w:rPr>
          <w:bCs/>
          <w:color w:val="0070C0"/>
        </w:rPr>
      </w:pPr>
      <w:r>
        <w:t>Предоставеното авансово финансиране по реда на ДДС 6/2011 г. към бюджетни организации за 2021 г. е на стойност 250,5 млн. лева, а възстановените средства – 239,6 млн. лева. В сумата на предоставеното авансово финансиране по реда на ДДС 6/2011 г. е включена и предоставена възмездна финансова помощ (нето) в размер на (0,36 млн. лева) на ОП „Транспорт и транспортна инфраструктура” (1,1 млн. лева), ОП "Иновации и конкурентоспособност" (-0,29 млн. лева) , ОП "Региони в растеж" (-0,45 млн. лева).</w:t>
      </w:r>
    </w:p>
    <w:p w14:paraId="0678DE0A" w14:textId="77777777" w:rsidR="00E87581" w:rsidRDefault="00E87581" w:rsidP="00E87581">
      <w:pPr>
        <w:pStyle w:val="BodyTextIndent"/>
        <w:ind w:left="0" w:firstLine="540"/>
        <w:jc w:val="both"/>
        <w:rPr>
          <w:bCs/>
        </w:rPr>
      </w:pPr>
      <w:r>
        <w:rPr>
          <w:bCs/>
        </w:rPr>
        <w:t>Извършените разходи по Оперативните програми за 2021 г. са 94,2 % от заложените разходи за годината.</w:t>
      </w:r>
    </w:p>
    <w:p w14:paraId="65EAD270" w14:textId="77777777" w:rsidR="00E87581" w:rsidRDefault="00E87581" w:rsidP="00E87581">
      <w:pPr>
        <w:pStyle w:val="BodyTextIndent"/>
        <w:ind w:left="0" w:firstLine="540"/>
        <w:jc w:val="both"/>
        <w:rPr>
          <w:bCs/>
          <w:color w:val="0070C0"/>
          <w:highlight w:val="yellow"/>
        </w:rPr>
      </w:pPr>
      <w:r>
        <w:rPr>
          <w:bCs/>
        </w:rPr>
        <w:t>Изплатените средства от оперативните програми за мерките за минимизиране на отрицателните последици от епидемичното разпространение на COVD-19 през 2021 г. са в размер на 936,6 млн. лева.</w:t>
      </w:r>
    </w:p>
    <w:p w14:paraId="7C98045A" w14:textId="77777777" w:rsidR="00E87581" w:rsidRDefault="00E87581" w:rsidP="00E87581">
      <w:pPr>
        <w:pStyle w:val="BodyTextIndent"/>
        <w:spacing w:before="120"/>
        <w:ind w:left="0" w:firstLine="686"/>
        <w:jc w:val="both"/>
        <w:rPr>
          <w:b/>
          <w:bCs/>
        </w:rPr>
      </w:pPr>
      <w:r>
        <w:rPr>
          <w:b/>
          <w:bCs/>
        </w:rPr>
        <w:t>Програма ФАР и Преходен финансов инструмент</w:t>
      </w:r>
    </w:p>
    <w:p w14:paraId="6EEBDF96" w14:textId="6539A910" w:rsidR="00E87581" w:rsidRDefault="00E87581" w:rsidP="00E87581">
      <w:pPr>
        <w:pStyle w:val="BodyTextIndent"/>
        <w:ind w:left="0" w:firstLine="686"/>
        <w:jc w:val="both"/>
        <w:rPr>
          <w:bCs/>
          <w:color w:val="0070C0"/>
        </w:rPr>
      </w:pPr>
      <w:r>
        <w:rPr>
          <w:bCs/>
        </w:rPr>
        <w:lastRenderedPageBreak/>
        <w:t xml:space="preserve">През отчетния период са възстановени суми от бенефициенти на стойност 2,0 млн. лева. </w:t>
      </w:r>
    </w:p>
    <w:p w14:paraId="69ED7719" w14:textId="77777777" w:rsidR="00E87581" w:rsidRDefault="00E87581" w:rsidP="00E87581">
      <w:pPr>
        <w:pStyle w:val="BodyTextIndent"/>
        <w:spacing w:before="120"/>
        <w:ind w:left="0" w:firstLine="686"/>
        <w:jc w:val="both"/>
        <w:rPr>
          <w:b/>
          <w:bCs/>
        </w:rPr>
      </w:pPr>
      <w:r>
        <w:rPr>
          <w:b/>
          <w:bCs/>
        </w:rPr>
        <w:t>Програма ИСПА/Кохезионен фонд (Регламент 1164/94)</w:t>
      </w:r>
    </w:p>
    <w:p w14:paraId="55FEF2CA" w14:textId="77777777" w:rsidR="00E87581" w:rsidRDefault="00E87581" w:rsidP="00E87581">
      <w:pPr>
        <w:pStyle w:val="BodyTextIndent"/>
        <w:ind w:left="0" w:firstLine="686"/>
        <w:jc w:val="both"/>
        <w:rPr>
          <w:bCs/>
        </w:rPr>
      </w:pPr>
      <w:r>
        <w:rPr>
          <w:bCs/>
        </w:rPr>
        <w:t>За 2021 г. са възстановени средства към ЕК на стойност 2,6 млн. лева.</w:t>
      </w:r>
    </w:p>
    <w:p w14:paraId="30B52120" w14:textId="77777777" w:rsidR="00E87581" w:rsidRDefault="00E87581" w:rsidP="00E87581">
      <w:pPr>
        <w:pStyle w:val="BodyTextIndent"/>
        <w:spacing w:before="120"/>
        <w:ind w:left="0" w:firstLine="686"/>
        <w:jc w:val="both"/>
        <w:rPr>
          <w:b/>
          <w:bCs/>
        </w:rPr>
      </w:pPr>
      <w:r>
        <w:rPr>
          <w:b/>
          <w:bCs/>
        </w:rPr>
        <w:t xml:space="preserve">Програма САПАРД </w:t>
      </w:r>
    </w:p>
    <w:p w14:paraId="2FC49820" w14:textId="77777777" w:rsidR="00E87581" w:rsidRDefault="00E87581" w:rsidP="00E87581">
      <w:pPr>
        <w:pStyle w:val="BodyTextIndent"/>
        <w:ind w:left="0" w:firstLine="686"/>
        <w:jc w:val="both"/>
        <w:rPr>
          <w:bCs/>
        </w:rPr>
      </w:pPr>
      <w:r>
        <w:rPr>
          <w:bCs/>
        </w:rPr>
        <w:t>През 2021 г. са извършени възстановявания от бенефициенти по дългове на стойност 2,5 млн. лева.</w:t>
      </w:r>
    </w:p>
    <w:p w14:paraId="240CD2C0" w14:textId="77777777" w:rsidR="00E87581" w:rsidRDefault="00E87581" w:rsidP="00E87581">
      <w:pPr>
        <w:pStyle w:val="BodyTextIndent"/>
        <w:spacing w:before="120"/>
        <w:ind w:left="0" w:firstLine="686"/>
        <w:jc w:val="both"/>
        <w:rPr>
          <w:b/>
          <w:bCs/>
        </w:rPr>
      </w:pPr>
      <w:r>
        <w:rPr>
          <w:bCs/>
          <w:color w:val="0070C0"/>
        </w:rPr>
        <w:tab/>
      </w:r>
      <w:r>
        <w:rPr>
          <w:b/>
          <w:bCs/>
        </w:rPr>
        <w:t>Двустранни програми за трансгранично сътрудничество по външните граници на Европейския съюз 2007 – 2013 г. и 2014 – 2020 г.</w:t>
      </w:r>
    </w:p>
    <w:p w14:paraId="1AFDE266" w14:textId="77777777" w:rsidR="00E87581" w:rsidRDefault="00E87581" w:rsidP="00E87581">
      <w:pPr>
        <w:pStyle w:val="BodyTextIndent"/>
        <w:ind w:left="0" w:firstLine="686"/>
        <w:jc w:val="both"/>
        <w:rPr>
          <w:bCs/>
        </w:rPr>
      </w:pPr>
      <w:r>
        <w:rPr>
          <w:bCs/>
        </w:rPr>
        <w:t>Получените средства към 31.12.2021 г. са на стойност 19,3 млн. лв., представляващи възстановени разходи от ЕК и постъпили средства за съфинансиране от страните-партньори, както разпределени към администратори в чужбина за сметка на средствата, получени от страната-партньор.</w:t>
      </w:r>
    </w:p>
    <w:p w14:paraId="18E323F2" w14:textId="77777777" w:rsidR="00E87581" w:rsidRDefault="00E87581" w:rsidP="00E87581">
      <w:pPr>
        <w:pStyle w:val="BodyTextIndent"/>
        <w:ind w:left="0" w:firstLine="686"/>
        <w:jc w:val="both"/>
        <w:rPr>
          <w:b/>
          <w:bCs/>
          <w:color w:val="0070C0"/>
        </w:rPr>
      </w:pPr>
      <w:r>
        <w:rPr>
          <w:bCs/>
        </w:rPr>
        <w:t>Сумата на разходите и трансферите (нето) към бюджетни организации в страната, които са направени през същия период по двустранните програми са на обща стойност 21,5 млн. лв., включително за плащания към бенефициенти в страната, извършени за сметка на полученото финансиране от страната-партньор по тези програми.</w:t>
      </w:r>
      <w:r>
        <w:rPr>
          <w:bCs/>
          <w:color w:val="0070C0"/>
        </w:rPr>
        <w:t xml:space="preserve"> </w:t>
      </w:r>
    </w:p>
    <w:p w14:paraId="5CE6B9ED" w14:textId="77777777" w:rsidR="00E87581" w:rsidRDefault="00E87581" w:rsidP="00E87581">
      <w:pPr>
        <w:pStyle w:val="BodyTextIndent"/>
        <w:spacing w:before="120"/>
        <w:ind w:left="0" w:firstLine="686"/>
        <w:jc w:val="both"/>
        <w:rPr>
          <w:b/>
          <w:bCs/>
        </w:rPr>
      </w:pPr>
      <w:r>
        <w:rPr>
          <w:b/>
          <w:bCs/>
        </w:rPr>
        <w:t>Финансов механизъм на Европейското икономическо пространство и Норвежки финансов механизъм за периода 2009-2014 г. и 2014-2021 г.</w:t>
      </w:r>
    </w:p>
    <w:p w14:paraId="1A77B016" w14:textId="462F8F3A" w:rsidR="00E87581" w:rsidRDefault="00E87581" w:rsidP="00E87581">
      <w:pPr>
        <w:pStyle w:val="BodyTextIndent"/>
        <w:ind w:left="0" w:firstLine="708"/>
        <w:jc w:val="both"/>
        <w:rPr>
          <w:bCs/>
        </w:rPr>
      </w:pPr>
      <w:r>
        <w:rPr>
          <w:bCs/>
        </w:rPr>
        <w:t>Получените средства към 31.12.2021 г. са на стойност 36,6 млн. лева.</w:t>
      </w:r>
    </w:p>
    <w:p w14:paraId="7CAB008C" w14:textId="77777777" w:rsidR="00E87581" w:rsidRDefault="00E87581" w:rsidP="00E87581">
      <w:pPr>
        <w:pStyle w:val="BodyTextIndent"/>
        <w:ind w:left="0" w:firstLine="142"/>
        <w:jc w:val="both"/>
        <w:rPr>
          <w:bCs/>
        </w:rPr>
      </w:pPr>
      <w:r>
        <w:rPr>
          <w:bCs/>
        </w:rPr>
        <w:t>Сумата на разходите и трансферите (нето) за 2021 г. са на обща стойност 19,5 млн. лева.</w:t>
      </w:r>
    </w:p>
    <w:p w14:paraId="57956227" w14:textId="77777777" w:rsidR="00251963" w:rsidRPr="00005D04" w:rsidRDefault="00251963" w:rsidP="006B4AFB">
      <w:pPr>
        <w:pStyle w:val="Heading1"/>
        <w:numPr>
          <w:ilvl w:val="0"/>
          <w:numId w:val="10"/>
        </w:numPr>
        <w:spacing w:before="360"/>
        <w:ind w:left="533" w:right="-108" w:hanging="391"/>
        <w:jc w:val="both"/>
        <w:rPr>
          <w:sz w:val="24"/>
        </w:rPr>
      </w:pPr>
      <w:r w:rsidRPr="00005D04">
        <w:rPr>
          <w:sz w:val="24"/>
        </w:rPr>
        <w:t>Бюджети на социално и здравно-осигурителните фондове и бюджети по чл. 13, ал. 2 и ал. 3 на Закона за публичните финанси</w:t>
      </w:r>
    </w:p>
    <w:p w14:paraId="18E3517B" w14:textId="77777777" w:rsidR="007C1025" w:rsidRPr="00005D04" w:rsidRDefault="007C1025" w:rsidP="00890704">
      <w:pPr>
        <w:pStyle w:val="Heading1"/>
        <w:numPr>
          <w:ilvl w:val="1"/>
          <w:numId w:val="10"/>
        </w:numPr>
        <w:spacing w:before="240"/>
        <w:ind w:left="788" w:right="-108" w:hanging="431"/>
        <w:jc w:val="both"/>
        <w:rPr>
          <w:sz w:val="24"/>
          <w:lang w:val="en-US"/>
        </w:rPr>
      </w:pPr>
      <w:r w:rsidRPr="00005D04">
        <w:rPr>
          <w:sz w:val="24"/>
        </w:rPr>
        <w:t>Социално и здравно-осигурителни фондове</w:t>
      </w:r>
    </w:p>
    <w:p w14:paraId="47DA354F" w14:textId="77777777" w:rsidR="00454BF6" w:rsidRPr="00005D04" w:rsidRDefault="00454BF6" w:rsidP="00454BF6">
      <w:pPr>
        <w:numPr>
          <w:ilvl w:val="1"/>
          <w:numId w:val="6"/>
        </w:numPr>
        <w:spacing w:before="120" w:line="276" w:lineRule="auto"/>
        <w:ind w:left="992" w:hanging="357"/>
        <w:jc w:val="both"/>
        <w:rPr>
          <w:b/>
          <w:bCs/>
        </w:rPr>
      </w:pPr>
      <w:r w:rsidRPr="00005D04">
        <w:rPr>
          <w:b/>
        </w:rPr>
        <w:t>Държавно обществено осигуряване</w:t>
      </w:r>
    </w:p>
    <w:p w14:paraId="14447E6D" w14:textId="77777777" w:rsidR="002B70B4" w:rsidRPr="0091090E" w:rsidRDefault="002B70B4" w:rsidP="002B70B4">
      <w:pPr>
        <w:ind w:firstLine="567"/>
        <w:jc w:val="both"/>
      </w:pPr>
      <w:r w:rsidRPr="0091090E">
        <w:t xml:space="preserve">Общата сума на </w:t>
      </w:r>
      <w:r w:rsidRPr="0091090E">
        <w:rPr>
          <w:b/>
        </w:rPr>
        <w:t>приходите, помощите и даренията</w:t>
      </w:r>
      <w:r w:rsidRPr="0091090E">
        <w:t xml:space="preserve"> по бюджета на Държавното обществено осигуряване (ДОО) към 31.12.2021 г. възлиза на 9 085,5 млн. лв. Най-голям е делът на приходите от осигурителни вноски (96,4 % от общите приходи), които за отчетния период са в размер на 8 755,9 млн. лв. </w:t>
      </w:r>
    </w:p>
    <w:p w14:paraId="22B2E57B" w14:textId="4F69A02B" w:rsidR="002B70B4" w:rsidRPr="0091090E" w:rsidRDefault="002B70B4" w:rsidP="002B70B4">
      <w:pPr>
        <w:ind w:firstLine="567"/>
        <w:jc w:val="both"/>
        <w:rPr>
          <w:bCs/>
        </w:rPr>
      </w:pPr>
      <w:r w:rsidRPr="0091090E">
        <w:t>Съпоставени с 2020 г., приходите по бюджета на ДОО нарастват с 1 013,4 млн. лв. (12,6</w:t>
      </w:r>
      <w:r w:rsidR="00841D40">
        <w:t> </w:t>
      </w:r>
      <w:r w:rsidRPr="0091090E">
        <w:t xml:space="preserve">%). </w:t>
      </w:r>
      <w:r w:rsidRPr="0091090E">
        <w:rPr>
          <w:bCs/>
        </w:rPr>
        <w:t xml:space="preserve">Върху състоянието на приходите през 2021 г. влияние оказват следните основни фактори: </w:t>
      </w:r>
    </w:p>
    <w:p w14:paraId="441A56E8" w14:textId="77777777" w:rsidR="002B70B4" w:rsidRPr="0091090E" w:rsidRDefault="002B70B4" w:rsidP="002B70B4">
      <w:pPr>
        <w:ind w:firstLine="567"/>
        <w:jc w:val="both"/>
        <w:rPr>
          <w:bCs/>
        </w:rPr>
      </w:pPr>
      <w:r w:rsidRPr="0091090E">
        <w:rPr>
          <w:bCs/>
        </w:rPr>
        <w:t xml:space="preserve">- за частния и за обществения сектор - увеличаване на минималния осигурителен доход за самоосигуряващите се лица от 610 лв. на 650 лв.; запазване равнищата на минималните осигурителни доходи по основните икономически дейности и квалификационни групи професии от 2020 г., с изключение на позициите, които са под новия размер на минималната работна заплата за 2021 г. (650 лв.), които бяха приравнени на нея; </w:t>
      </w:r>
    </w:p>
    <w:p w14:paraId="4184D71A" w14:textId="77777777" w:rsidR="002B70B4" w:rsidRPr="0091090E" w:rsidRDefault="002B70B4" w:rsidP="002B70B4">
      <w:pPr>
        <w:ind w:firstLine="567"/>
        <w:jc w:val="both"/>
        <w:rPr>
          <w:bCs/>
        </w:rPr>
      </w:pPr>
      <w:r w:rsidRPr="0091090E">
        <w:rPr>
          <w:bCs/>
        </w:rPr>
        <w:t xml:space="preserve">- за обществения сектор - увеличение на възнагражденията на педагогическите специалисти и непедагогическия персонал; увеличение с 30% (от 01.08.2020 г.) на разходите за персонал на органи и администрации, които са натоварени с дейности по овладяване на пандемията и последствията от COVID 19, в. т.ч. за служители на първа линия, които бяха включени в социално-икономическия пакет на правителството; увеличение с 15 % на разходите за персонал на Министерството на вътрешните работи за 2021 г.; увеличение с 10 % на средствата за заплати и възнаграждения на персонала, нает по трудови и служебни правоотношения, включително и на средствата за осигурителни вноски, за всички структури, които не попадат в обхвата на пакета от социално-икономически мерки на правителството; увеличение на средствата за заплати и възнаграждения на персонала за изборните длъжности </w:t>
      </w:r>
      <w:r w:rsidRPr="0091090E">
        <w:rPr>
          <w:bCs/>
        </w:rPr>
        <w:lastRenderedPageBreak/>
        <w:t xml:space="preserve">и за заетите в системата на съдебната власт, за които законодателно е регламентиран механизъм за формиране на възнагражденията. </w:t>
      </w:r>
    </w:p>
    <w:p w14:paraId="203CCB9A" w14:textId="77777777" w:rsidR="002B70B4" w:rsidRPr="0091090E" w:rsidRDefault="002B70B4" w:rsidP="002B70B4">
      <w:pPr>
        <w:ind w:firstLine="567"/>
        <w:jc w:val="both"/>
        <w:rPr>
          <w:rFonts w:eastAsia="Calibri"/>
        </w:rPr>
      </w:pPr>
      <w:r w:rsidRPr="0091090E">
        <w:rPr>
          <w:bCs/>
        </w:rPr>
        <w:t>- за частния сектор – нарастване на заплатите в частния сектор и задържащото се ниско ниво на безработица.</w:t>
      </w:r>
    </w:p>
    <w:p w14:paraId="575B8D8A" w14:textId="77777777" w:rsidR="002B70B4" w:rsidRPr="00216434" w:rsidRDefault="002B70B4" w:rsidP="002B70B4">
      <w:pPr>
        <w:ind w:firstLine="567"/>
        <w:jc w:val="both"/>
        <w:rPr>
          <w:bCs/>
        </w:rPr>
      </w:pPr>
      <w:r w:rsidRPr="00216434">
        <w:rPr>
          <w:bCs/>
        </w:rPr>
        <w:t>Отчетените неданъчни приходи през 2021 г. по бюджета на ДОО възлизат на 329,5 млн. лв., в т.ч. 301,9 млн. лв. постъпили средства по чл. 4б, чл. 4в и чл. 69б от Кодекса за социално осигуряване (КСО)</w:t>
      </w:r>
      <w:r w:rsidRPr="00216434">
        <w:t>.</w:t>
      </w:r>
      <w:r w:rsidRPr="00216434">
        <w:rPr>
          <w:bCs/>
        </w:rPr>
        <w:t xml:space="preserve"> </w:t>
      </w:r>
    </w:p>
    <w:p w14:paraId="6E51C29E" w14:textId="6877A635" w:rsidR="002B70B4" w:rsidRPr="007C7563" w:rsidRDefault="002B70B4" w:rsidP="002B70B4">
      <w:pPr>
        <w:tabs>
          <w:tab w:val="num" w:pos="1499"/>
          <w:tab w:val="num" w:pos="2148"/>
        </w:tabs>
        <w:spacing w:after="120"/>
        <w:ind w:firstLine="567"/>
        <w:jc w:val="both"/>
        <w:rPr>
          <w:bCs/>
        </w:rPr>
      </w:pPr>
      <w:r w:rsidRPr="00216434">
        <w:rPr>
          <w:bCs/>
        </w:rPr>
        <w:t xml:space="preserve">Размерът на извършените </w:t>
      </w:r>
      <w:r w:rsidRPr="00216434">
        <w:rPr>
          <w:b/>
          <w:bCs/>
        </w:rPr>
        <w:t xml:space="preserve">разходи </w:t>
      </w:r>
      <w:r w:rsidRPr="0064563F">
        <w:rPr>
          <w:bCs/>
          <w:lang w:val="ru-RU"/>
        </w:rPr>
        <w:t>през</w:t>
      </w:r>
      <w:r w:rsidRPr="00216434">
        <w:rPr>
          <w:bCs/>
        </w:rPr>
        <w:t xml:space="preserve"> 2021 г. по бюджета на ДОО е 17 314,5 млн. лв. Спрямо предходната година, общо разходите по бюджета на ДОО са с 3 028,8 млн. </w:t>
      </w:r>
      <w:r w:rsidRPr="007C7563">
        <w:rPr>
          <w:bCs/>
        </w:rPr>
        <w:t>лв. (21,2</w:t>
      </w:r>
      <w:r w:rsidR="002C786E">
        <w:rPr>
          <w:bCs/>
        </w:rPr>
        <w:t> </w:t>
      </w:r>
      <w:r w:rsidRPr="007C7563">
        <w:rPr>
          <w:bCs/>
        </w:rPr>
        <w:t xml:space="preserve">%) повече. От структурна гледна точка най-голям относителен дял в общите разходи заемат разходите за пенсии, обезщетения и помощи, изплащани на основание КСО, както и разходите по мярката „60/40“  – общо 17 169,4 млн. лв. или 99,2 % от общия размер на разходите за отчетния период. </w:t>
      </w:r>
    </w:p>
    <w:p w14:paraId="51A41F48" w14:textId="02DACF7E" w:rsidR="002B70B4" w:rsidRPr="00BA4AB9" w:rsidRDefault="002B70B4" w:rsidP="002B70B4">
      <w:pPr>
        <w:tabs>
          <w:tab w:val="num" w:pos="1499"/>
          <w:tab w:val="num" w:pos="2148"/>
        </w:tabs>
        <w:spacing w:after="120"/>
        <w:ind w:firstLine="567"/>
        <w:jc w:val="both"/>
        <w:rPr>
          <w:bCs/>
          <w:color w:val="0070C0"/>
        </w:rPr>
      </w:pPr>
      <w:r w:rsidRPr="007C7563">
        <w:rPr>
          <w:bCs/>
        </w:rPr>
        <w:t xml:space="preserve">Отчетените разходи за </w:t>
      </w:r>
      <w:r w:rsidRPr="007C7563">
        <w:rPr>
          <w:b/>
          <w:bCs/>
        </w:rPr>
        <w:t>пенсии</w:t>
      </w:r>
      <w:r w:rsidRPr="007C7563">
        <w:rPr>
          <w:bCs/>
        </w:rPr>
        <w:t xml:space="preserve"> по бюджета на ДОО към 31.12.2021 г. възлизат на 14 249,2 млн. лв., което е</w:t>
      </w:r>
      <w:r w:rsidRPr="007E51FD">
        <w:rPr>
          <w:bCs/>
        </w:rPr>
        <w:t xml:space="preserve"> с 3 111,8 млн. лв. повече спрямо 2020 г. Основните причини за това са: изплатените добавки по 50 лв. към пенсиите за месеците от януари до септември и по 120</w:t>
      </w:r>
      <w:r w:rsidR="00A36DBA">
        <w:rPr>
          <w:bCs/>
        </w:rPr>
        <w:t> </w:t>
      </w:r>
      <w:r w:rsidRPr="007E51FD">
        <w:rPr>
          <w:bCs/>
        </w:rPr>
        <w:t>лв. за месеците от октомври до декември ; ефектът от изплащане на увеличените пенсии от 1</w:t>
      </w:r>
      <w:r w:rsidR="00A55E1F">
        <w:rPr>
          <w:bCs/>
        </w:rPr>
        <w:t> </w:t>
      </w:r>
      <w:r w:rsidRPr="007E51FD">
        <w:rPr>
          <w:bCs/>
        </w:rPr>
        <w:t>юли 2020 г.; увеличението на минималната пенсия от 250 на 300 лв. и на максималната пенсия от 1200 на 1440 лв. от 1</w:t>
      </w:r>
      <w:r w:rsidRPr="007E51FD">
        <w:rPr>
          <w:bCs/>
          <w:lang w:val="en-US"/>
        </w:rPr>
        <w:t> </w:t>
      </w:r>
      <w:r w:rsidRPr="007E51FD">
        <w:rPr>
          <w:bCs/>
        </w:rPr>
        <w:t xml:space="preserve">януари 2021 г.; заделените суми за изплащане на добавки по 60 лв. към пенсиите за периода януари-юни 2022 г.; заделените </w:t>
      </w:r>
      <w:r>
        <w:rPr>
          <w:bCs/>
        </w:rPr>
        <w:t xml:space="preserve">средства </w:t>
      </w:r>
      <w:r w:rsidRPr="007E51FD">
        <w:rPr>
          <w:bCs/>
        </w:rPr>
        <w:t xml:space="preserve">за еднократно изплащане през 2022 г. на допълнителна сума към пенсията или сбора от пенсиите заедно с добавките и компенсациите към тях в размер 75 лева </w:t>
      </w:r>
      <w:r>
        <w:rPr>
          <w:bCs/>
        </w:rPr>
        <w:t xml:space="preserve">на </w:t>
      </w:r>
      <w:r w:rsidRPr="007E51FD">
        <w:rPr>
          <w:bCs/>
        </w:rPr>
        <w:t>всеки пенсионер, който е със завършен ваксинационен курс за COVID-19</w:t>
      </w:r>
      <w:r w:rsidRPr="0064563F">
        <w:rPr>
          <w:bCs/>
          <w:lang w:val="ru-RU"/>
        </w:rPr>
        <w:t xml:space="preserve"> </w:t>
      </w:r>
      <w:r w:rsidRPr="007E51FD">
        <w:rPr>
          <w:bCs/>
        </w:rPr>
        <w:t xml:space="preserve">до 31 декември 2021 г. включително, </w:t>
      </w:r>
      <w:r>
        <w:rPr>
          <w:bCs/>
        </w:rPr>
        <w:t xml:space="preserve">или </w:t>
      </w:r>
      <w:r w:rsidRPr="007E51FD">
        <w:rPr>
          <w:bCs/>
        </w:rPr>
        <w:t>който завърши ваксинационен курс</w:t>
      </w:r>
      <w:r>
        <w:rPr>
          <w:bCs/>
        </w:rPr>
        <w:t>,</w:t>
      </w:r>
      <w:r w:rsidRPr="007E51FD">
        <w:rPr>
          <w:bCs/>
        </w:rPr>
        <w:t xml:space="preserve"> или е с поставена бустерна доза в периода от 1 януари до 30</w:t>
      </w:r>
      <w:r w:rsidR="00C80D78">
        <w:rPr>
          <w:bCs/>
        </w:rPr>
        <w:t> </w:t>
      </w:r>
      <w:r w:rsidRPr="007E51FD">
        <w:rPr>
          <w:bCs/>
        </w:rPr>
        <w:t xml:space="preserve">юни 2022 г. включително или който има поставена първа доза ваксина за </w:t>
      </w:r>
      <w:r w:rsidRPr="007E51FD">
        <w:rPr>
          <w:bCs/>
          <w:lang w:val="en-US"/>
        </w:rPr>
        <w:t>COVID</w:t>
      </w:r>
      <w:r w:rsidRPr="0064563F">
        <w:rPr>
          <w:bCs/>
          <w:lang w:val="ru-RU"/>
        </w:rPr>
        <w:t xml:space="preserve">-19 </w:t>
      </w:r>
      <w:r w:rsidRPr="007E51FD">
        <w:rPr>
          <w:bCs/>
        </w:rPr>
        <w:t>в периода от 1 юни до 30 юни 2022 г.</w:t>
      </w:r>
      <w:r>
        <w:rPr>
          <w:bCs/>
          <w:color w:val="0070C0"/>
        </w:rPr>
        <w:t xml:space="preserve"> </w:t>
      </w:r>
    </w:p>
    <w:p w14:paraId="2050FEF9" w14:textId="63D951EE" w:rsidR="002B70B4" w:rsidRPr="00B743A5" w:rsidRDefault="002B70B4" w:rsidP="002B70B4">
      <w:pPr>
        <w:tabs>
          <w:tab w:val="num" w:pos="1499"/>
          <w:tab w:val="num" w:pos="2148"/>
        </w:tabs>
        <w:spacing w:after="120"/>
        <w:ind w:firstLine="567"/>
        <w:jc w:val="both"/>
      </w:pPr>
      <w:r w:rsidRPr="00B743A5">
        <w:t xml:space="preserve">Отчетените разходи за </w:t>
      </w:r>
      <w:r w:rsidRPr="00B743A5">
        <w:rPr>
          <w:b/>
        </w:rPr>
        <w:t>краткосрочни обезщетения и помощи по КСО</w:t>
      </w:r>
      <w:r w:rsidRPr="00B743A5">
        <w:t xml:space="preserve"> са в размер на 2</w:t>
      </w:r>
      <w:r w:rsidRPr="00B743A5">
        <w:rPr>
          <w:lang w:val="en-US"/>
        </w:rPr>
        <w:t> </w:t>
      </w:r>
      <w:r w:rsidRPr="00B743A5">
        <w:t>096,7 млн. лева. Спрямо предходната година изплатените обезщетения по КСО са с 81,5</w:t>
      </w:r>
      <w:r w:rsidR="005B4F58">
        <w:t> </w:t>
      </w:r>
      <w:r w:rsidRPr="00B743A5">
        <w:t>млн. лв. (4,0 %) повече.</w:t>
      </w:r>
    </w:p>
    <w:p w14:paraId="5E526CEC" w14:textId="77777777" w:rsidR="002B70B4" w:rsidRPr="00B743A5" w:rsidRDefault="002B70B4" w:rsidP="002B70B4">
      <w:pPr>
        <w:tabs>
          <w:tab w:val="num" w:pos="1499"/>
          <w:tab w:val="num" w:pos="2148"/>
        </w:tabs>
        <w:spacing w:after="120"/>
        <w:ind w:firstLine="567"/>
        <w:jc w:val="both"/>
      </w:pPr>
      <w:r w:rsidRPr="00B743A5">
        <w:t>Изплатените средства по мярката за запазване на заетостта на работници и служители, т.нар. „60/40“,  са в общ размер на 828,7 млн. лв., от които 823,5 млн. лв. разходи по бюджета на НОИ и 5,1 млн. лв. предоставени трансфери от бюджета на НОИ към бюджетни организации.</w:t>
      </w:r>
    </w:p>
    <w:p w14:paraId="1B298B1A" w14:textId="77777777" w:rsidR="002B70B4" w:rsidRPr="0093149F" w:rsidRDefault="002B70B4" w:rsidP="002B70B4">
      <w:pPr>
        <w:numPr>
          <w:ilvl w:val="1"/>
          <w:numId w:val="6"/>
        </w:numPr>
        <w:tabs>
          <w:tab w:val="num" w:pos="709"/>
          <w:tab w:val="left" w:pos="851"/>
          <w:tab w:val="left" w:pos="1134"/>
        </w:tabs>
        <w:spacing w:before="120" w:line="276" w:lineRule="auto"/>
        <w:ind w:left="709" w:hanging="357"/>
        <w:jc w:val="both"/>
        <w:rPr>
          <w:b/>
          <w:bCs/>
        </w:rPr>
      </w:pPr>
      <w:r w:rsidRPr="0093149F">
        <w:rPr>
          <w:b/>
          <w:bCs/>
        </w:rPr>
        <w:t>Национална здравноосигурителна каса</w:t>
      </w:r>
    </w:p>
    <w:p w14:paraId="23CA3778" w14:textId="77842E88" w:rsidR="002B70B4" w:rsidRPr="00C54AD8" w:rsidRDefault="002B70B4" w:rsidP="002B70B4">
      <w:pPr>
        <w:ind w:firstLine="567"/>
        <w:jc w:val="both"/>
        <w:rPr>
          <w:color w:val="0070C0"/>
        </w:rPr>
      </w:pPr>
      <w:r w:rsidRPr="00C54AD8">
        <w:t xml:space="preserve">Общият размер на събраните </w:t>
      </w:r>
      <w:r w:rsidRPr="00C54AD8">
        <w:rPr>
          <w:b/>
        </w:rPr>
        <w:t>приходи, помощи и дарения</w:t>
      </w:r>
      <w:r w:rsidRPr="00C54AD8">
        <w:t xml:space="preserve"> по бюджета на НЗОК </w:t>
      </w:r>
      <w:r w:rsidRPr="0064563F">
        <w:rPr>
          <w:lang w:val="ru-RU"/>
        </w:rPr>
        <w:t>през</w:t>
      </w:r>
      <w:r w:rsidRPr="00C54AD8">
        <w:t xml:space="preserve"> 2021 г. възлиза на </w:t>
      </w:r>
      <w:r w:rsidRPr="0064563F">
        <w:rPr>
          <w:lang w:val="ru-RU"/>
        </w:rPr>
        <w:t>3</w:t>
      </w:r>
      <w:r w:rsidRPr="00C54AD8">
        <w:t> 4</w:t>
      </w:r>
      <w:r w:rsidRPr="0064563F">
        <w:rPr>
          <w:lang w:val="ru-RU"/>
        </w:rPr>
        <w:t>12</w:t>
      </w:r>
      <w:r w:rsidRPr="00C54AD8">
        <w:t>,</w:t>
      </w:r>
      <w:r w:rsidRPr="0064563F">
        <w:rPr>
          <w:lang w:val="ru-RU"/>
        </w:rPr>
        <w:t>5</w:t>
      </w:r>
      <w:r w:rsidRPr="00C54AD8">
        <w:t xml:space="preserve"> млн. лв., което представлява </w:t>
      </w:r>
      <w:r w:rsidRPr="0064563F">
        <w:rPr>
          <w:lang w:val="ru-RU"/>
        </w:rPr>
        <w:t>102</w:t>
      </w:r>
      <w:r w:rsidRPr="00C54AD8">
        <w:t>,</w:t>
      </w:r>
      <w:r w:rsidRPr="0064563F">
        <w:rPr>
          <w:lang w:val="ru-RU"/>
        </w:rPr>
        <w:t>0</w:t>
      </w:r>
      <w:r w:rsidRPr="00C54AD8">
        <w:t xml:space="preserve"> % от предвидените със Закона за бюджета на НЗОК (ЗБНЗОК) за 2021 г. – 3 345,8 млн. лева. Постъпленията от здравноосигурителни вноски са в размер на </w:t>
      </w:r>
      <w:r w:rsidRPr="0064563F">
        <w:rPr>
          <w:lang w:val="ru-RU"/>
        </w:rPr>
        <w:t>3</w:t>
      </w:r>
      <w:r w:rsidRPr="00C54AD8">
        <w:t xml:space="preserve"> </w:t>
      </w:r>
      <w:r w:rsidRPr="0064563F">
        <w:rPr>
          <w:lang w:val="ru-RU"/>
        </w:rPr>
        <w:t>389</w:t>
      </w:r>
      <w:r w:rsidRPr="00C54AD8">
        <w:t>,</w:t>
      </w:r>
      <w:r w:rsidRPr="0064563F">
        <w:rPr>
          <w:lang w:val="ru-RU"/>
        </w:rPr>
        <w:t>2</w:t>
      </w:r>
      <w:r w:rsidRPr="00C54AD8">
        <w:t xml:space="preserve"> млн. лв., което е </w:t>
      </w:r>
      <w:r w:rsidRPr="0064563F">
        <w:rPr>
          <w:lang w:val="ru-RU"/>
        </w:rPr>
        <w:t>101</w:t>
      </w:r>
      <w:r w:rsidRPr="00C54AD8">
        <w:t>,</w:t>
      </w:r>
      <w:r w:rsidRPr="0064563F">
        <w:rPr>
          <w:lang w:val="ru-RU"/>
        </w:rPr>
        <w:t>9</w:t>
      </w:r>
      <w:r w:rsidRPr="00C54AD8">
        <w:t xml:space="preserve"> % изпълнение на утвърдените със ЗБНЗОК за 2021 г. средства в размер на 3 325,3 млн. лева. Събраните неданъчни приходи през 2021 г. са 23,3 млн. лв. или 113,6 % от заложените в ЗБНЗОК за 2021</w:t>
      </w:r>
      <w:r w:rsidR="008C4C92">
        <w:t> </w:t>
      </w:r>
      <w:r w:rsidRPr="00C54AD8">
        <w:t xml:space="preserve">г., като основната част от тях са приходи от глоби, санкции и наказателни лихви. </w:t>
      </w:r>
    </w:p>
    <w:p w14:paraId="1FBEB3F6" w14:textId="2D6EBD02" w:rsidR="002B70B4" w:rsidRPr="00FD5BDA" w:rsidRDefault="002B70B4" w:rsidP="002B70B4">
      <w:pPr>
        <w:ind w:firstLine="567"/>
        <w:jc w:val="both"/>
      </w:pPr>
      <w:r w:rsidRPr="00D47424">
        <w:t xml:space="preserve">За отчетната 2021 г. предоставените от Министерството на здравеопазването трансфери на НЗОК за финансиране на разходите за лекарствени продукти – ваксини и дейности по прилагането им за здравните дейности по чл. 82, ал. 2, т. 3 от Закона за здравето (ЗЗ); за дейности за здравнонеосигурени лица, включващи: комплексно диспансерно (амбулаторно) наблюдение при пациенти с кожно-венерически и психиатрични заболявания; интензивно лечение; дейности по чл. 82, ал. 1, т. 2 от ЗЗ, за сумите по чл. 37, ал. 6 от Закона за здравното осигуряване (ЗЗО) и за медицински изделия, помощни средства, приспособления и съоръжения за хората с увреждания извън обхвата на задължителното здравно осигуряване, както и за осигуряване на средства за заплащане на изпълнителите на медицинска помощ за работи при неблагоприятни условия по време на обявена извънредна епидемична обстановка поради разпространение на COVID-19 и за заплащане на изпълнителите за поставяне на </w:t>
      </w:r>
      <w:r w:rsidRPr="00D47424">
        <w:lastRenderedPageBreak/>
        <w:t>ваксини срещу COVID-19 са в размер на 511,3 млн. л</w:t>
      </w:r>
      <w:r>
        <w:t>е</w:t>
      </w:r>
      <w:r w:rsidRPr="00D47424">
        <w:t>в</w:t>
      </w:r>
      <w:r>
        <w:t>а</w:t>
      </w:r>
      <w:r w:rsidRPr="00D47424">
        <w:t>.</w:t>
      </w:r>
      <w:r w:rsidRPr="00FD5BDA">
        <w:t xml:space="preserve"> </w:t>
      </w:r>
      <w:r>
        <w:t>П</w:t>
      </w:r>
      <w:r w:rsidRPr="00C54AD8">
        <w:t>олучените трансфери от МЗ са увеличени с 427,9 млн.</w:t>
      </w:r>
      <w:r w:rsidRPr="0064563F">
        <w:rPr>
          <w:lang w:val="ru-RU"/>
        </w:rPr>
        <w:t xml:space="preserve"> </w:t>
      </w:r>
      <w:r>
        <w:t>л</w:t>
      </w:r>
      <w:r w:rsidRPr="00C54AD8">
        <w:t>в</w:t>
      </w:r>
      <w:r>
        <w:t>.</w:t>
      </w:r>
      <w:r w:rsidRPr="00C54AD8">
        <w:rPr>
          <w:szCs w:val="20"/>
        </w:rPr>
        <w:t xml:space="preserve"> </w:t>
      </w:r>
      <w:r>
        <w:rPr>
          <w:szCs w:val="20"/>
        </w:rPr>
        <w:t>в</w:t>
      </w:r>
      <w:r w:rsidRPr="00C54AD8">
        <w:rPr>
          <w:szCs w:val="20"/>
        </w:rPr>
        <w:t xml:space="preserve"> изпълнение на ПМС № 59/18.02.2021 г., ПМС № 113/ 29.03.2021</w:t>
      </w:r>
      <w:r w:rsidR="008C4C92">
        <w:rPr>
          <w:szCs w:val="20"/>
        </w:rPr>
        <w:t> </w:t>
      </w:r>
      <w:r w:rsidRPr="00C54AD8">
        <w:rPr>
          <w:szCs w:val="20"/>
        </w:rPr>
        <w:t>г., ПМС № 177/ 29.04.2021 г., ПМС № 210/ 01.07.2021 г., ПМС № 247/ 22.07.2021</w:t>
      </w:r>
      <w:r w:rsidR="008C4C92">
        <w:rPr>
          <w:szCs w:val="20"/>
        </w:rPr>
        <w:t> </w:t>
      </w:r>
      <w:r w:rsidRPr="00C54AD8">
        <w:rPr>
          <w:szCs w:val="20"/>
        </w:rPr>
        <w:t xml:space="preserve">г., </w:t>
      </w:r>
      <w:r w:rsidRPr="00C54AD8">
        <w:t xml:space="preserve">ПМС № 330/ 14.10.2021 г., ПМС № 361/28.10.2021 г. и ПМС № 414/01.12.2021 г. </w:t>
      </w:r>
      <w:r w:rsidRPr="00C54AD8">
        <w:rPr>
          <w:szCs w:val="20"/>
        </w:rPr>
        <w:t xml:space="preserve">за осигуряване на средства за заплащане на изпълнителите на медицинска помощ за работа при неблагоприятни условия по време на обявена извънредна епидемична обстановка поради разпространение на COVID-19 и за заплащане на изпълнителите за поставяне на ваксини срещу COVID-19, </w:t>
      </w:r>
      <w:r w:rsidRPr="00C54AD8">
        <w:t>както и на основание ПМС № 269/06.08.2021 г. и извършена промяна по бюджета на Министерството на здравеопазването на основание чл. 112, ал. 3 от Закона за публичните финанси за разходи за дейности във връзка с лечението на лица до 18-годишна възраст по чл. 82, ал. 1а, З и 6 от Закона за здравето и за дейности във връзка с лечението на лица над 18-годишна възраст по чл. 82, ал. 1а и 6 от Закона за здравето</w:t>
      </w:r>
      <w:r w:rsidRPr="00C54AD8">
        <w:rPr>
          <w:szCs w:val="20"/>
        </w:rPr>
        <w:t>.</w:t>
      </w:r>
    </w:p>
    <w:p w14:paraId="720AB523" w14:textId="77777777" w:rsidR="002B70B4" w:rsidRPr="00FD5BDA" w:rsidRDefault="002B70B4" w:rsidP="002B70B4">
      <w:pPr>
        <w:ind w:firstLine="567"/>
        <w:jc w:val="both"/>
      </w:pPr>
      <w:r w:rsidRPr="00C54AD8">
        <w:t>Трансферите за здравно осигуряване (вкл. за поети осигурителни вноски) и за изплащане на допълнителни възнаграждения на медицинския персонал за срока на обявена епидемична обстановка от централния бюджет за периода са 1 977,6 млн. лв.</w:t>
      </w:r>
    </w:p>
    <w:p w14:paraId="1FD3F894" w14:textId="574EF238" w:rsidR="002B70B4" w:rsidRDefault="002B70B4" w:rsidP="002B70B4">
      <w:pPr>
        <w:ind w:firstLine="567"/>
        <w:jc w:val="both"/>
      </w:pPr>
      <w:r w:rsidRPr="00C54AD8">
        <w:t xml:space="preserve">Отчетените </w:t>
      </w:r>
      <w:r w:rsidRPr="00C54AD8">
        <w:rPr>
          <w:b/>
        </w:rPr>
        <w:t>разходи</w:t>
      </w:r>
      <w:r w:rsidRPr="00C54AD8">
        <w:t xml:space="preserve"> към 31.12.2021 г. са в размер на 5 713,2 млн. лв. и представляват 104,9 % от предвидените в ЗБНЗОК за 2021 г. 5 446,3 млн. лева.</w:t>
      </w:r>
      <w:r w:rsidRPr="00C33D6F">
        <w:t xml:space="preserve"> </w:t>
      </w:r>
      <w:r w:rsidRPr="006C233D">
        <w:t>Преизпълнението</w:t>
      </w:r>
      <w:r w:rsidRPr="0064563F">
        <w:rPr>
          <w:lang w:val="ru-RU"/>
        </w:rPr>
        <w:t xml:space="preserve"> </w:t>
      </w:r>
      <w:r w:rsidR="002B1EA6">
        <w:t xml:space="preserve">спрямо плана е извършено въз основа на приетите през годината постановления на МС за увеличаване на трансферите, предоставяни от МЗ основно </w:t>
      </w:r>
      <w:r w:rsidR="002B1EA6" w:rsidRPr="00A028B4">
        <w:t>за заплащане на изпълнителите на медицинска помощ за работа при неблагоприятни условия</w:t>
      </w:r>
      <w:r w:rsidR="002B1EA6">
        <w:t xml:space="preserve"> и </w:t>
      </w:r>
      <w:r w:rsidRPr="006C233D">
        <w:t>след решение на надзорния съвет на НЗОК, на основание §1, ал.1 от ПЗР на Закона за бюджета на НЗОК за 2021 г., съгласно който преизпълнението на приходите от здравноосигурителни вноски и неданъчни приходи може да се ползва като източник за допълнителни здравноосигурителни плащания над утвърдените разходи и предоставени трансфери по бюджета на НЗОК.</w:t>
      </w:r>
    </w:p>
    <w:p w14:paraId="21F3F8CB" w14:textId="77777777" w:rsidR="002B70B4" w:rsidRPr="00C33D6F" w:rsidRDefault="002B70B4" w:rsidP="002B70B4">
      <w:pPr>
        <w:ind w:firstLine="567"/>
        <w:jc w:val="both"/>
        <w:rPr>
          <w:color w:val="0070C0"/>
        </w:rPr>
      </w:pPr>
      <w:r w:rsidRPr="00C33D6F">
        <w:t>Изплатените средства на изпълнителите на медицинска помощ</w:t>
      </w:r>
      <w:r w:rsidRPr="0064563F">
        <w:rPr>
          <w:lang w:val="ru-RU"/>
        </w:rPr>
        <w:t xml:space="preserve"> </w:t>
      </w:r>
      <w:r w:rsidRPr="00C33D6F">
        <w:t xml:space="preserve">за годината са в размер на 5 </w:t>
      </w:r>
      <w:r>
        <w:t>121</w:t>
      </w:r>
      <w:r w:rsidRPr="00C33D6F">
        <w:t>,</w:t>
      </w:r>
      <w:r>
        <w:t>2</w:t>
      </w:r>
      <w:r w:rsidRPr="00C33D6F">
        <w:t xml:space="preserve"> млн.</w:t>
      </w:r>
      <w:r w:rsidRPr="0064563F">
        <w:rPr>
          <w:lang w:val="ru-RU"/>
        </w:rPr>
        <w:t xml:space="preserve"> </w:t>
      </w:r>
      <w:r>
        <w:t>лева.</w:t>
      </w:r>
      <w:r w:rsidRPr="00C33D6F">
        <w:t xml:space="preserve"> В отделните направления на здравноосигурителни плащания изпълнението през 2021 г. е следното:</w:t>
      </w:r>
    </w:p>
    <w:p w14:paraId="279C51F9" w14:textId="77777777" w:rsidR="002B70B4" w:rsidRPr="008377DD" w:rsidRDefault="002B70B4" w:rsidP="002B70B4">
      <w:pPr>
        <w:numPr>
          <w:ilvl w:val="0"/>
          <w:numId w:val="17"/>
        </w:numPr>
        <w:tabs>
          <w:tab w:val="num" w:pos="0"/>
          <w:tab w:val="left" w:pos="720"/>
          <w:tab w:val="left" w:pos="1134"/>
        </w:tabs>
        <w:spacing w:before="120" w:line="276" w:lineRule="auto"/>
        <w:ind w:hanging="6169"/>
        <w:jc w:val="both"/>
        <w:rPr>
          <w:bCs/>
        </w:rPr>
      </w:pPr>
      <w:r w:rsidRPr="008377DD">
        <w:rPr>
          <w:b/>
          <w:i/>
        </w:rPr>
        <w:t>първична извънболнична медицинска помощ</w:t>
      </w:r>
      <w:r w:rsidRPr="008377DD">
        <w:rPr>
          <w:i/>
        </w:rPr>
        <w:t xml:space="preserve"> –</w:t>
      </w:r>
      <w:r w:rsidRPr="008377DD">
        <w:t xml:space="preserve"> </w:t>
      </w:r>
      <w:r>
        <w:t>283</w:t>
      </w:r>
      <w:r w:rsidRPr="008377DD">
        <w:t>,</w:t>
      </w:r>
      <w:r>
        <w:t>2</w:t>
      </w:r>
      <w:r w:rsidRPr="008377DD">
        <w:t xml:space="preserve"> млн. лева;</w:t>
      </w:r>
      <w:r w:rsidRPr="008377DD">
        <w:rPr>
          <w:bCs/>
        </w:rPr>
        <w:t xml:space="preserve"> </w:t>
      </w:r>
    </w:p>
    <w:p w14:paraId="33018936" w14:textId="77777777" w:rsidR="002B70B4" w:rsidRPr="008377DD" w:rsidRDefault="002B70B4" w:rsidP="002B70B4">
      <w:pPr>
        <w:numPr>
          <w:ilvl w:val="0"/>
          <w:numId w:val="17"/>
        </w:numPr>
        <w:tabs>
          <w:tab w:val="num" w:pos="0"/>
          <w:tab w:val="left" w:pos="720"/>
          <w:tab w:val="left" w:pos="1134"/>
        </w:tabs>
        <w:spacing w:line="276" w:lineRule="auto"/>
        <w:ind w:hanging="6169"/>
        <w:jc w:val="both"/>
        <w:rPr>
          <w:i/>
        </w:rPr>
      </w:pPr>
      <w:r w:rsidRPr="008377DD">
        <w:rPr>
          <w:b/>
          <w:i/>
        </w:rPr>
        <w:t xml:space="preserve">специализирана извънболнична медицинска помощ </w:t>
      </w:r>
      <w:r w:rsidRPr="008377DD">
        <w:t xml:space="preserve"> – 305,3 млн. лева;</w:t>
      </w:r>
    </w:p>
    <w:p w14:paraId="5CF9A898" w14:textId="77777777" w:rsidR="002B70B4" w:rsidRPr="008377DD" w:rsidRDefault="002B70B4" w:rsidP="002B70B4">
      <w:pPr>
        <w:numPr>
          <w:ilvl w:val="0"/>
          <w:numId w:val="17"/>
        </w:numPr>
        <w:tabs>
          <w:tab w:val="num" w:pos="0"/>
          <w:tab w:val="left" w:pos="720"/>
          <w:tab w:val="left" w:pos="1134"/>
        </w:tabs>
        <w:spacing w:line="276" w:lineRule="auto"/>
        <w:ind w:hanging="6169"/>
        <w:jc w:val="both"/>
        <w:rPr>
          <w:b/>
        </w:rPr>
      </w:pPr>
      <w:r w:rsidRPr="008377DD">
        <w:rPr>
          <w:b/>
          <w:i/>
        </w:rPr>
        <w:t xml:space="preserve">дентална помощ </w:t>
      </w:r>
      <w:r w:rsidRPr="008377DD">
        <w:rPr>
          <w:b/>
        </w:rPr>
        <w:t xml:space="preserve">– </w:t>
      </w:r>
      <w:r w:rsidRPr="008377DD">
        <w:t>222,8 млн. лева;</w:t>
      </w:r>
    </w:p>
    <w:p w14:paraId="70C5B019" w14:textId="77777777" w:rsidR="002B70B4" w:rsidRPr="008377DD" w:rsidRDefault="002B70B4" w:rsidP="002B70B4">
      <w:pPr>
        <w:numPr>
          <w:ilvl w:val="0"/>
          <w:numId w:val="17"/>
        </w:numPr>
        <w:tabs>
          <w:tab w:val="num" w:pos="0"/>
          <w:tab w:val="left" w:pos="720"/>
          <w:tab w:val="left" w:pos="1134"/>
        </w:tabs>
        <w:spacing w:line="276" w:lineRule="auto"/>
        <w:ind w:hanging="6169"/>
        <w:jc w:val="both"/>
        <w:rPr>
          <w:b/>
          <w:i/>
        </w:rPr>
      </w:pPr>
      <w:r w:rsidRPr="008377DD">
        <w:rPr>
          <w:b/>
          <w:i/>
        </w:rPr>
        <w:t xml:space="preserve">медико-диагностична дейност – </w:t>
      </w:r>
      <w:r w:rsidRPr="008377DD">
        <w:t>133,0 млн. лева;</w:t>
      </w:r>
      <w:r w:rsidRPr="008377DD">
        <w:rPr>
          <w:b/>
          <w:i/>
        </w:rPr>
        <w:t xml:space="preserve"> </w:t>
      </w:r>
    </w:p>
    <w:p w14:paraId="6B01A9F6" w14:textId="77777777" w:rsidR="002B70B4" w:rsidRPr="008377DD" w:rsidRDefault="002B70B4" w:rsidP="002B70B4">
      <w:pPr>
        <w:numPr>
          <w:ilvl w:val="0"/>
          <w:numId w:val="17"/>
        </w:numPr>
        <w:tabs>
          <w:tab w:val="num" w:pos="0"/>
          <w:tab w:val="left" w:pos="1134"/>
        </w:tabs>
        <w:spacing w:line="276" w:lineRule="auto"/>
        <w:ind w:left="1134" w:hanging="425"/>
        <w:jc w:val="both"/>
      </w:pPr>
      <w:r w:rsidRPr="008377DD">
        <w:rPr>
          <w:b/>
          <w:i/>
        </w:rPr>
        <w:t xml:space="preserve">лекарствени продукти, медицински изделия и диетични храни за домашно лечение на територията на страната  - </w:t>
      </w:r>
      <w:r w:rsidRPr="008377DD">
        <w:t>853,0 млн. лв.</w:t>
      </w:r>
    </w:p>
    <w:p w14:paraId="39E23E60" w14:textId="77777777" w:rsidR="002B70B4" w:rsidRPr="008377DD" w:rsidRDefault="002B70B4" w:rsidP="002B70B4">
      <w:pPr>
        <w:numPr>
          <w:ilvl w:val="0"/>
          <w:numId w:val="17"/>
        </w:numPr>
        <w:tabs>
          <w:tab w:val="num" w:pos="0"/>
          <w:tab w:val="left" w:pos="1134"/>
          <w:tab w:val="num" w:pos="6096"/>
        </w:tabs>
        <w:spacing w:line="276" w:lineRule="auto"/>
        <w:ind w:left="1134" w:hanging="425"/>
        <w:jc w:val="both"/>
      </w:pPr>
      <w:r w:rsidRPr="008377DD">
        <w:rPr>
          <w:b/>
          <w:i/>
        </w:rPr>
        <w:t xml:space="preserve"> лекарствени продукти за лечение на злокачествени заболявания в условията на болнична медицинска помощ </w:t>
      </w:r>
      <w:r w:rsidRPr="008377DD">
        <w:t xml:space="preserve"> – 537,6 млн. лева;</w:t>
      </w:r>
    </w:p>
    <w:p w14:paraId="377FB407" w14:textId="77777777" w:rsidR="002B70B4" w:rsidRPr="008377DD" w:rsidRDefault="002B70B4" w:rsidP="002B70B4">
      <w:pPr>
        <w:numPr>
          <w:ilvl w:val="0"/>
          <w:numId w:val="17"/>
        </w:numPr>
        <w:tabs>
          <w:tab w:val="num" w:pos="0"/>
          <w:tab w:val="left" w:pos="720"/>
          <w:tab w:val="num" w:pos="1134"/>
        </w:tabs>
        <w:spacing w:line="276" w:lineRule="auto"/>
        <w:ind w:left="1134" w:hanging="425"/>
        <w:jc w:val="both"/>
      </w:pPr>
      <w:r w:rsidRPr="008377DD">
        <w:rPr>
          <w:b/>
          <w:i/>
        </w:rPr>
        <w:t>медицински изделия, прилагани в болничната  помощ –</w:t>
      </w:r>
      <w:r w:rsidRPr="008377DD">
        <w:t xml:space="preserve"> 96,7 млн. лева;</w:t>
      </w:r>
    </w:p>
    <w:p w14:paraId="392A5180" w14:textId="77777777" w:rsidR="002B70B4" w:rsidRPr="008377DD" w:rsidRDefault="002B70B4" w:rsidP="002B70B4">
      <w:pPr>
        <w:numPr>
          <w:ilvl w:val="0"/>
          <w:numId w:val="17"/>
        </w:numPr>
        <w:tabs>
          <w:tab w:val="num" w:pos="0"/>
          <w:tab w:val="left" w:pos="720"/>
          <w:tab w:val="left" w:pos="1134"/>
        </w:tabs>
        <w:spacing w:line="276" w:lineRule="auto"/>
        <w:ind w:hanging="6169"/>
        <w:jc w:val="both"/>
        <w:rPr>
          <w:color w:val="0070C0"/>
        </w:rPr>
      </w:pPr>
      <w:r w:rsidRPr="008377DD">
        <w:rPr>
          <w:b/>
          <w:i/>
        </w:rPr>
        <w:t>болнична медицинска помощ –</w:t>
      </w:r>
      <w:r w:rsidRPr="008377DD">
        <w:t xml:space="preserve"> 2 </w:t>
      </w:r>
      <w:r>
        <w:t>542</w:t>
      </w:r>
      <w:r w:rsidRPr="008377DD">
        <w:t>,</w:t>
      </w:r>
      <w:r>
        <w:t>4</w:t>
      </w:r>
      <w:r w:rsidRPr="008377DD">
        <w:t xml:space="preserve"> млн. лева.</w:t>
      </w:r>
      <w:r w:rsidRPr="008377DD">
        <w:rPr>
          <w:color w:val="0070C0"/>
        </w:rPr>
        <w:tab/>
        <w:t xml:space="preserve"> </w:t>
      </w:r>
    </w:p>
    <w:p w14:paraId="278576FD" w14:textId="77777777" w:rsidR="002B70B4" w:rsidRPr="008377DD" w:rsidRDefault="002B70B4" w:rsidP="002B70B4">
      <w:pPr>
        <w:numPr>
          <w:ilvl w:val="0"/>
          <w:numId w:val="17"/>
        </w:numPr>
        <w:tabs>
          <w:tab w:val="num" w:pos="0"/>
          <w:tab w:val="left" w:pos="720"/>
          <w:tab w:val="left" w:pos="1134"/>
        </w:tabs>
        <w:spacing w:line="276" w:lineRule="auto"/>
        <w:ind w:hanging="6169"/>
        <w:jc w:val="both"/>
      </w:pPr>
      <w:r w:rsidRPr="008377DD">
        <w:rPr>
          <w:b/>
          <w:i/>
        </w:rPr>
        <w:t xml:space="preserve">други здравноосигурителни плащания – </w:t>
      </w:r>
      <w:r w:rsidRPr="008377DD">
        <w:t>147,2 млн. лева.</w:t>
      </w:r>
    </w:p>
    <w:p w14:paraId="4632996F" w14:textId="77777777" w:rsidR="002B70B4" w:rsidRDefault="002B70B4" w:rsidP="002B70B4">
      <w:pPr>
        <w:ind w:firstLine="567"/>
        <w:jc w:val="both"/>
        <w:rPr>
          <w:szCs w:val="20"/>
        </w:rPr>
      </w:pPr>
      <w:r w:rsidRPr="0039247B">
        <w:rPr>
          <w:szCs w:val="20"/>
        </w:rPr>
        <w:t xml:space="preserve">Като здравноосигурителни плащания следва да се третират и преведените </w:t>
      </w:r>
      <w:r>
        <w:rPr>
          <w:szCs w:val="20"/>
        </w:rPr>
        <w:t>144,</w:t>
      </w:r>
      <w:r w:rsidRPr="0064563F">
        <w:rPr>
          <w:szCs w:val="20"/>
          <w:lang w:val="ru-RU"/>
        </w:rPr>
        <w:t>1</w:t>
      </w:r>
      <w:r w:rsidRPr="0039247B">
        <w:rPr>
          <w:szCs w:val="20"/>
        </w:rPr>
        <w:t xml:space="preserve"> млн.</w:t>
      </w:r>
      <w:r w:rsidRPr="0064563F">
        <w:rPr>
          <w:szCs w:val="20"/>
          <w:lang w:val="ru-RU"/>
        </w:rPr>
        <w:t xml:space="preserve"> </w:t>
      </w:r>
      <w:r w:rsidRPr="0039247B">
        <w:rPr>
          <w:szCs w:val="20"/>
        </w:rPr>
        <w:t xml:space="preserve">лв. трансфери по договори за извършване на медицински услуги към  бюджетни предприятия, в структурата на които има лечебни заведения по чл. 5 от Закона за лечебните заведения. Заедно с преведените трансфери усвоените средства за здравноосигурителни плащания възлизат на </w:t>
      </w:r>
      <w:r>
        <w:rPr>
          <w:szCs w:val="20"/>
        </w:rPr>
        <w:t>5 265,3</w:t>
      </w:r>
      <w:r w:rsidRPr="0064563F">
        <w:rPr>
          <w:szCs w:val="20"/>
          <w:lang w:val="ru-RU"/>
        </w:rPr>
        <w:t xml:space="preserve"> </w:t>
      </w:r>
      <w:r w:rsidRPr="0039247B">
        <w:rPr>
          <w:szCs w:val="20"/>
        </w:rPr>
        <w:t>млн.</w:t>
      </w:r>
      <w:r w:rsidRPr="0064563F">
        <w:rPr>
          <w:szCs w:val="20"/>
          <w:lang w:val="ru-RU"/>
        </w:rPr>
        <w:t xml:space="preserve"> </w:t>
      </w:r>
      <w:r w:rsidRPr="0039247B">
        <w:rPr>
          <w:szCs w:val="20"/>
        </w:rPr>
        <w:t>лв.</w:t>
      </w:r>
    </w:p>
    <w:p w14:paraId="1E3502C8" w14:textId="77777777" w:rsidR="002B70B4" w:rsidRPr="0063578A" w:rsidRDefault="002B70B4" w:rsidP="002B70B4">
      <w:pPr>
        <w:ind w:firstLine="567"/>
        <w:jc w:val="both"/>
      </w:pPr>
      <w:r>
        <w:t>Към 31.12.2</w:t>
      </w:r>
      <w:r w:rsidRPr="0063578A">
        <w:t xml:space="preserve">021 г. средствата, които НЗОК е изплатила на медицинските специалисти за работа при неблагоприятни условия по време на обявена извънредна епидемична обстановка поради разпространение на COVID-19, са в размер на </w:t>
      </w:r>
      <w:r>
        <w:t>370</w:t>
      </w:r>
      <w:r w:rsidRPr="0063578A">
        <w:t>,</w:t>
      </w:r>
      <w:r>
        <w:t>3</w:t>
      </w:r>
      <w:r w:rsidRPr="0063578A">
        <w:t xml:space="preserve"> млн. лв.</w:t>
      </w:r>
    </w:p>
    <w:p w14:paraId="72B862C2" w14:textId="77777777" w:rsidR="002B70B4" w:rsidRPr="00000BBC" w:rsidRDefault="002B70B4" w:rsidP="002B70B4">
      <w:pPr>
        <w:ind w:firstLine="567"/>
        <w:jc w:val="both"/>
      </w:pPr>
      <w:r w:rsidRPr="006C233D">
        <w:t>През 2021 г. са отчетени плащания в размер на</w:t>
      </w:r>
      <w:r w:rsidRPr="0064563F">
        <w:rPr>
          <w:lang w:val="ru-RU"/>
        </w:rPr>
        <w:t xml:space="preserve"> </w:t>
      </w:r>
      <w:r w:rsidRPr="006C233D">
        <w:t>130,2</w:t>
      </w:r>
      <w:r w:rsidRPr="0064563F">
        <w:rPr>
          <w:lang w:val="ru-RU"/>
        </w:rPr>
        <w:t xml:space="preserve"> </w:t>
      </w:r>
      <w:r w:rsidRPr="006C233D">
        <w:t>млн.</w:t>
      </w:r>
      <w:r w:rsidRPr="0064563F">
        <w:rPr>
          <w:lang w:val="ru-RU"/>
        </w:rPr>
        <w:t xml:space="preserve"> </w:t>
      </w:r>
      <w:r w:rsidRPr="006C233D">
        <w:t>лв. от предоставения трансфер от МЗ за дейности за здравно неосигурени лица и лекарствени продукти, съгл. чл. 82 от Закона за здравето и за потребителска такса, съгл. чл. 37, ал. 6 от ЗЗО.</w:t>
      </w:r>
    </w:p>
    <w:p w14:paraId="26B19DD8" w14:textId="77777777" w:rsidR="002B70B4" w:rsidRPr="00BA4AB9" w:rsidRDefault="002B70B4" w:rsidP="002B70B4">
      <w:pPr>
        <w:spacing w:before="120"/>
        <w:ind w:firstLine="567"/>
        <w:jc w:val="both"/>
        <w:rPr>
          <w:color w:val="0070C0"/>
        </w:rPr>
      </w:pPr>
      <w:r w:rsidRPr="008377DD">
        <w:t xml:space="preserve">По бюджета на НЗОК за 2021 година са утвърдени 86,7 млн. лв. за административни разходи на институцията, които включват разходите за персонал и за текуща издръжка. </w:t>
      </w:r>
      <w:r w:rsidRPr="008377DD">
        <w:lastRenderedPageBreak/>
        <w:t xml:space="preserve">Отчетените средства за годината са 88,8 млн. лв., като преизпълнението от 102,5 на сто се дължи на платени задължения на НЗОК по съдебни дела, обезщетения, държавни такси и лихви и </w:t>
      </w:r>
      <w:r w:rsidRPr="008377DD">
        <w:rPr>
          <w:rFonts w:eastAsia="Calibri"/>
          <w:bCs/>
        </w:rPr>
        <w:t>съдебни разноски по постъпили изпълнителни искове</w:t>
      </w:r>
      <w:r w:rsidRPr="008377DD">
        <w:t xml:space="preserve"> (вкл. платени лихви по вътрешни заеми). Усвоените средства за административни разходи заемат 1,6 на сто в структурата на общите разходи за отчетния период.</w:t>
      </w:r>
    </w:p>
    <w:p w14:paraId="20A195B7" w14:textId="2F2E53D9" w:rsidR="00664601" w:rsidRPr="00BA4AB9" w:rsidRDefault="00664601" w:rsidP="00664601">
      <w:pPr>
        <w:ind w:firstLine="567"/>
        <w:jc w:val="both"/>
        <w:rPr>
          <w:color w:val="0070C0"/>
        </w:rPr>
      </w:pPr>
    </w:p>
    <w:p w14:paraId="71F93EA1" w14:textId="77777777" w:rsidR="00B6120B" w:rsidRPr="006C00FD" w:rsidRDefault="00B6120B" w:rsidP="00572966">
      <w:pPr>
        <w:pStyle w:val="Heading1"/>
        <w:numPr>
          <w:ilvl w:val="1"/>
          <w:numId w:val="10"/>
        </w:numPr>
        <w:spacing w:before="240"/>
        <w:ind w:left="788" w:right="-108" w:hanging="431"/>
        <w:jc w:val="both"/>
        <w:rPr>
          <w:sz w:val="24"/>
        </w:rPr>
      </w:pPr>
      <w:r w:rsidRPr="006C00FD">
        <w:rPr>
          <w:sz w:val="24"/>
        </w:rPr>
        <w:t>Общински бюджети</w:t>
      </w:r>
    </w:p>
    <w:p w14:paraId="0073C406" w14:textId="77777777" w:rsidR="006C00FD" w:rsidRPr="00F36E49" w:rsidRDefault="006C00FD" w:rsidP="006C00FD">
      <w:pPr>
        <w:numPr>
          <w:ilvl w:val="0"/>
          <w:numId w:val="8"/>
        </w:numPr>
        <w:tabs>
          <w:tab w:val="num" w:pos="540"/>
        </w:tabs>
        <w:spacing w:before="120" w:line="276" w:lineRule="auto"/>
        <w:ind w:left="714" w:hanging="147"/>
        <w:jc w:val="both"/>
        <w:rPr>
          <w:b/>
          <w:color w:val="000000" w:themeColor="text1"/>
        </w:rPr>
      </w:pPr>
      <w:r w:rsidRPr="00F36E49">
        <w:rPr>
          <w:b/>
          <w:color w:val="000000" w:themeColor="text1"/>
        </w:rPr>
        <w:t>Приходи</w:t>
      </w:r>
    </w:p>
    <w:p w14:paraId="7433D479" w14:textId="6BFE7B90" w:rsidR="006C00FD" w:rsidRPr="00BA4AB9" w:rsidRDefault="006C00FD" w:rsidP="006C00FD">
      <w:pPr>
        <w:tabs>
          <w:tab w:val="center" w:pos="4153"/>
          <w:tab w:val="right" w:pos="8306"/>
        </w:tabs>
        <w:ind w:firstLine="567"/>
        <w:jc w:val="both"/>
        <w:rPr>
          <w:color w:val="0070C0"/>
        </w:rPr>
      </w:pPr>
      <w:r w:rsidRPr="00F36E49">
        <w:rPr>
          <w:color w:val="000000" w:themeColor="text1"/>
        </w:rPr>
        <w:t>Собствените приходи по бюджетите на общините към 31.12.2021 г.  са в размер на 2</w:t>
      </w:r>
      <w:r w:rsidRPr="00F36E49">
        <w:rPr>
          <w:color w:val="000000" w:themeColor="text1"/>
          <w:lang w:val="en-US"/>
        </w:rPr>
        <w:t> </w:t>
      </w:r>
      <w:r w:rsidRPr="00F36E49">
        <w:rPr>
          <w:color w:val="000000" w:themeColor="text1"/>
        </w:rPr>
        <w:t>829,8</w:t>
      </w:r>
      <w:r w:rsidRPr="00F36E49">
        <w:rPr>
          <w:bCs/>
          <w:color w:val="000000" w:themeColor="text1"/>
        </w:rPr>
        <w:t> м</w:t>
      </w:r>
      <w:r w:rsidRPr="00F36E49">
        <w:rPr>
          <w:color w:val="000000" w:themeColor="text1"/>
        </w:rPr>
        <w:t xml:space="preserve">лн. лв., което представлява 108,6 % спрямо разчетените към ЗДБРБ за 2021 г. постъпления в размер на </w:t>
      </w:r>
      <w:r w:rsidRPr="00F36E49">
        <w:rPr>
          <w:bCs/>
          <w:color w:val="000000" w:themeColor="text1"/>
        </w:rPr>
        <w:t>2 605,0</w:t>
      </w:r>
      <w:r w:rsidRPr="00F36E49">
        <w:rPr>
          <w:color w:val="000000" w:themeColor="text1"/>
        </w:rPr>
        <w:t xml:space="preserve"> млн. лева и с 449,4 млн. лв. повече спрямо събраните през 2020 г.</w:t>
      </w:r>
    </w:p>
    <w:p w14:paraId="036B0BF1" w14:textId="18931A1D" w:rsidR="006C00FD" w:rsidRPr="00BA4AB9" w:rsidRDefault="006C00FD" w:rsidP="006C00FD">
      <w:pPr>
        <w:ind w:firstLine="567"/>
        <w:jc w:val="both"/>
        <w:rPr>
          <w:color w:val="0070C0"/>
        </w:rPr>
      </w:pPr>
      <w:r w:rsidRPr="00F36E49">
        <w:rPr>
          <w:i/>
        </w:rPr>
        <w:t>Данъчните приходи</w:t>
      </w:r>
      <w:r w:rsidRPr="00F36E49">
        <w:t xml:space="preserve"> по общинските </w:t>
      </w:r>
      <w:r w:rsidRPr="007938E1">
        <w:t xml:space="preserve">бюджети са в размер на 1 309,9 млн. лв. или 113,9 %  спрямо годишните разчети към ЗДБРБ за 2021 г. и с 22,4 % (240,0 млн. лв.) повече спрямо тези за същия период на предходната година. </w:t>
      </w:r>
      <w:r w:rsidRPr="007938E1">
        <w:rPr>
          <w:bCs/>
        </w:rPr>
        <w:t xml:space="preserve">От </w:t>
      </w:r>
      <w:r w:rsidRPr="007938E1">
        <w:rPr>
          <w:bCs/>
          <w:i/>
        </w:rPr>
        <w:t>имуществени данъци по Закона за местните данъци и такси</w:t>
      </w:r>
      <w:r w:rsidRPr="007938E1">
        <w:rPr>
          <w:bCs/>
        </w:rPr>
        <w:t xml:space="preserve"> в местните бюджети към 31 декември 2021 г. са постъпили общо 1 297,1 млн. лв., което представлява 114,9</w:t>
      </w:r>
      <w:r>
        <w:rPr>
          <w:bCs/>
        </w:rPr>
        <w:t xml:space="preserve"> % спрямо</w:t>
      </w:r>
      <w:r w:rsidRPr="007938E1">
        <w:rPr>
          <w:bCs/>
        </w:rPr>
        <w:t xml:space="preserve"> годишния разчет. </w:t>
      </w:r>
      <w:r w:rsidRPr="00DB3BE0">
        <w:t xml:space="preserve">С най-значителен дял в приходите от имуществени данъци е данъкът върху придобиването на имущество по дарения и възмезден начин – 38,3 %, следван от данъкът върху превозните средства – 30,8 %, данъкът върху недвижимите имоти – 29,6 % и туристическия данък – 1,3 %. </w:t>
      </w:r>
      <w:r>
        <w:t xml:space="preserve">Най-голям ръст в постъпленията от имуществени данъци бележи данъкът </w:t>
      </w:r>
      <w:r w:rsidRPr="008F1283">
        <w:t xml:space="preserve">при придобиване на имущество по дарения и възмезден начин </w:t>
      </w:r>
      <w:r>
        <w:t xml:space="preserve">– 140,5 % спрямо годишния разчет и 159,6 млн. лв. повече или 147,4 % спрямо постъпленията през предходната година. </w:t>
      </w:r>
      <w:r w:rsidRPr="00DB3BE0">
        <w:t>През отчетния период по бюджетите на общините са постъпили 12,7 млн. лв. от патентен данък и данък върху т</w:t>
      </w:r>
      <w:r>
        <w:t>аксиметров превоз на пътници - 60,2 % от годишния разчет,</w:t>
      </w:r>
      <w:r w:rsidRPr="006C4634">
        <w:t xml:space="preserve"> </w:t>
      </w:r>
      <w:r>
        <w:t>като по-малкият размер на постъпленията е свързан и с въведеното с чл. 107 от ЗДБРБ за 2021 г. данъчно облекчение за таксиметровите превозвачи през 2021 г. П</w:t>
      </w:r>
      <w:r w:rsidRPr="00DB3BE0">
        <w:t>риходи</w:t>
      </w:r>
      <w:r>
        <w:t>те</w:t>
      </w:r>
      <w:r w:rsidRPr="00DB3BE0">
        <w:t xml:space="preserve"> от други данъци</w:t>
      </w:r>
      <w:r>
        <w:t xml:space="preserve"> са </w:t>
      </w:r>
      <w:r w:rsidRPr="00DB3BE0">
        <w:t xml:space="preserve"> 0,1</w:t>
      </w:r>
      <w:r>
        <w:t xml:space="preserve"> млн. лв.  </w:t>
      </w:r>
    </w:p>
    <w:p w14:paraId="3CB5BD72" w14:textId="77777777" w:rsidR="006C00FD" w:rsidRPr="00770004" w:rsidRDefault="006C00FD" w:rsidP="006C00FD">
      <w:pPr>
        <w:ind w:firstLine="567"/>
        <w:jc w:val="both"/>
      </w:pPr>
      <w:r w:rsidRPr="001F2B6A">
        <w:t xml:space="preserve">Общият размер на </w:t>
      </w:r>
      <w:r w:rsidRPr="001F2B6A">
        <w:rPr>
          <w:i/>
        </w:rPr>
        <w:t>неданъчните приходи</w:t>
      </w:r>
      <w:r w:rsidRPr="001F2B6A">
        <w:t xml:space="preserve"> по  местните бюджети към 31 декември 2021 г. е 1 501,3 млн. лв. или 105,1 </w:t>
      </w:r>
      <w:r>
        <w:t>% спрямо</w:t>
      </w:r>
      <w:r w:rsidRPr="001F2B6A">
        <w:t xml:space="preserve"> разчетите към ЗДБРБ за 2021 г. Най-голям относителен дял заемат приходите от общински такси, които възлизат на 931,9 млн. лв. (104,3</w:t>
      </w:r>
      <w:r w:rsidRPr="001F2B6A">
        <w:rPr>
          <w:lang w:val="en-US"/>
        </w:rPr>
        <w:t> </w:t>
      </w:r>
      <w:r>
        <w:t>% спрямо</w:t>
      </w:r>
      <w:r w:rsidRPr="001F2B6A">
        <w:t xml:space="preserve"> разчетените за годината), следват приходите и доходите от собственост – 313,2</w:t>
      </w:r>
      <w:r w:rsidRPr="001F2B6A">
        <w:rPr>
          <w:lang w:val="en-US"/>
        </w:rPr>
        <w:t> </w:t>
      </w:r>
      <w:r w:rsidRPr="001F2B6A">
        <w:t>млн. лв. (</w:t>
      </w:r>
      <w:r w:rsidRPr="001F2B6A">
        <w:rPr>
          <w:lang w:val="ru-RU"/>
        </w:rPr>
        <w:t>97</w:t>
      </w:r>
      <w:r w:rsidRPr="001F2B6A">
        <w:t xml:space="preserve">,4 % от разчетените за 2021 г.), постъпленията от продажба на нефинансови активи – 137,0 млн. лв. (112,0 % спрямо разчета за годината), постъпленията от глоби, санкции и наказателни лихви – 85,0 млн. лв. (103,1 % спрямо планираните) и приходите от </w:t>
      </w:r>
      <w:r w:rsidRPr="00770004">
        <w:t>концесии - 51,5</w:t>
      </w:r>
      <w:r w:rsidRPr="00770004">
        <w:rPr>
          <w:lang w:val="en-US"/>
        </w:rPr>
        <w:t> </w:t>
      </w:r>
      <w:r w:rsidRPr="00770004">
        <w:t xml:space="preserve">млн. лв. (114,3 % спрямо разчета за 2021 г.). </w:t>
      </w:r>
    </w:p>
    <w:p w14:paraId="23318E4A" w14:textId="77777777" w:rsidR="006C00FD" w:rsidRPr="00770004" w:rsidRDefault="006C00FD" w:rsidP="006C00FD">
      <w:pPr>
        <w:ind w:firstLine="567"/>
        <w:jc w:val="both"/>
      </w:pPr>
      <w:r w:rsidRPr="00770004">
        <w:t xml:space="preserve">През отчетния период по общинските бюджети са постъпили 18,7 млн. лв. приходи от </w:t>
      </w:r>
      <w:r w:rsidRPr="00770004">
        <w:rPr>
          <w:i/>
        </w:rPr>
        <w:t>помощи и дарения</w:t>
      </w:r>
      <w:r w:rsidRPr="00770004">
        <w:t xml:space="preserve">, което е 71,7 % от разчетените за годината 26,1 млн. лева. </w:t>
      </w:r>
    </w:p>
    <w:p w14:paraId="3F2C787C" w14:textId="77777777" w:rsidR="006C00FD" w:rsidRPr="00770004" w:rsidRDefault="006C00FD" w:rsidP="006C00FD">
      <w:pPr>
        <w:numPr>
          <w:ilvl w:val="0"/>
          <w:numId w:val="8"/>
        </w:numPr>
        <w:tabs>
          <w:tab w:val="num" w:pos="540"/>
        </w:tabs>
        <w:spacing w:before="240" w:line="276" w:lineRule="auto"/>
        <w:ind w:left="714" w:hanging="147"/>
        <w:jc w:val="both"/>
        <w:rPr>
          <w:b/>
        </w:rPr>
      </w:pPr>
      <w:r w:rsidRPr="00770004">
        <w:rPr>
          <w:b/>
        </w:rPr>
        <w:t>Разходи</w:t>
      </w:r>
    </w:p>
    <w:p w14:paraId="28171174" w14:textId="77777777" w:rsidR="006C00FD" w:rsidRPr="00BA4AB9" w:rsidRDefault="006C00FD" w:rsidP="006C00FD">
      <w:pPr>
        <w:ind w:firstLine="567"/>
        <w:jc w:val="both"/>
        <w:rPr>
          <w:color w:val="0070C0"/>
        </w:rPr>
      </w:pPr>
      <w:r w:rsidRPr="00770004">
        <w:t>Към 31.12. 2021 г. общините са отчели общо разходи в размер на 8</w:t>
      </w:r>
      <w:r w:rsidRPr="00770004">
        <w:rPr>
          <w:lang w:val="en-US"/>
        </w:rPr>
        <w:t> </w:t>
      </w:r>
      <w:r w:rsidRPr="00770004">
        <w:t>763,2 млн. лв., които представляват 115,7 % спрямо разчетите по ЗДБРБ за 2021 година.</w:t>
      </w:r>
    </w:p>
    <w:p w14:paraId="180551E8" w14:textId="12BB3904" w:rsidR="006C00FD" w:rsidRPr="00BA4AB9" w:rsidRDefault="006C00FD" w:rsidP="006C00FD">
      <w:pPr>
        <w:ind w:firstLine="567"/>
        <w:jc w:val="both"/>
        <w:rPr>
          <w:color w:val="0070C0"/>
          <w:lang w:eastAsia="bg-BG"/>
        </w:rPr>
      </w:pPr>
      <w:r w:rsidRPr="00770004">
        <w:rPr>
          <w:i/>
        </w:rPr>
        <w:t>Нелихвените разходи</w:t>
      </w:r>
      <w:r w:rsidRPr="00770004">
        <w:t xml:space="preserve"> възлизат </w:t>
      </w:r>
      <w:r w:rsidRPr="00391D32">
        <w:t>на 8 727,1 млн. лв. или 115,8</w:t>
      </w:r>
      <w:r>
        <w:t> % спрямо</w:t>
      </w:r>
      <w:r w:rsidRPr="00391D32">
        <w:t xml:space="preserve"> годишния разчет. Разходите за персонал (заплати и възнаграждения, други възнаграждения и плащания за персонала и осигурителни вноски) са в размер на 4 995,1 млн. лв. или 111,6 % спрямо планираните за 2021 г.</w:t>
      </w:r>
      <w:r w:rsidRPr="00AF127E">
        <w:t>, което е резултат от нарастването на минималната работна заплата от 1.01.2021 г, както и мерките, прилагани във връзка със смекчаване на икономическите последствия от пандемията</w:t>
      </w:r>
      <w:r w:rsidRPr="00C62778">
        <w:rPr>
          <w:lang w:val="ru-RU"/>
        </w:rPr>
        <w:t>.</w:t>
      </w:r>
      <w:r w:rsidRPr="00AF127E">
        <w:t xml:space="preserve"> </w:t>
      </w:r>
      <w:r w:rsidRPr="00391D32">
        <w:t xml:space="preserve"> Разходите за издръжка </w:t>
      </w:r>
      <w:r w:rsidRPr="00391D32">
        <w:rPr>
          <w:bCs/>
        </w:rPr>
        <w:t>(вкл. разходи за членски внос и участие в нетърговски организации и дейности, платени данъци, такси и административни санкции)</w:t>
      </w:r>
      <w:r w:rsidRPr="00391D32">
        <w:t xml:space="preserve"> са в </w:t>
      </w:r>
      <w:r w:rsidRPr="001A20B7">
        <w:t>размер на</w:t>
      </w:r>
      <w:r w:rsidRPr="001A20B7">
        <w:rPr>
          <w:lang w:val="en-US"/>
        </w:rPr>
        <w:t> </w:t>
      </w:r>
      <w:r w:rsidRPr="001A20B7">
        <w:t>2 249</w:t>
      </w:r>
      <w:r w:rsidRPr="001A20B7">
        <w:rPr>
          <w:lang w:eastAsia="bg-BG"/>
        </w:rPr>
        <w:t xml:space="preserve">,1 млн. лв. или 128,4 % спрямо годишния разчет. Разходите за субсидии са в размер на 342,0 млн. лева (214,7 % от годишния разчет). В разходите за субсидии за нефинансови предприятия се отчитат предоставените от общините субсидии за вътрешноградски и междуселищни превози на транспортните фирми и дружества, които се планират в централния бюджет, както и тези, които се предоставят по решение на общинския </w:t>
      </w:r>
      <w:r w:rsidRPr="001A20B7">
        <w:rPr>
          <w:lang w:eastAsia="bg-BG"/>
        </w:rPr>
        <w:lastRenderedPageBreak/>
        <w:t>съвет. Като разходи за субсидии за организации с нестопанска цел се отчитат отпусканите по решение на общинския съвет субсидии по реда на Закона за физкултурата и спорта за подпомагане дейността на спортните клубове в общините (отчитат се в местните дейности).</w:t>
      </w:r>
      <w:r w:rsidRPr="001A20B7">
        <w:rPr>
          <w:bCs/>
          <w:lang w:eastAsia="bg-BG"/>
        </w:rPr>
        <w:t xml:space="preserve"> </w:t>
      </w:r>
      <w:r w:rsidRPr="00A41CD4">
        <w:rPr>
          <w:bCs/>
        </w:rPr>
        <w:t>Социалните разходи (</w:t>
      </w:r>
      <w:r w:rsidRPr="00A41CD4">
        <w:t xml:space="preserve">текущи трансфери, обезщетения и помощи за домакинствата, </w:t>
      </w:r>
      <w:r w:rsidRPr="00A41CD4">
        <w:rPr>
          <w:bCs/>
        </w:rPr>
        <w:t>вкл. разходите за стипе</w:t>
      </w:r>
      <w:r w:rsidRPr="00AE0489">
        <w:rPr>
          <w:bCs/>
        </w:rPr>
        <w:t>ндии)</w:t>
      </w:r>
      <w:r w:rsidRPr="00AE0489">
        <w:t xml:space="preserve"> са в размер на 173,7 млн. лв., което е 131,7 % от разчетите към ЗДБРБ за 2021 година.</w:t>
      </w:r>
    </w:p>
    <w:p w14:paraId="1F23DEB1" w14:textId="5D299CD7" w:rsidR="006C00FD" w:rsidRPr="00AF127E" w:rsidRDefault="006C00FD" w:rsidP="006C00FD">
      <w:pPr>
        <w:widowControl w:val="0"/>
        <w:tabs>
          <w:tab w:val="center" w:pos="4153"/>
          <w:tab w:val="right" w:pos="8306"/>
        </w:tabs>
        <w:ind w:firstLine="680"/>
        <w:jc w:val="both"/>
      </w:pPr>
      <w:r w:rsidRPr="00AE0489">
        <w:rPr>
          <w:lang w:eastAsia="bg-BG"/>
        </w:rPr>
        <w:t>Капиталовите разходи са в размер на 967,3 млн. лв. или 95,0 % от раз</w:t>
      </w:r>
      <w:r>
        <w:rPr>
          <w:lang w:eastAsia="bg-BG"/>
        </w:rPr>
        <w:t>четите към ЗДБРБ за 2021 г.</w:t>
      </w:r>
      <w:r w:rsidRPr="00C62778">
        <w:t xml:space="preserve"> </w:t>
      </w:r>
      <w:r w:rsidR="00B32CE9">
        <w:t xml:space="preserve">и формират ръст от 17,3 </w:t>
      </w:r>
      <w:r w:rsidRPr="00AF127E">
        <w:t>% спрямо отчетените за 2020 г</w:t>
      </w:r>
      <w:r w:rsidRPr="00C62778">
        <w:rPr>
          <w:lang w:val="ru-RU"/>
        </w:rPr>
        <w:t>.</w:t>
      </w:r>
      <w:r>
        <w:t xml:space="preserve">, което  представлява положителна тенденция, свързана с постепенното преодоляване на негативните последици, предизвикани от кризата с </w:t>
      </w:r>
      <w:r>
        <w:rPr>
          <w:lang w:val="en-US"/>
        </w:rPr>
        <w:t>COVID</w:t>
      </w:r>
      <w:r w:rsidRPr="00C62778">
        <w:rPr>
          <w:lang w:val="ru-RU"/>
        </w:rPr>
        <w:t xml:space="preserve">-19. </w:t>
      </w:r>
    </w:p>
    <w:p w14:paraId="3E22E2A0" w14:textId="77777777" w:rsidR="006C00FD" w:rsidRPr="00AF127E" w:rsidRDefault="006C00FD" w:rsidP="006C00FD">
      <w:pPr>
        <w:widowControl w:val="0"/>
        <w:tabs>
          <w:tab w:val="center" w:pos="4153"/>
          <w:tab w:val="right" w:pos="8306"/>
        </w:tabs>
        <w:ind w:firstLine="680"/>
        <w:jc w:val="both"/>
      </w:pPr>
      <w:r w:rsidRPr="00AE0489">
        <w:rPr>
          <w:i/>
        </w:rPr>
        <w:t>Разходите за лихви</w:t>
      </w:r>
      <w:r w:rsidRPr="00AE0489">
        <w:t xml:space="preserve"> възлизат на 36,1 млн. лв. В сравнение със същия период на миналата година те са </w:t>
      </w:r>
      <w:r w:rsidRPr="00C62778">
        <w:t xml:space="preserve">намалели с 1,1 млн. лв. Лихвените плащания по заеми от чужбина са в размер на 17,5 млн. лв., по облигационни заеми са 2,2 млн. лв., </w:t>
      </w:r>
      <w:r w:rsidRPr="00F904C6">
        <w:t>по заеми към местни банки и д</w:t>
      </w:r>
      <w:r w:rsidRPr="00C62778">
        <w:t xml:space="preserve">р. лица от страната („ФЛАГ“ ЕАД, Фонд „Енергийна ефективност“  и др.) са 12,6 млн. лв., </w:t>
      </w:r>
      <w:r w:rsidRPr="00AF127E">
        <w:t>а платените други лихви (наказателни лихви и др.) са в размер на 3,8 млн. лв.</w:t>
      </w:r>
    </w:p>
    <w:p w14:paraId="5B5CE20D" w14:textId="77777777" w:rsidR="006C00FD" w:rsidRPr="00BA4AB9" w:rsidRDefault="006C00FD" w:rsidP="006C00FD">
      <w:pPr>
        <w:ind w:firstLine="567"/>
        <w:jc w:val="both"/>
        <w:rPr>
          <w:color w:val="0070C0"/>
        </w:rPr>
      </w:pPr>
      <w:r w:rsidRPr="00AE0489">
        <w:t xml:space="preserve">Общият размер на отчетените разходи за дофинансиране на делегираните от държавата дейности с местни приходи </w:t>
      </w:r>
      <w:r w:rsidRPr="005235D7">
        <w:t>е 194,5</w:t>
      </w:r>
      <w:r>
        <w:t xml:space="preserve"> млн. лв.,</w:t>
      </w:r>
      <w:r w:rsidRPr="00C62778">
        <w:t xml:space="preserve"> </w:t>
      </w:r>
      <w:r w:rsidRPr="00AF127E">
        <w:t>от които 174,6 млн. лв.</w:t>
      </w:r>
      <w:r>
        <w:t xml:space="preserve"> са</w:t>
      </w:r>
      <w:r w:rsidRPr="00AF127E">
        <w:t xml:space="preserve"> за текущи разходи и 19,9 млн. лв. </w:t>
      </w:r>
      <w:r>
        <w:t xml:space="preserve">- </w:t>
      </w:r>
      <w:r w:rsidRPr="00AF127E">
        <w:t>за капиталови разходи</w:t>
      </w:r>
    </w:p>
    <w:p w14:paraId="1558E2F8" w14:textId="77777777" w:rsidR="006C00FD" w:rsidRPr="00AE0489" w:rsidRDefault="006C00FD" w:rsidP="006C00FD">
      <w:pPr>
        <w:numPr>
          <w:ilvl w:val="0"/>
          <w:numId w:val="8"/>
        </w:numPr>
        <w:tabs>
          <w:tab w:val="num" w:pos="540"/>
        </w:tabs>
        <w:spacing w:before="120" w:line="276" w:lineRule="auto"/>
        <w:ind w:left="714" w:hanging="147"/>
        <w:jc w:val="both"/>
        <w:rPr>
          <w:b/>
        </w:rPr>
      </w:pPr>
      <w:r w:rsidRPr="00AE0489">
        <w:rPr>
          <w:b/>
        </w:rPr>
        <w:t>Финансиране</w:t>
      </w:r>
    </w:p>
    <w:p w14:paraId="0E07FA32" w14:textId="77777777" w:rsidR="006C00FD" w:rsidRPr="00BA4AB9" w:rsidRDefault="006C00FD" w:rsidP="006C00FD">
      <w:pPr>
        <w:pStyle w:val="BodyText"/>
        <w:widowControl w:val="0"/>
        <w:ind w:firstLine="567"/>
        <w:rPr>
          <w:color w:val="0070C0"/>
        </w:rPr>
      </w:pPr>
      <w:r w:rsidRPr="00AE0489">
        <w:t>От началото на годината до 31.12.2021 г.  по общинските бюджети са получени заемни средства по договори с чуждестранни</w:t>
      </w:r>
      <w:r w:rsidRPr="00F904C6">
        <w:t xml:space="preserve"> кредитори в размер на 1,0 млн. лв. (получени са от община Варна по договор </w:t>
      </w:r>
      <w:r>
        <w:t xml:space="preserve"> с ЕБВР </w:t>
      </w:r>
      <w:r w:rsidRPr="00F904C6">
        <w:t>от 2018 г.).</w:t>
      </w:r>
      <w:r w:rsidRPr="00F904C6">
        <w:rPr>
          <w:color w:val="0070C0"/>
        </w:rPr>
        <w:t xml:space="preserve"> </w:t>
      </w:r>
      <w:r w:rsidRPr="00F904C6">
        <w:t xml:space="preserve">Изплатените главници по външните заеми за същия период са в </w:t>
      </w:r>
      <w:r w:rsidRPr="00A54A8E">
        <w:t>размер на 45,6 млн. лв. (от Столична община - 36,6 млн. лв., от община Варна – 3,6 млн. лв., от Пловдив – 3,1 млн. лв., Бургас – 2,0 млн. лв. и от община Ловеч 0,3 млн. лв.). Заемите са предназначени за финансиране на големи инвестиционни обекти на територията на общините.</w:t>
      </w:r>
    </w:p>
    <w:p w14:paraId="6316092F" w14:textId="75625F19" w:rsidR="006C00FD" w:rsidRPr="00BA4AB9" w:rsidRDefault="006C00FD" w:rsidP="006C00FD">
      <w:pPr>
        <w:pStyle w:val="BodyText"/>
        <w:widowControl w:val="0"/>
        <w:ind w:firstLine="567"/>
        <w:rPr>
          <w:color w:val="0070C0"/>
        </w:rPr>
      </w:pPr>
      <w:r w:rsidRPr="00F904C6">
        <w:t xml:space="preserve">За отчетния период получените заемни средства от банки в страната са в размер на 50,5 млн. лв., а от други местни лица </w:t>
      </w:r>
      <w:r w:rsidRPr="00D155D9">
        <w:t xml:space="preserve">са 136,7 млн. лв. </w:t>
      </w:r>
      <w:r w:rsidRPr="00DA1469">
        <w:t>(в т.ч. 1</w:t>
      </w:r>
      <w:r w:rsidRPr="00DA1469">
        <w:rPr>
          <w:lang w:val="ru-RU"/>
        </w:rPr>
        <w:t>20</w:t>
      </w:r>
      <w:r w:rsidRPr="00DA1469">
        <w:t xml:space="preserve">,7 млн. лв. от „ФЛАГ“ ЕАД) </w:t>
      </w:r>
      <w:r w:rsidRPr="00D155D9">
        <w:t>или общо получените от страната заемни средства са 187,2 млн. лв. Изплатените главници по банкови заеми от страната са 72,0 млн. лв., а по заеми от др. лица са 93,7 млн. лв. (в т.ч. 9</w:t>
      </w:r>
      <w:r w:rsidRPr="00D155D9">
        <w:rPr>
          <w:lang w:val="ru-RU"/>
        </w:rPr>
        <w:t>0</w:t>
      </w:r>
      <w:r w:rsidRPr="00D155D9">
        <w:t>,9 млн. лв. към „ФЛАГ“ ЕАД ) или общо платените главници са в размер на 165,6 млн. лв. Размерът на получените от страната заемни средства за периода е по-голям от погасените, поради което нетният размер на операциите по тези заеми е положителен (21,6 млн. лв</w:t>
      </w:r>
      <w:r w:rsidRPr="00767CF2">
        <w:t xml:space="preserve">.). </w:t>
      </w:r>
      <w:r w:rsidR="00566607">
        <w:t>През</w:t>
      </w:r>
      <w:r w:rsidRPr="00767CF2">
        <w:t xml:space="preserve"> 2020 г. (на база тримесечен отчет), получените заемни средства от банки в страната и др. местни лица са 206,4 млн. лв., а погашенията към същите са 151,8 млн. лв.,  </w:t>
      </w:r>
      <w:r w:rsidRPr="00D155D9">
        <w:t>като нетният размер на операциите по тези заеми също е бил полож</w:t>
      </w:r>
      <w:r>
        <w:t>ителен, но в по-голям размер (54,6</w:t>
      </w:r>
      <w:r w:rsidRPr="00D155D9">
        <w:t xml:space="preserve"> млн. лв.) т.е. общините са ползвали по-голям размер заемни средства.  </w:t>
      </w:r>
    </w:p>
    <w:p w14:paraId="5F6B32AE" w14:textId="77777777" w:rsidR="006C00FD" w:rsidRPr="009908F7" w:rsidRDefault="006C00FD" w:rsidP="006C00FD">
      <w:pPr>
        <w:pStyle w:val="BodyText"/>
        <w:widowControl w:val="0"/>
        <w:ind w:firstLine="567"/>
      </w:pPr>
      <w:r w:rsidRPr="009908F7">
        <w:t xml:space="preserve">Погашенията по емитирани през предходни периоди общински ценни книжа са в размер на 16,7 млн. лв. и са отчетени </w:t>
      </w:r>
      <w:r w:rsidRPr="00A54A8E">
        <w:t xml:space="preserve">от 8 общини. </w:t>
      </w:r>
      <w:r w:rsidRPr="009908F7">
        <w:t xml:space="preserve">За отчетния период няма емитиран нов общински дълг.  </w:t>
      </w:r>
    </w:p>
    <w:p w14:paraId="2E84188D" w14:textId="77777777" w:rsidR="006C00FD" w:rsidRPr="00BA4AB9" w:rsidRDefault="006C00FD" w:rsidP="006C00FD">
      <w:pPr>
        <w:ind w:firstLine="567"/>
        <w:jc w:val="both"/>
        <w:rPr>
          <w:color w:val="0070C0"/>
        </w:rPr>
      </w:pPr>
      <w:r w:rsidRPr="008A74DC">
        <w:t>Другото финансиране /нето/ по общинските бюджети към 31.12.2021 г.  е</w:t>
      </w:r>
      <w:r w:rsidRPr="008A74DC">
        <w:rPr>
          <w:lang w:val="ru-RU"/>
        </w:rPr>
        <w:t xml:space="preserve"> </w:t>
      </w:r>
      <w:r w:rsidRPr="008A74DC">
        <w:t xml:space="preserve">отрицателно  - 1,4 млн. лв., </w:t>
      </w:r>
      <w:r>
        <w:t xml:space="preserve">като съществена част от него представлява отчетеното превеждане /резервиране/ на суми по реда на чл. 60 и чл. 64 от Закона за управление на отпадъците по сметката за чужди средства на съответната РИОСВ. </w:t>
      </w:r>
      <w:r w:rsidRPr="008A74DC">
        <w:t xml:space="preserve">Нетният размер за периода на задълженията и погашенията по финансов лизинг и търговски кредити, като форми на дълг, е </w:t>
      </w:r>
      <w:r>
        <w:t xml:space="preserve">отрицателен и е </w:t>
      </w:r>
      <w:r w:rsidRPr="008A74DC">
        <w:t xml:space="preserve">в размер на (-0,3) млн. лева. </w:t>
      </w:r>
    </w:p>
    <w:p w14:paraId="1CAE9CCF" w14:textId="6E1CDBBA" w:rsidR="006C00FD" w:rsidRPr="008A74DC" w:rsidRDefault="006C00FD" w:rsidP="006C00FD">
      <w:pPr>
        <w:ind w:firstLine="567"/>
        <w:jc w:val="both"/>
      </w:pPr>
      <w:r w:rsidRPr="008A74DC">
        <w:t xml:space="preserve">Към 31.12.2021 г. отчетеният от общините нетен размер на операциите по придобиване на дялове, акции и съучастия е в размер на </w:t>
      </w:r>
      <w:r>
        <w:t>(-4,9</w:t>
      </w:r>
      <w:r w:rsidRPr="008A74DC">
        <w:t xml:space="preserve">) млн. лв., на предоставената възмездна финансова помощ е (-0,9) млн. лв. </w:t>
      </w:r>
      <w:r>
        <w:t xml:space="preserve">Отчетените средства по предоставени лихвени заеми е (-13,0) млн. лв., а възстановените главници по тези заеми са в размер на 2,7 млн. лв.   </w:t>
      </w:r>
      <w:r w:rsidRPr="008A74DC">
        <w:t>Средствата, отчетени по общинските бюджети от приватизация, са в размер на 1,3 млн. лева.</w:t>
      </w:r>
    </w:p>
    <w:p w14:paraId="71C284E4" w14:textId="391235FD" w:rsidR="006C00FD" w:rsidRDefault="006C00FD" w:rsidP="006C00FD">
      <w:pPr>
        <w:tabs>
          <w:tab w:val="center" w:pos="4153"/>
          <w:tab w:val="right" w:pos="8306"/>
        </w:tabs>
        <w:ind w:firstLine="567"/>
        <w:jc w:val="both"/>
      </w:pPr>
      <w:r w:rsidRPr="008A74DC">
        <w:rPr>
          <w:lang w:eastAsia="bg-BG"/>
        </w:rPr>
        <w:t xml:space="preserve">Общините приключиха </w:t>
      </w:r>
      <w:r w:rsidRPr="00020518">
        <w:rPr>
          <w:lang w:eastAsia="bg-BG"/>
        </w:rPr>
        <w:t xml:space="preserve">2021 г. с бюджетни наличности (по банкови сметки и в каса) в размер на </w:t>
      </w:r>
      <w:r w:rsidRPr="00020518">
        <w:t>1 599,3 млн. лв.</w:t>
      </w:r>
      <w:r>
        <w:rPr>
          <w:lang w:eastAsia="bg-BG"/>
        </w:rPr>
        <w:t>, като</w:t>
      </w:r>
      <w:r w:rsidRPr="00735647">
        <w:t xml:space="preserve"> </w:t>
      </w:r>
      <w:r w:rsidRPr="00A72106">
        <w:rPr>
          <w:lang w:val="ru-RU"/>
        </w:rPr>
        <w:t>1</w:t>
      </w:r>
      <w:r w:rsidRPr="00735647">
        <w:rPr>
          <w:lang w:val="en-US"/>
        </w:rPr>
        <w:t> </w:t>
      </w:r>
      <w:r>
        <w:rPr>
          <w:lang w:val="ru-RU"/>
        </w:rPr>
        <w:t>011,</w:t>
      </w:r>
      <w:r w:rsidRPr="00A72106">
        <w:rPr>
          <w:lang w:val="ru-RU"/>
        </w:rPr>
        <w:t>5</w:t>
      </w:r>
      <w:r w:rsidRPr="00735647">
        <w:t xml:space="preserve"> млн. лв. (63,</w:t>
      </w:r>
      <w:r w:rsidRPr="00735647">
        <w:rPr>
          <w:lang w:val="en-US"/>
        </w:rPr>
        <w:t>2</w:t>
      </w:r>
      <w:r w:rsidRPr="00735647">
        <w:t xml:space="preserve"> %) са отчетени като остатък в местните дейности.</w:t>
      </w:r>
    </w:p>
    <w:p w14:paraId="5EF26E38" w14:textId="77777777" w:rsidR="002C4D33" w:rsidRPr="00BA4AB9" w:rsidRDefault="002C4D33" w:rsidP="00FD362E">
      <w:pPr>
        <w:pStyle w:val="BodyText"/>
        <w:spacing w:after="120"/>
        <w:ind w:firstLine="567"/>
        <w:rPr>
          <w:color w:val="0070C0"/>
          <w:sz w:val="18"/>
          <w:szCs w:val="12"/>
        </w:rPr>
      </w:pPr>
    </w:p>
    <w:p w14:paraId="157B38AE" w14:textId="77777777" w:rsidR="007C1025" w:rsidRPr="00592F06" w:rsidRDefault="007C1025" w:rsidP="004821BF">
      <w:pPr>
        <w:pStyle w:val="Heading1"/>
        <w:numPr>
          <w:ilvl w:val="1"/>
          <w:numId w:val="10"/>
        </w:numPr>
        <w:spacing w:before="240"/>
        <w:ind w:left="788" w:right="-108" w:hanging="431"/>
        <w:jc w:val="both"/>
        <w:rPr>
          <w:sz w:val="24"/>
        </w:rPr>
      </w:pPr>
      <w:r w:rsidRPr="00592F06">
        <w:rPr>
          <w:sz w:val="24"/>
        </w:rPr>
        <w:t>Бюджети на Българската национална телевизия (БНТ), Българското национално радио (БНР) и Българската телеграфна агенция (БТА)</w:t>
      </w:r>
    </w:p>
    <w:p w14:paraId="333A38FD" w14:textId="1BF33133" w:rsidR="00C42FA8" w:rsidRPr="00BA4AB9" w:rsidRDefault="00C42FA8" w:rsidP="00C42FA8">
      <w:pPr>
        <w:spacing w:before="240"/>
        <w:ind w:firstLine="567"/>
        <w:jc w:val="both"/>
        <w:rPr>
          <w:color w:val="0070C0"/>
          <w:szCs w:val="20"/>
        </w:rPr>
      </w:pPr>
      <w:r w:rsidRPr="00592F06">
        <w:rPr>
          <w:b/>
        </w:rPr>
        <w:t>Приходите на БНТ</w:t>
      </w:r>
      <w:r w:rsidR="00592F06" w:rsidRPr="00592F06">
        <w:t xml:space="preserve"> към 31.</w:t>
      </w:r>
      <w:r w:rsidR="00592F06" w:rsidRPr="00592F06">
        <w:rPr>
          <w:lang w:val="ru-RU"/>
        </w:rPr>
        <w:t>12</w:t>
      </w:r>
      <w:r w:rsidRPr="00592F06">
        <w:t xml:space="preserve">.2021 г. са в размер на </w:t>
      </w:r>
      <w:r w:rsidR="00592F06" w:rsidRPr="00592F06">
        <w:t>11</w:t>
      </w:r>
      <w:r w:rsidRPr="00592F06">
        <w:t>,</w:t>
      </w:r>
      <w:r w:rsidR="00592F06" w:rsidRPr="00592F06">
        <w:t>1</w:t>
      </w:r>
      <w:r w:rsidRPr="00592F06">
        <w:t xml:space="preserve"> млн. лв.</w:t>
      </w:r>
      <w:r w:rsidR="00FF47A9">
        <w:t xml:space="preserve">, </w:t>
      </w:r>
      <w:r w:rsidRPr="00592F06">
        <w:t xml:space="preserve"> </w:t>
      </w:r>
      <w:r w:rsidR="00FF47A9" w:rsidRPr="00FF47A9">
        <w:t xml:space="preserve">което е изпълнение от 148,4 % </w:t>
      </w:r>
      <w:r w:rsidR="00FF47A9">
        <w:t>на</w:t>
      </w:r>
      <w:r w:rsidR="00FF47A9" w:rsidRPr="00FF47A9">
        <w:t xml:space="preserve"> планираните </w:t>
      </w:r>
      <w:r w:rsidRPr="00592F06">
        <w:t>7,5 млн. л</w:t>
      </w:r>
      <w:r w:rsidR="00FF47A9">
        <w:t>е</w:t>
      </w:r>
      <w:r w:rsidRPr="00592F06">
        <w:t>в</w:t>
      </w:r>
      <w:r w:rsidR="00FF47A9">
        <w:t>а</w:t>
      </w:r>
      <w:r w:rsidRPr="00592F06">
        <w:t xml:space="preserve">. </w:t>
      </w:r>
      <w:r w:rsidRPr="00592F06">
        <w:rPr>
          <w:szCs w:val="20"/>
        </w:rPr>
        <w:t>Отчетените неданъчни приходи са постъпления от продажба на услуги, стоки и продукция (реклама, спонсорство, технически услуги, почивно дело, продажба на програми) и</w:t>
      </w:r>
      <w:r w:rsidRPr="00592F06">
        <w:rPr>
          <w:b/>
          <w:szCs w:val="20"/>
        </w:rPr>
        <w:t xml:space="preserve"> </w:t>
      </w:r>
      <w:r w:rsidRPr="00592F06">
        <w:rPr>
          <w:szCs w:val="20"/>
        </w:rPr>
        <w:t>наеми на имущество.</w:t>
      </w:r>
      <w:r w:rsidR="007E63F5" w:rsidRPr="00592F06">
        <w:rPr>
          <w:szCs w:val="20"/>
        </w:rPr>
        <w:t xml:space="preserve"> Преизпълнението на приходите спрямо заложените им стойности в разчетите към ЗДБРБ за 2021 г. се дължи на отчетени по-високи постъпления от рекламна дейност и участия в предизборни форми.</w:t>
      </w:r>
    </w:p>
    <w:p w14:paraId="5BA90A37" w14:textId="23ACAE37" w:rsidR="00C42FA8" w:rsidRPr="00BA4AB9" w:rsidRDefault="00C42FA8" w:rsidP="00C42FA8">
      <w:pPr>
        <w:ind w:firstLine="567"/>
        <w:jc w:val="both"/>
        <w:rPr>
          <w:color w:val="0070C0"/>
        </w:rPr>
      </w:pPr>
      <w:r w:rsidRPr="00592F06">
        <w:t xml:space="preserve">Отчетените </w:t>
      </w:r>
      <w:r w:rsidRPr="00592F06">
        <w:rPr>
          <w:b/>
        </w:rPr>
        <w:t>разходи</w:t>
      </w:r>
      <w:r w:rsidRPr="00592F06">
        <w:t xml:space="preserve"> </w:t>
      </w:r>
      <w:r w:rsidRPr="00592F06">
        <w:rPr>
          <w:b/>
        </w:rPr>
        <w:t>на БНТ</w:t>
      </w:r>
      <w:r w:rsidR="00592F06" w:rsidRPr="00592F06">
        <w:t xml:space="preserve"> към 31.</w:t>
      </w:r>
      <w:r w:rsidR="00592F06" w:rsidRPr="00592F06">
        <w:rPr>
          <w:lang w:val="ru-RU"/>
        </w:rPr>
        <w:t>12</w:t>
      </w:r>
      <w:r w:rsidRPr="00592F06">
        <w:t>.2021</w:t>
      </w:r>
      <w:r w:rsidRPr="005308B3">
        <w:t xml:space="preserve"> г. са в размер на </w:t>
      </w:r>
      <w:r w:rsidR="00592F06" w:rsidRPr="005308B3">
        <w:t>113</w:t>
      </w:r>
      <w:r w:rsidRPr="005308B3">
        <w:t>,</w:t>
      </w:r>
      <w:r w:rsidR="00592F06" w:rsidRPr="005308B3">
        <w:t>1</w:t>
      </w:r>
      <w:r w:rsidRPr="005308B3">
        <w:t xml:space="preserve"> млн. лв. или </w:t>
      </w:r>
      <w:r w:rsidR="005308B3" w:rsidRPr="005308B3">
        <w:t>124</w:t>
      </w:r>
      <w:r w:rsidRPr="005308B3">
        <w:t>,</w:t>
      </w:r>
      <w:r w:rsidR="005308B3" w:rsidRPr="005308B3">
        <w:t xml:space="preserve">8 % спрямо </w:t>
      </w:r>
      <w:r w:rsidRPr="005308B3">
        <w:t xml:space="preserve">предвидените разходи в годишния разчет. </w:t>
      </w:r>
      <w:r w:rsidRPr="005308B3">
        <w:rPr>
          <w:szCs w:val="20"/>
        </w:rPr>
        <w:t xml:space="preserve">За </w:t>
      </w:r>
      <w:r w:rsidR="00FF47A9">
        <w:rPr>
          <w:szCs w:val="20"/>
        </w:rPr>
        <w:t>годината</w:t>
      </w:r>
      <w:r w:rsidRPr="005308B3">
        <w:rPr>
          <w:szCs w:val="20"/>
        </w:rPr>
        <w:t xml:space="preserve"> са отчетени </w:t>
      </w:r>
      <w:r w:rsidR="005308B3" w:rsidRPr="005308B3">
        <w:rPr>
          <w:szCs w:val="20"/>
        </w:rPr>
        <w:t>99</w:t>
      </w:r>
      <w:r w:rsidRPr="005308B3">
        <w:rPr>
          <w:szCs w:val="20"/>
        </w:rPr>
        <w:t>,</w:t>
      </w:r>
      <w:r w:rsidR="005308B3" w:rsidRPr="005308B3">
        <w:rPr>
          <w:szCs w:val="20"/>
        </w:rPr>
        <w:t>0</w:t>
      </w:r>
      <w:r w:rsidRPr="005308B3">
        <w:rPr>
          <w:szCs w:val="20"/>
        </w:rPr>
        <w:t xml:space="preserve"> млн. лв. текущи разходи и </w:t>
      </w:r>
      <w:r w:rsidR="005308B3" w:rsidRPr="005308B3">
        <w:rPr>
          <w:szCs w:val="20"/>
        </w:rPr>
        <w:t>14</w:t>
      </w:r>
      <w:r w:rsidRPr="005308B3">
        <w:rPr>
          <w:szCs w:val="20"/>
        </w:rPr>
        <w:t>,</w:t>
      </w:r>
      <w:r w:rsidR="005308B3" w:rsidRPr="005308B3">
        <w:rPr>
          <w:szCs w:val="20"/>
        </w:rPr>
        <w:t>1</w:t>
      </w:r>
      <w:r w:rsidRPr="005308B3">
        <w:rPr>
          <w:szCs w:val="20"/>
        </w:rPr>
        <w:t xml:space="preserve"> млн. лв. капиталови разходи. </w:t>
      </w:r>
      <w:r w:rsidR="00963DFD" w:rsidRPr="005308B3">
        <w:rPr>
          <w:szCs w:val="20"/>
        </w:rPr>
        <w:t>По бюджета на БНТ, в частта на финансирането, са отчетени погашения по търговски кредит в размер на 1,4 млн. лв. (погашения на задължения по договори от предходната година за отстъпени права за излъчване на чужди програми)</w:t>
      </w:r>
      <w:r w:rsidR="009819DD" w:rsidRPr="005308B3">
        <w:rPr>
          <w:szCs w:val="20"/>
        </w:rPr>
        <w:t xml:space="preserve">. </w:t>
      </w:r>
      <w:r w:rsidRPr="005308B3">
        <w:rPr>
          <w:szCs w:val="20"/>
        </w:rPr>
        <w:t xml:space="preserve">В разпределението на разходите по бюджета на обществената медия е включен преходният остатък за 2020 г. (съгл. чл. 70, ал. 6 от Закона за радиото и телевизията) в размер на </w:t>
      </w:r>
      <w:r w:rsidR="00FF47A9">
        <w:rPr>
          <w:szCs w:val="20"/>
        </w:rPr>
        <w:t>1,2 млн. лв. С</w:t>
      </w:r>
      <w:r w:rsidRPr="005308B3">
        <w:rPr>
          <w:szCs w:val="20"/>
        </w:rPr>
        <w:t xml:space="preserve">редствата са усвоени за реализирането на основните цели и дейности на БНТ по подготовката, създаването и разпространението на телевизионни програми съгласно разпоредбите на Закона за радиото и телевизията. </w:t>
      </w:r>
    </w:p>
    <w:p w14:paraId="7EF9C4AE" w14:textId="25257035" w:rsidR="00C6265E" w:rsidRPr="00BA4AB9" w:rsidRDefault="00C42FA8" w:rsidP="004C4755">
      <w:pPr>
        <w:ind w:firstLine="567"/>
        <w:jc w:val="both"/>
        <w:rPr>
          <w:color w:val="0070C0"/>
          <w:szCs w:val="20"/>
        </w:rPr>
      </w:pPr>
      <w:r w:rsidRPr="005308B3">
        <w:t xml:space="preserve">Общо утвърдените </w:t>
      </w:r>
      <w:r w:rsidRPr="005308B3">
        <w:rPr>
          <w:b/>
          <w:i/>
        </w:rPr>
        <w:t>бюджетни взаимоотношения на БНТ с централния бюджет</w:t>
      </w:r>
      <w:r w:rsidRPr="005308B3">
        <w:t xml:space="preserve"> за 2021 г. са в размер на </w:t>
      </w:r>
      <w:r w:rsidR="00DA45C1" w:rsidRPr="005308B3">
        <w:rPr>
          <w:szCs w:val="20"/>
        </w:rPr>
        <w:t>10</w:t>
      </w:r>
      <w:r w:rsidR="00F97F50" w:rsidRPr="005308B3">
        <w:rPr>
          <w:szCs w:val="20"/>
        </w:rPr>
        <w:t>3</w:t>
      </w:r>
      <w:r w:rsidR="00DA45C1" w:rsidRPr="005308B3">
        <w:rPr>
          <w:szCs w:val="20"/>
        </w:rPr>
        <w:t>,</w:t>
      </w:r>
      <w:r w:rsidR="00F97F50" w:rsidRPr="005308B3">
        <w:rPr>
          <w:szCs w:val="20"/>
        </w:rPr>
        <w:t>4</w:t>
      </w:r>
      <w:r w:rsidR="00DA45C1" w:rsidRPr="005308B3">
        <w:rPr>
          <w:szCs w:val="20"/>
        </w:rPr>
        <w:t xml:space="preserve"> млн. лв.</w:t>
      </w:r>
      <w:r w:rsidR="0084705A" w:rsidRPr="005308B3">
        <w:rPr>
          <w:szCs w:val="20"/>
        </w:rPr>
        <w:t>, в т.ч.: 81,</w:t>
      </w:r>
      <w:r w:rsidR="00F97F50" w:rsidRPr="005308B3">
        <w:rPr>
          <w:szCs w:val="20"/>
        </w:rPr>
        <w:t>0</w:t>
      </w:r>
      <w:r w:rsidR="0084705A" w:rsidRPr="005308B3">
        <w:rPr>
          <w:szCs w:val="20"/>
        </w:rPr>
        <w:t xml:space="preserve"> млн. лв. по</w:t>
      </w:r>
      <w:r w:rsidR="00DA45C1" w:rsidRPr="005308B3">
        <w:rPr>
          <w:szCs w:val="20"/>
        </w:rPr>
        <w:t xml:space="preserve"> чл. 48, т. 2 от ЗДБРБ за 2021 г. и одобрени допълнителни трансфери по реда на чл. 109, ал. 3 от Закона за публичните финанси в размер на 2</w:t>
      </w:r>
      <w:r w:rsidR="00F97F50" w:rsidRPr="005308B3">
        <w:rPr>
          <w:szCs w:val="20"/>
        </w:rPr>
        <w:t>2</w:t>
      </w:r>
      <w:r w:rsidR="00DA45C1" w:rsidRPr="005308B3">
        <w:rPr>
          <w:szCs w:val="20"/>
        </w:rPr>
        <w:t>,4 млн. лв. съгласно ПМС № 41 от 2021 г.; ПМС № 149 от 2021 г., ПМС № 188 от 2021 г.</w:t>
      </w:r>
      <w:r w:rsidR="00F97F50" w:rsidRPr="005308B3">
        <w:rPr>
          <w:szCs w:val="20"/>
        </w:rPr>
        <w:t xml:space="preserve">, ПМС № 305 от 2021 г. </w:t>
      </w:r>
      <w:r w:rsidR="00DA45C1" w:rsidRPr="005308B3">
        <w:rPr>
          <w:szCs w:val="20"/>
        </w:rPr>
        <w:t xml:space="preserve"> и ПМС № 408 от 2020 г. </w:t>
      </w:r>
      <w:r w:rsidR="00FF47A9">
        <w:rPr>
          <w:szCs w:val="20"/>
        </w:rPr>
        <w:t>У</w:t>
      </w:r>
      <w:r w:rsidR="00C6265E" w:rsidRPr="005308B3">
        <w:rPr>
          <w:szCs w:val="20"/>
        </w:rPr>
        <w:t>своена</w:t>
      </w:r>
      <w:r w:rsidR="00FF47A9">
        <w:rPr>
          <w:szCs w:val="20"/>
        </w:rPr>
        <w:t>та</w:t>
      </w:r>
      <w:r w:rsidR="00C6265E" w:rsidRPr="005308B3">
        <w:rPr>
          <w:szCs w:val="20"/>
        </w:rPr>
        <w:t xml:space="preserve"> сума </w:t>
      </w:r>
      <w:r w:rsidR="00FF47A9">
        <w:rPr>
          <w:szCs w:val="20"/>
        </w:rPr>
        <w:t xml:space="preserve">е </w:t>
      </w:r>
      <w:r w:rsidR="0084705A" w:rsidRPr="005308B3">
        <w:rPr>
          <w:szCs w:val="20"/>
        </w:rPr>
        <w:t xml:space="preserve">в размер на </w:t>
      </w:r>
      <w:r w:rsidR="005308B3" w:rsidRPr="005308B3">
        <w:rPr>
          <w:szCs w:val="20"/>
        </w:rPr>
        <w:t>103</w:t>
      </w:r>
      <w:r w:rsidR="0084705A" w:rsidRPr="005308B3">
        <w:rPr>
          <w:szCs w:val="20"/>
        </w:rPr>
        <w:t>,</w:t>
      </w:r>
      <w:r w:rsidR="005308B3" w:rsidRPr="005308B3">
        <w:rPr>
          <w:szCs w:val="20"/>
        </w:rPr>
        <w:t>4</w:t>
      </w:r>
      <w:r w:rsidR="0084705A" w:rsidRPr="005308B3">
        <w:rPr>
          <w:szCs w:val="20"/>
        </w:rPr>
        <w:t xml:space="preserve"> млн. лв. или </w:t>
      </w:r>
      <w:r w:rsidR="005308B3" w:rsidRPr="005308B3">
        <w:rPr>
          <w:szCs w:val="20"/>
        </w:rPr>
        <w:t>100,0</w:t>
      </w:r>
      <w:r w:rsidR="00F97F50" w:rsidRPr="005308B3">
        <w:rPr>
          <w:szCs w:val="20"/>
        </w:rPr>
        <w:t xml:space="preserve"> % от размера на бюджетните взаимоотношения на БНТ с централния бюджет по уточнен план. </w:t>
      </w:r>
    </w:p>
    <w:p w14:paraId="4EFB4C35" w14:textId="787A04DB" w:rsidR="00C42FA8" w:rsidRPr="00351947" w:rsidRDefault="00C42FA8" w:rsidP="00AE0C3A">
      <w:pPr>
        <w:spacing w:before="240"/>
        <w:ind w:firstLine="567"/>
        <w:jc w:val="both"/>
      </w:pPr>
      <w:r w:rsidRPr="005308B3">
        <w:rPr>
          <w:szCs w:val="20"/>
        </w:rPr>
        <w:t xml:space="preserve">  </w:t>
      </w:r>
      <w:r w:rsidRPr="005308B3">
        <w:rPr>
          <w:b/>
        </w:rPr>
        <w:t>Приходите по бюджета на БНР</w:t>
      </w:r>
      <w:r w:rsidR="005308B3" w:rsidRPr="005308B3">
        <w:t xml:space="preserve"> към 31.12</w:t>
      </w:r>
      <w:r w:rsidRPr="005308B3">
        <w:t xml:space="preserve">.2021 г. са в </w:t>
      </w:r>
      <w:r w:rsidRPr="00D43CAE">
        <w:t xml:space="preserve">размер на </w:t>
      </w:r>
      <w:r w:rsidR="00234B56" w:rsidRPr="00D43CAE">
        <w:t>1</w:t>
      </w:r>
      <w:r w:rsidRPr="00D43CAE">
        <w:t>,</w:t>
      </w:r>
      <w:r w:rsidR="00D43CAE" w:rsidRPr="00D43CAE">
        <w:t>6</w:t>
      </w:r>
      <w:r w:rsidRPr="00D43CAE">
        <w:t xml:space="preserve"> млн. лв., което представлява </w:t>
      </w:r>
      <w:r w:rsidR="00D43CAE" w:rsidRPr="00D43CAE">
        <w:t>77</w:t>
      </w:r>
      <w:r w:rsidRPr="00D43CAE">
        <w:t>,</w:t>
      </w:r>
      <w:r w:rsidR="00D43CAE" w:rsidRPr="00D43CAE">
        <w:t>8</w:t>
      </w:r>
      <w:r w:rsidRPr="00D43CAE">
        <w:t xml:space="preserve"> % от планираните за годината 2,1 </w:t>
      </w:r>
      <w:r w:rsidRPr="00FF47A9">
        <w:t>млн. лв.</w:t>
      </w:r>
      <w:r w:rsidRPr="00FF47A9">
        <w:rPr>
          <w:szCs w:val="20"/>
        </w:rPr>
        <w:t xml:space="preserve"> </w:t>
      </w:r>
      <w:r w:rsidR="00FF47A9" w:rsidRPr="00FF47A9">
        <w:rPr>
          <w:szCs w:val="20"/>
        </w:rPr>
        <w:t>Н</w:t>
      </w:r>
      <w:r w:rsidR="00351947" w:rsidRPr="00FF47A9">
        <w:t xml:space="preserve">иският </w:t>
      </w:r>
      <w:r w:rsidR="00351947" w:rsidRPr="00E5436C">
        <w:t xml:space="preserve">процент изпълнение на приходите се дължи на </w:t>
      </w:r>
      <w:r w:rsidR="00FF47A9">
        <w:t>намалените</w:t>
      </w:r>
      <w:r w:rsidR="00351947" w:rsidRPr="00E5436C">
        <w:t xml:space="preserve"> постъпления от реклама, технически услуги, концертна дейност и др. в резултат на епид</w:t>
      </w:r>
      <w:r w:rsidR="00351947">
        <w:t>емичната обстановка в страната.</w:t>
      </w:r>
      <w:r w:rsidR="00351947" w:rsidRPr="00351947">
        <w:rPr>
          <w:lang w:val="ru-RU"/>
        </w:rPr>
        <w:t xml:space="preserve"> </w:t>
      </w:r>
      <w:r w:rsidRPr="00351947">
        <w:rPr>
          <w:szCs w:val="20"/>
        </w:rPr>
        <w:t>Отчетените приходи са постъпления от продажба на услуги, стоки и продукция (реклама, спонсорство, технически услуги, съвместни продукции, приходи от концертна дейност, издателска и лицензионна дейност и др.), наеми на имущество и др.</w:t>
      </w:r>
    </w:p>
    <w:p w14:paraId="19A776FB" w14:textId="2EC50CC3" w:rsidR="00C42FA8" w:rsidRPr="00BA4AB9" w:rsidRDefault="00C42FA8" w:rsidP="00D7130C">
      <w:pPr>
        <w:ind w:firstLine="567"/>
        <w:jc w:val="both"/>
        <w:rPr>
          <w:color w:val="0070C0"/>
          <w:szCs w:val="20"/>
        </w:rPr>
      </w:pPr>
      <w:r w:rsidRPr="00351947">
        <w:rPr>
          <w:szCs w:val="20"/>
        </w:rPr>
        <w:t xml:space="preserve">Изпълнението на </w:t>
      </w:r>
      <w:r w:rsidRPr="00351947">
        <w:rPr>
          <w:b/>
          <w:szCs w:val="20"/>
        </w:rPr>
        <w:t>разходите</w:t>
      </w:r>
      <w:r w:rsidRPr="00351947">
        <w:rPr>
          <w:szCs w:val="20"/>
        </w:rPr>
        <w:t xml:space="preserve"> </w:t>
      </w:r>
      <w:r w:rsidRPr="00E31ACB">
        <w:rPr>
          <w:b/>
          <w:szCs w:val="20"/>
        </w:rPr>
        <w:t>по бюджета на</w:t>
      </w:r>
      <w:r w:rsidRPr="00E31ACB">
        <w:rPr>
          <w:szCs w:val="20"/>
        </w:rPr>
        <w:t xml:space="preserve"> </w:t>
      </w:r>
      <w:r w:rsidRPr="00E31ACB">
        <w:rPr>
          <w:b/>
          <w:szCs w:val="20"/>
        </w:rPr>
        <w:t xml:space="preserve">БНР </w:t>
      </w:r>
      <w:r w:rsidRPr="00E31ACB">
        <w:rPr>
          <w:szCs w:val="20"/>
        </w:rPr>
        <w:t xml:space="preserve">възлиза на </w:t>
      </w:r>
      <w:r w:rsidR="00E31ACB" w:rsidRPr="00E31ACB">
        <w:rPr>
          <w:szCs w:val="20"/>
        </w:rPr>
        <w:t>54</w:t>
      </w:r>
      <w:r w:rsidRPr="00E31ACB">
        <w:rPr>
          <w:szCs w:val="20"/>
        </w:rPr>
        <w:t>,</w:t>
      </w:r>
      <w:r w:rsidR="00E31ACB" w:rsidRPr="00E31ACB">
        <w:rPr>
          <w:szCs w:val="20"/>
        </w:rPr>
        <w:t>4</w:t>
      </w:r>
      <w:r w:rsidRPr="00E31ACB">
        <w:rPr>
          <w:szCs w:val="20"/>
        </w:rPr>
        <w:t xml:space="preserve"> млн. лв. или </w:t>
      </w:r>
      <w:r w:rsidR="00E31ACB" w:rsidRPr="00E31ACB">
        <w:rPr>
          <w:szCs w:val="20"/>
        </w:rPr>
        <w:t>95</w:t>
      </w:r>
      <w:r w:rsidRPr="00E31ACB">
        <w:rPr>
          <w:szCs w:val="20"/>
        </w:rPr>
        <w:t>,</w:t>
      </w:r>
      <w:r w:rsidR="00E31ACB" w:rsidRPr="00E31ACB">
        <w:rPr>
          <w:szCs w:val="20"/>
        </w:rPr>
        <w:t>9</w:t>
      </w:r>
      <w:r w:rsidRPr="00E31ACB">
        <w:rPr>
          <w:szCs w:val="20"/>
        </w:rPr>
        <w:t xml:space="preserve"> % </w:t>
      </w:r>
      <w:r w:rsidRPr="00E31ACB">
        <w:t xml:space="preserve">от годишния разчет по ЗДБРБ за 2021 г. </w:t>
      </w:r>
      <w:r w:rsidRPr="00E31ACB">
        <w:rPr>
          <w:szCs w:val="20"/>
        </w:rPr>
        <w:t xml:space="preserve">За </w:t>
      </w:r>
      <w:r w:rsidR="00FF47A9">
        <w:rPr>
          <w:szCs w:val="20"/>
        </w:rPr>
        <w:t>годината</w:t>
      </w:r>
      <w:r w:rsidRPr="00E31ACB">
        <w:rPr>
          <w:szCs w:val="20"/>
        </w:rPr>
        <w:t xml:space="preserve"> са отчетени </w:t>
      </w:r>
      <w:r w:rsidR="00E31ACB" w:rsidRPr="00E31ACB">
        <w:rPr>
          <w:szCs w:val="20"/>
        </w:rPr>
        <w:t>51,5</w:t>
      </w:r>
      <w:r w:rsidRPr="00E31ACB">
        <w:rPr>
          <w:szCs w:val="20"/>
        </w:rPr>
        <w:t xml:space="preserve"> млн. лв. текущи разходи и </w:t>
      </w:r>
      <w:r w:rsidR="00E31ACB" w:rsidRPr="00E31ACB">
        <w:rPr>
          <w:szCs w:val="20"/>
        </w:rPr>
        <w:t>2</w:t>
      </w:r>
      <w:r w:rsidRPr="00E31ACB">
        <w:rPr>
          <w:szCs w:val="20"/>
        </w:rPr>
        <w:t>,</w:t>
      </w:r>
      <w:r w:rsidR="00E31ACB" w:rsidRPr="00E31ACB">
        <w:rPr>
          <w:szCs w:val="20"/>
        </w:rPr>
        <w:t>9</w:t>
      </w:r>
      <w:r w:rsidRPr="00E31ACB">
        <w:rPr>
          <w:szCs w:val="20"/>
        </w:rPr>
        <w:t xml:space="preserve"> млн. лв. капиталови разходи. Средствата са усвоени за реализирането на основните цели и дейности на БНР по подготовката, създаването и разпространението на национални и регионални програми съгласно разпоредбите на Закона за радиото и телевизията. В разпределението на разходите по бюджета на БНР е включен преходният остатък за 2020 г. (съгл. чл. 70, ал. 6 от Закона за радиото и телевизията) в размер на 0,4 млн. лева. </w:t>
      </w:r>
    </w:p>
    <w:p w14:paraId="6531CF74" w14:textId="77777777" w:rsidR="00E31ACB" w:rsidRPr="00281DB0" w:rsidRDefault="00C42FA8" w:rsidP="00E31ACB">
      <w:pPr>
        <w:jc w:val="both"/>
        <w:rPr>
          <w:szCs w:val="20"/>
        </w:rPr>
      </w:pPr>
      <w:r w:rsidRPr="005308B3">
        <w:t>Общо утвърдените</w:t>
      </w:r>
      <w:r w:rsidRPr="005308B3">
        <w:rPr>
          <w:b/>
        </w:rPr>
        <w:t xml:space="preserve"> </w:t>
      </w:r>
      <w:r w:rsidRPr="005308B3">
        <w:rPr>
          <w:b/>
          <w:i/>
          <w:szCs w:val="20"/>
        </w:rPr>
        <w:t>бюджетни взаимоотношения на БНР с централния бюджет</w:t>
      </w:r>
      <w:r w:rsidRPr="005308B3">
        <w:rPr>
          <w:szCs w:val="20"/>
        </w:rPr>
        <w:t xml:space="preserve"> за 2021 г. са в размер на </w:t>
      </w:r>
      <w:r w:rsidR="00E31ACB" w:rsidRPr="00281DB0">
        <w:rPr>
          <w:szCs w:val="20"/>
        </w:rPr>
        <w:t xml:space="preserve">55,0 млн. лв., в т.ч.: 53,2 млн. лв. съгласно чл. 48, т. 1 от ЗДБРБ за 2021 г. и одобрени допълнителни трансфери по реда на чл. 109, ал. 3 от Закона за публичните финанси в размер на 1,8 млн. лв. съгласно ПМС № 41 от 2021 г., ПМС № 188 от 2021 г. и ПМС № 305 от 2021 г.  </w:t>
      </w:r>
    </w:p>
    <w:p w14:paraId="42F094F8" w14:textId="1F5EF2FE" w:rsidR="00E31ACB" w:rsidRPr="00281DB0" w:rsidRDefault="00E31ACB" w:rsidP="00E31ACB">
      <w:pPr>
        <w:spacing w:after="240"/>
        <w:jc w:val="both"/>
        <w:rPr>
          <w:szCs w:val="20"/>
        </w:rPr>
      </w:pPr>
      <w:r w:rsidRPr="00281DB0">
        <w:rPr>
          <w:szCs w:val="20"/>
        </w:rPr>
        <w:tab/>
        <w:t xml:space="preserve">За </w:t>
      </w:r>
      <w:r w:rsidR="00E71E40">
        <w:rPr>
          <w:szCs w:val="20"/>
        </w:rPr>
        <w:t>2021 г.</w:t>
      </w:r>
      <w:r w:rsidRPr="00281DB0">
        <w:rPr>
          <w:szCs w:val="20"/>
        </w:rPr>
        <w:t xml:space="preserve"> усвоена</w:t>
      </w:r>
      <w:r w:rsidR="00E71E40">
        <w:rPr>
          <w:szCs w:val="20"/>
        </w:rPr>
        <w:t>та</w:t>
      </w:r>
      <w:r w:rsidRPr="00281DB0">
        <w:rPr>
          <w:szCs w:val="20"/>
        </w:rPr>
        <w:t xml:space="preserve"> сума </w:t>
      </w:r>
      <w:r w:rsidR="00E71E40">
        <w:rPr>
          <w:szCs w:val="20"/>
        </w:rPr>
        <w:t xml:space="preserve">е </w:t>
      </w:r>
      <w:r w:rsidRPr="00281DB0">
        <w:rPr>
          <w:szCs w:val="20"/>
        </w:rPr>
        <w:t>в размер на 55,0 млн. лв. или 100,0</w:t>
      </w:r>
      <w:r w:rsidR="00E71E40">
        <w:rPr>
          <w:szCs w:val="20"/>
        </w:rPr>
        <w:t xml:space="preserve"> </w:t>
      </w:r>
      <w:r w:rsidRPr="00281DB0">
        <w:rPr>
          <w:szCs w:val="20"/>
        </w:rPr>
        <w:t xml:space="preserve">% </w:t>
      </w:r>
      <w:r w:rsidR="00E71E40">
        <w:rPr>
          <w:szCs w:val="20"/>
        </w:rPr>
        <w:t>на</w:t>
      </w:r>
      <w:r w:rsidRPr="00281DB0">
        <w:rPr>
          <w:szCs w:val="20"/>
        </w:rPr>
        <w:t xml:space="preserve"> бюджетните взаимоотношения на БНР с централния бюджет по уточнен план. </w:t>
      </w:r>
    </w:p>
    <w:p w14:paraId="56211E21" w14:textId="24B5B19A" w:rsidR="008B1868" w:rsidRDefault="00C42FA8" w:rsidP="00E71E40">
      <w:pPr>
        <w:ind w:firstLine="644"/>
        <w:jc w:val="both"/>
      </w:pPr>
      <w:r w:rsidRPr="00E31ACB">
        <w:rPr>
          <w:b/>
          <w:szCs w:val="20"/>
        </w:rPr>
        <w:t xml:space="preserve">Приходите на БТА </w:t>
      </w:r>
      <w:r w:rsidR="00351947" w:rsidRPr="00E31ACB">
        <w:rPr>
          <w:szCs w:val="20"/>
        </w:rPr>
        <w:t>към 31.</w:t>
      </w:r>
      <w:r w:rsidR="00351947" w:rsidRPr="00E31ACB">
        <w:rPr>
          <w:szCs w:val="20"/>
          <w:lang w:val="ru-RU"/>
        </w:rPr>
        <w:t>12</w:t>
      </w:r>
      <w:r w:rsidR="008B6CF2" w:rsidRPr="00E31ACB">
        <w:rPr>
          <w:szCs w:val="20"/>
        </w:rPr>
        <w:t xml:space="preserve">.2021 </w:t>
      </w:r>
      <w:r w:rsidR="008B6CF2" w:rsidRPr="00E61123">
        <w:rPr>
          <w:szCs w:val="20"/>
        </w:rPr>
        <w:t xml:space="preserve">г. </w:t>
      </w:r>
      <w:r w:rsidR="00E61123" w:rsidRPr="00E61123">
        <w:rPr>
          <w:szCs w:val="20"/>
        </w:rPr>
        <w:t>са 1,0</w:t>
      </w:r>
      <w:r w:rsidRPr="00E61123">
        <w:rPr>
          <w:szCs w:val="20"/>
        </w:rPr>
        <w:t xml:space="preserve"> млн. лв. или </w:t>
      </w:r>
      <w:r w:rsidR="00E61123" w:rsidRPr="00E61123">
        <w:rPr>
          <w:szCs w:val="20"/>
        </w:rPr>
        <w:t>82</w:t>
      </w:r>
      <w:r w:rsidRPr="00E61123">
        <w:rPr>
          <w:szCs w:val="20"/>
        </w:rPr>
        <w:t>,</w:t>
      </w:r>
      <w:r w:rsidR="00E61123" w:rsidRPr="00E61123">
        <w:rPr>
          <w:szCs w:val="20"/>
        </w:rPr>
        <w:t>8</w:t>
      </w:r>
      <w:r w:rsidRPr="00E61123">
        <w:rPr>
          <w:szCs w:val="20"/>
        </w:rPr>
        <w:t xml:space="preserve"> % от предвидените за годината, като това са основно </w:t>
      </w:r>
      <w:r w:rsidR="008B6CF2" w:rsidRPr="00E61123">
        <w:t>приходи от продажба на услуги, стоки и продукция.</w:t>
      </w:r>
      <w:r w:rsidRPr="00E61123">
        <w:rPr>
          <w:szCs w:val="20"/>
        </w:rPr>
        <w:t xml:space="preserve"> </w:t>
      </w:r>
      <w:r w:rsidR="008B1868">
        <w:t>Вс</w:t>
      </w:r>
      <w:r w:rsidR="008B1868" w:rsidRPr="003A4505">
        <w:t xml:space="preserve">ледствие на пандемията от COVID-19 и обявеното извънредно положение голяма част от клиентите на БТА са спрели да покриват задълженията си или са прекратили абонаментите </w:t>
      </w:r>
      <w:r w:rsidR="008B1868" w:rsidRPr="003A4505">
        <w:lastRenderedPageBreak/>
        <w:t xml:space="preserve">си. </w:t>
      </w:r>
      <w:r w:rsidR="00E71E40">
        <w:t>И</w:t>
      </w:r>
      <w:r w:rsidR="008B1868">
        <w:t xml:space="preserve">зпълнението на приходите е свързано </w:t>
      </w:r>
      <w:r w:rsidR="00E71E40">
        <w:t xml:space="preserve">основно </w:t>
      </w:r>
      <w:r w:rsidR="008B1868">
        <w:t>със събрани задължения по стари договори.</w:t>
      </w:r>
    </w:p>
    <w:p w14:paraId="3931A21F" w14:textId="645471FB" w:rsidR="008B1868" w:rsidRPr="008B1868" w:rsidRDefault="008B1868" w:rsidP="00E71E40">
      <w:pPr>
        <w:ind w:firstLine="567"/>
        <w:jc w:val="both"/>
        <w:rPr>
          <w:lang w:val="ru-RU"/>
        </w:rPr>
      </w:pPr>
      <w:r w:rsidRPr="00422C35">
        <w:rPr>
          <w:rFonts w:eastAsia="Batang"/>
          <w:lang w:eastAsia="zh-TW"/>
        </w:rPr>
        <w:t>Разходите в размер на  14</w:t>
      </w:r>
      <w:r>
        <w:rPr>
          <w:rFonts w:eastAsia="Batang"/>
          <w:lang w:eastAsia="zh-TW"/>
        </w:rPr>
        <w:t>,6 млн.</w:t>
      </w:r>
      <w:r w:rsidRPr="00422C35">
        <w:rPr>
          <w:rFonts w:eastAsia="Batang"/>
          <w:lang w:eastAsia="zh-TW"/>
        </w:rPr>
        <w:t xml:space="preserve"> лв. са свързани с основната дейност на агенцията, като основен дял имат разходите за персонал и капиталови</w:t>
      </w:r>
      <w:r w:rsidR="00E71E40">
        <w:rPr>
          <w:rFonts w:eastAsia="Batang"/>
          <w:lang w:eastAsia="zh-TW"/>
        </w:rPr>
        <w:t>те</w:t>
      </w:r>
      <w:r w:rsidRPr="00422C35">
        <w:rPr>
          <w:rFonts w:eastAsia="Batang"/>
          <w:lang w:eastAsia="zh-TW"/>
        </w:rPr>
        <w:t xml:space="preserve"> разходи за осигуряване на съвременна техника за </w:t>
      </w:r>
      <w:r w:rsidRPr="00422C35">
        <w:t>безвъзмездното разпространение на информацията.</w:t>
      </w:r>
      <w:r w:rsidRPr="008B1868">
        <w:rPr>
          <w:lang w:val="ru-RU"/>
        </w:rPr>
        <w:t xml:space="preserve"> </w:t>
      </w:r>
    </w:p>
    <w:p w14:paraId="2C0B6E77" w14:textId="77777777" w:rsidR="007C1025" w:rsidRPr="00BA4AB9" w:rsidRDefault="007C1025" w:rsidP="00E71E40">
      <w:pPr>
        <w:ind w:firstLine="567"/>
        <w:jc w:val="both"/>
        <w:rPr>
          <w:color w:val="0070C0"/>
          <w:szCs w:val="20"/>
        </w:rPr>
      </w:pPr>
    </w:p>
    <w:p w14:paraId="4D999A34" w14:textId="77777777" w:rsidR="002E5EF1" w:rsidRPr="00BA4AB9" w:rsidRDefault="002E5EF1" w:rsidP="007C1025">
      <w:pPr>
        <w:pStyle w:val="Title"/>
        <w:jc w:val="both"/>
        <w:rPr>
          <w:color w:val="0070C0"/>
        </w:rPr>
      </w:pPr>
    </w:p>
    <w:p w14:paraId="18BDA7F7" w14:textId="77777777" w:rsidR="00001ABF" w:rsidRPr="00BA4AB9" w:rsidRDefault="00001ABF" w:rsidP="007C1025">
      <w:pPr>
        <w:pStyle w:val="Title"/>
        <w:jc w:val="both"/>
        <w:rPr>
          <w:color w:val="0070C0"/>
        </w:rPr>
      </w:pPr>
    </w:p>
    <w:p w14:paraId="3EE177DC" w14:textId="77777777" w:rsidR="00001ABF" w:rsidRPr="00BA4AB9" w:rsidRDefault="00001ABF" w:rsidP="007C1025">
      <w:pPr>
        <w:pStyle w:val="Title"/>
        <w:jc w:val="both"/>
        <w:rPr>
          <w:color w:val="0070C0"/>
        </w:rPr>
      </w:pPr>
    </w:p>
    <w:p w14:paraId="6AC0178C" w14:textId="77777777" w:rsidR="00001ABF" w:rsidRPr="00956C85" w:rsidRDefault="00001ABF" w:rsidP="007C1025">
      <w:pPr>
        <w:pStyle w:val="Title"/>
        <w:jc w:val="both"/>
      </w:pPr>
    </w:p>
    <w:p w14:paraId="665453E3" w14:textId="07DB07A5" w:rsidR="007C1025" w:rsidRPr="00956C85" w:rsidRDefault="007C1025" w:rsidP="007C1025">
      <w:pPr>
        <w:pStyle w:val="Title"/>
        <w:jc w:val="both"/>
      </w:pPr>
      <w:r w:rsidRPr="00956C85">
        <w:t xml:space="preserve">Министерство на финансите, </w:t>
      </w:r>
      <w:r w:rsidR="00956C85" w:rsidRPr="00956C85">
        <w:t xml:space="preserve">февруари </w:t>
      </w:r>
      <w:r w:rsidRPr="00956C85">
        <w:t>202</w:t>
      </w:r>
      <w:r w:rsidR="00956C85" w:rsidRPr="00956C85">
        <w:t>2</w:t>
      </w:r>
      <w:r w:rsidRPr="00956C85">
        <w:t xml:space="preserve"> г.</w:t>
      </w:r>
    </w:p>
    <w:p w14:paraId="4C23193C" w14:textId="77777777" w:rsidR="00594E6B" w:rsidRPr="00BA4AB9" w:rsidRDefault="00594E6B" w:rsidP="00053B0F">
      <w:pPr>
        <w:pStyle w:val="Title"/>
        <w:jc w:val="both"/>
        <w:rPr>
          <w:color w:val="0070C0"/>
        </w:rPr>
      </w:pPr>
    </w:p>
    <w:p w14:paraId="68965250" w14:textId="77777777" w:rsidR="00BC6EBC" w:rsidRPr="00BA4AB9" w:rsidRDefault="00BC6EBC" w:rsidP="00D2533A">
      <w:pPr>
        <w:tabs>
          <w:tab w:val="left" w:pos="2520"/>
        </w:tabs>
        <w:spacing w:line="480" w:lineRule="auto"/>
        <w:ind w:left="-1134" w:right="-386" w:firstLine="1134"/>
        <w:rPr>
          <w:color w:val="0070C0"/>
          <w:sz w:val="20"/>
          <w:szCs w:val="20"/>
          <w:lang w:eastAsia="bg-BG"/>
        </w:rPr>
      </w:pPr>
    </w:p>
    <w:p w14:paraId="5F7C3538" w14:textId="77777777" w:rsidR="00BC6EBC" w:rsidRPr="00BA4AB9" w:rsidRDefault="00BC6EBC" w:rsidP="00D2533A">
      <w:pPr>
        <w:tabs>
          <w:tab w:val="left" w:pos="2520"/>
        </w:tabs>
        <w:spacing w:line="480" w:lineRule="auto"/>
        <w:ind w:left="-1134" w:right="-386" w:firstLine="1134"/>
        <w:rPr>
          <w:color w:val="0070C0"/>
          <w:sz w:val="20"/>
          <w:szCs w:val="20"/>
          <w:lang w:eastAsia="bg-BG"/>
        </w:rPr>
      </w:pPr>
      <w:bookmarkStart w:id="35" w:name="_GoBack"/>
      <w:bookmarkEnd w:id="35"/>
    </w:p>
    <w:p w14:paraId="569141BF" w14:textId="77777777" w:rsidR="00D2533A" w:rsidRPr="00BA4AB9" w:rsidRDefault="00D2533A" w:rsidP="00D2533A">
      <w:pPr>
        <w:jc w:val="both"/>
        <w:rPr>
          <w:b/>
          <w:color w:val="0070C0"/>
          <w:szCs w:val="20"/>
        </w:rPr>
      </w:pPr>
    </w:p>
    <w:p w14:paraId="1D942C1B" w14:textId="77777777" w:rsidR="00D2533A" w:rsidRPr="00BA4AB9" w:rsidRDefault="00D2533A" w:rsidP="00D2533A">
      <w:pPr>
        <w:rPr>
          <w:color w:val="0070C0"/>
        </w:rPr>
      </w:pPr>
    </w:p>
    <w:p w14:paraId="798BF09B" w14:textId="77777777" w:rsidR="00001ABF" w:rsidRPr="0064563F" w:rsidRDefault="00001ABF" w:rsidP="002E5EF1">
      <w:pPr>
        <w:tabs>
          <w:tab w:val="left" w:pos="2520"/>
        </w:tabs>
        <w:spacing w:line="480" w:lineRule="auto"/>
        <w:ind w:left="-1134" w:right="-386" w:firstLine="1134"/>
        <w:rPr>
          <w:color w:val="0070C0"/>
          <w:sz w:val="20"/>
          <w:szCs w:val="20"/>
          <w:lang w:val="ru-RU" w:eastAsia="bg-BG"/>
        </w:rPr>
      </w:pPr>
    </w:p>
    <w:sectPr w:rsidR="00001ABF" w:rsidRPr="0064563F" w:rsidSect="00441E7C">
      <w:footerReference w:type="even" r:id="rId15"/>
      <w:footerReference w:type="default" r:id="rId16"/>
      <w:endnotePr>
        <w:numFmt w:val="decimal"/>
      </w:endnotePr>
      <w:type w:val="continuous"/>
      <w:pgSz w:w="11906" w:h="16838"/>
      <w:pgMar w:top="709" w:right="1106" w:bottom="426"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ECF1D" w14:textId="77777777" w:rsidR="00CB0153" w:rsidRDefault="00CB0153">
      <w:r>
        <w:separator/>
      </w:r>
    </w:p>
  </w:endnote>
  <w:endnote w:type="continuationSeparator" w:id="0">
    <w:p w14:paraId="6AE07ED6" w14:textId="77777777" w:rsidR="00CB0153" w:rsidRDefault="00CB0153">
      <w:r>
        <w:continuationSeparator/>
      </w:r>
    </w:p>
  </w:endnote>
  <w:endnote w:type="continuationNotice" w:id="1">
    <w:p w14:paraId="51EF6CCC" w14:textId="77777777" w:rsidR="00CB0153" w:rsidRDefault="00CB01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F5B1C" w14:textId="77777777" w:rsidR="00CB0153" w:rsidRDefault="00CB0153"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370A9A" w14:textId="77777777" w:rsidR="00CB0153" w:rsidRDefault="00CB0153" w:rsidP="00A7411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A632C" w14:textId="4F7BD828" w:rsidR="00CB0153" w:rsidRDefault="00CB0153"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1061">
      <w:rPr>
        <w:rStyle w:val="PageNumber"/>
        <w:noProof/>
      </w:rPr>
      <w:t>41</w:t>
    </w:r>
    <w:r>
      <w:rPr>
        <w:rStyle w:val="PageNumber"/>
      </w:rPr>
      <w:fldChar w:fldCharType="end"/>
    </w:r>
  </w:p>
  <w:p w14:paraId="7D8B7E40" w14:textId="77777777" w:rsidR="00CB0153" w:rsidRDefault="00CB0153" w:rsidP="00A7411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D33B9" w14:textId="77777777" w:rsidR="00CB0153" w:rsidRDefault="00CB0153">
      <w:r>
        <w:separator/>
      </w:r>
    </w:p>
  </w:footnote>
  <w:footnote w:type="continuationSeparator" w:id="0">
    <w:p w14:paraId="76AF725F" w14:textId="77777777" w:rsidR="00CB0153" w:rsidRDefault="00CB0153">
      <w:r>
        <w:continuationSeparator/>
      </w:r>
    </w:p>
  </w:footnote>
  <w:footnote w:type="continuationNotice" w:id="1">
    <w:p w14:paraId="446C65D1" w14:textId="77777777" w:rsidR="00CB0153" w:rsidRDefault="00CB0153"/>
  </w:footnote>
  <w:footnote w:id="2">
    <w:p w14:paraId="2E01B004" w14:textId="77777777" w:rsidR="00CB0153" w:rsidRPr="00ED2E7D" w:rsidRDefault="00CB0153" w:rsidP="00ED2E7D">
      <w:pPr>
        <w:pStyle w:val="FootnoteText"/>
        <w:rPr>
          <w:lang w:val="ru-RU"/>
        </w:rPr>
      </w:pPr>
      <w:r w:rsidRPr="005D78DB">
        <w:rPr>
          <w:rStyle w:val="FootnoteReference"/>
        </w:rPr>
        <w:footnoteRef/>
      </w:r>
      <w:r w:rsidRPr="00ED2E7D">
        <w:rPr>
          <w:lang w:val="ru-RU"/>
        </w:rPr>
        <w:t xml:space="preserve"> Сезонно неизгладени данни.</w:t>
      </w:r>
    </w:p>
  </w:footnote>
  <w:footnote w:id="3">
    <w:p w14:paraId="11CA611F" w14:textId="77777777" w:rsidR="00CB0153" w:rsidRPr="00ED2E7D" w:rsidRDefault="00CB0153" w:rsidP="00ED2E7D">
      <w:pPr>
        <w:pStyle w:val="FootnoteText"/>
        <w:rPr>
          <w:lang w:val="ru-RU"/>
        </w:rPr>
      </w:pPr>
      <w:r w:rsidRPr="00AE3E2D">
        <w:rPr>
          <w:rStyle w:val="FootnoteReference"/>
        </w:rPr>
        <w:footnoteRef/>
      </w:r>
      <w:r w:rsidRPr="00ED2E7D">
        <w:rPr>
          <w:lang w:val="ru-RU"/>
        </w:rPr>
        <w:t xml:space="preserve"> От общия индекс са изключени непреработените храни и енергийните стоки.</w:t>
      </w:r>
    </w:p>
  </w:footnote>
  <w:footnote w:id="4">
    <w:p w14:paraId="2CF5B9CA" w14:textId="77777777" w:rsidR="00CB0153" w:rsidRPr="007D18FE" w:rsidRDefault="00CB0153" w:rsidP="00E75C94">
      <w:pPr>
        <w:pStyle w:val="FootnoteText"/>
        <w:jc w:val="both"/>
        <w:rPr>
          <w:sz w:val="18"/>
          <w:szCs w:val="18"/>
          <w:lang w:val="bg-BG"/>
        </w:rPr>
      </w:pPr>
      <w:r w:rsidRPr="007D18FE">
        <w:rPr>
          <w:rStyle w:val="FootnoteReference"/>
          <w:sz w:val="18"/>
          <w:szCs w:val="18"/>
        </w:rPr>
        <w:footnoteRef/>
      </w:r>
      <w:r w:rsidRPr="0019494B">
        <w:rPr>
          <w:sz w:val="18"/>
          <w:szCs w:val="18"/>
          <w:lang w:val="bg-BG"/>
        </w:rPr>
        <w:t xml:space="preserve"> </w:t>
      </w:r>
      <w:r w:rsidRPr="007D18FE">
        <w:rPr>
          <w:sz w:val="18"/>
          <w:szCs w:val="18"/>
          <w:lang w:val="bg-BG"/>
        </w:rPr>
        <w:t>Обхваща държавния бюджет и бюджетите на общините, социалноосигурителните фондове, ДВУ, БАН, БНР, БНТ, БТА, бюджетите по чл.14, ал.4 от ЗПФ, както и сметките за средствата от ЕС и сметките за чужди средства на бюджетните организации. Данните за текущата година са на база месечни отчети, а тези за предходната година - на база тримесечни отчети на ПРБ.</w:t>
      </w:r>
    </w:p>
  </w:footnote>
  <w:footnote w:id="5">
    <w:p w14:paraId="20CCCD1F" w14:textId="77777777" w:rsidR="00CB0153" w:rsidRPr="007D18FE" w:rsidRDefault="00CB0153" w:rsidP="000B7CE5">
      <w:pPr>
        <w:pStyle w:val="FootnoteText"/>
        <w:jc w:val="both"/>
        <w:rPr>
          <w:sz w:val="18"/>
          <w:szCs w:val="18"/>
          <w:lang w:val="bg-BG"/>
        </w:rPr>
      </w:pPr>
      <w:r w:rsidRPr="007D18FE">
        <w:rPr>
          <w:rStyle w:val="FootnoteReference"/>
          <w:sz w:val="18"/>
          <w:szCs w:val="18"/>
        </w:rPr>
        <w:footnoteRef/>
      </w:r>
      <w:r w:rsidRPr="007D18FE">
        <w:rPr>
          <w:sz w:val="18"/>
          <w:szCs w:val="18"/>
          <w:lang w:val="bg-BG"/>
        </w:rPr>
        <w:t xml:space="preserve"> Поради извършено закръгление в млн. лв., някои сумарни позиции в Таблица №1, Таблица  №2 и в текста не се изчерпват от съставните им числа.</w:t>
      </w:r>
    </w:p>
  </w:footnote>
  <w:footnote w:id="6">
    <w:p w14:paraId="6BE5D329" w14:textId="77777777" w:rsidR="00CB0153" w:rsidRPr="00D13ABE" w:rsidRDefault="00CB0153" w:rsidP="000B7CE5">
      <w:pPr>
        <w:pStyle w:val="FootnoteText"/>
        <w:rPr>
          <w:lang w:val="bg-BG"/>
        </w:rPr>
      </w:pPr>
      <w:r>
        <w:rPr>
          <w:rStyle w:val="FootnoteReference"/>
        </w:rPr>
        <w:footnoteRef/>
      </w:r>
      <w:r w:rsidRPr="00FC69BD">
        <w:rPr>
          <w:lang w:val="bg-BG"/>
        </w:rPr>
        <w:t xml:space="preserve"> </w:t>
      </w:r>
      <w:r w:rsidRPr="00FC69BD">
        <w:rPr>
          <w:sz w:val="18"/>
          <w:szCs w:val="18"/>
          <w:lang w:val="bg-BG"/>
        </w:rPr>
        <w:t>Разчети към ЗДБРБ за 2021 г. (</w:t>
      </w:r>
      <w:r w:rsidRPr="00511A67">
        <w:rPr>
          <w:sz w:val="18"/>
          <w:szCs w:val="18"/>
        </w:rPr>
        <w:t>o</w:t>
      </w:r>
      <w:r w:rsidRPr="00FC69BD">
        <w:rPr>
          <w:sz w:val="18"/>
          <w:szCs w:val="18"/>
          <w:lang w:val="bg-BG"/>
        </w:rPr>
        <w:t>бн., ДВ, бр. 104 от 08.12.2020 г., изм., бр. 77 от 16.09.2021 г.).</w:t>
      </w:r>
    </w:p>
  </w:footnote>
  <w:footnote w:id="7">
    <w:p w14:paraId="0697F16C" w14:textId="763D1B28" w:rsidR="00CB0153" w:rsidRPr="00A759DB" w:rsidRDefault="00CB0153" w:rsidP="00A759DB">
      <w:pPr>
        <w:pStyle w:val="FootnoteText"/>
        <w:jc w:val="both"/>
        <w:rPr>
          <w:lang w:val="bg-BG"/>
        </w:rPr>
      </w:pPr>
      <w:r>
        <w:rPr>
          <w:rStyle w:val="FootnoteReference"/>
        </w:rPr>
        <w:footnoteRef/>
      </w:r>
      <w:r w:rsidRPr="00580EB5">
        <w:rPr>
          <w:lang w:val="bg-BG"/>
        </w:rPr>
        <w:t xml:space="preserve"> </w:t>
      </w:r>
      <w:r w:rsidRPr="00A759DB">
        <w:rPr>
          <w:sz w:val="18"/>
          <w:szCs w:val="18"/>
          <w:lang w:val="bg-BG"/>
        </w:rPr>
        <w:t>С оглед съпоставимост на показателите по ЗДБРБ за 2021 г. с отчетните данни, разчетите в позиция „Резерв за непредвидени и/или неотложни разходи“ са отнесени в съответните разходни позиции според основното предназначение на планираните средства</w:t>
      </w:r>
      <w:r>
        <w:rPr>
          <w:sz w:val="18"/>
          <w:szCs w:val="18"/>
          <w:lang w:val="bg-BG"/>
        </w:rPr>
        <w:t>.</w:t>
      </w:r>
    </w:p>
  </w:footnote>
  <w:footnote w:id="8">
    <w:p w14:paraId="155B9F45" w14:textId="77777777" w:rsidR="00CB0153" w:rsidRPr="00E74802" w:rsidRDefault="00CB0153" w:rsidP="000B7CE5">
      <w:pPr>
        <w:pStyle w:val="FootnoteText"/>
        <w:jc w:val="both"/>
        <w:rPr>
          <w:sz w:val="18"/>
          <w:szCs w:val="18"/>
          <w:lang w:val="bg-BG"/>
        </w:rPr>
      </w:pPr>
      <w:r w:rsidRPr="00E74802">
        <w:rPr>
          <w:rStyle w:val="FootnoteReference"/>
          <w:sz w:val="18"/>
          <w:szCs w:val="18"/>
          <w:lang w:val="bg-BG"/>
        </w:rPr>
        <w:footnoteRef/>
      </w:r>
      <w:r w:rsidRPr="00E74802">
        <w:rPr>
          <w:sz w:val="18"/>
          <w:szCs w:val="18"/>
          <w:lang w:val="bg-BG"/>
        </w:rPr>
        <w:t xml:space="preserve"> </w:t>
      </w:r>
      <w:r w:rsidRPr="004D0661">
        <w:rPr>
          <w:sz w:val="18"/>
          <w:szCs w:val="18"/>
          <w:lang w:val="bg-BG"/>
        </w:rPr>
        <w:t>Обхватът на показателя фискален резерв е в съответствие с §1, т. 41 от Допълнителните разпоредби на Закона за публичните финанси.</w:t>
      </w:r>
    </w:p>
  </w:footnote>
  <w:footnote w:id="9">
    <w:p w14:paraId="76F9D016" w14:textId="77777777" w:rsidR="00CB0153" w:rsidRPr="00DF79A3" w:rsidRDefault="00CB0153" w:rsidP="000B7CE5">
      <w:pPr>
        <w:pStyle w:val="FootnoteText"/>
        <w:rPr>
          <w:lang w:val="bg-BG"/>
        </w:rPr>
      </w:pPr>
      <w:r w:rsidRPr="00E60ABC">
        <w:rPr>
          <w:rStyle w:val="FootnoteReference"/>
          <w:sz w:val="18"/>
          <w:lang w:val="bg-BG"/>
        </w:rPr>
        <w:footnoteRef/>
      </w:r>
      <w:r w:rsidRPr="00F97BCC">
        <w:rPr>
          <w:lang w:val="bg-BG"/>
        </w:rPr>
        <w:t xml:space="preserve"> </w:t>
      </w:r>
      <w:r w:rsidRPr="00185D08">
        <w:rPr>
          <w:sz w:val="18"/>
          <w:szCs w:val="16"/>
          <w:lang w:val="bg-BG"/>
        </w:rPr>
        <w:t>Държавният бюджет включва централен бюджет, бюджетите на НС, съдебната власт, министерствата и ведомствата.</w:t>
      </w:r>
    </w:p>
  </w:footnote>
  <w:footnote w:id="10">
    <w:p w14:paraId="68B0DAC5" w14:textId="77777777" w:rsidR="00CB0153" w:rsidRPr="0064563F" w:rsidRDefault="00CB0153" w:rsidP="000B7CE5">
      <w:pPr>
        <w:pStyle w:val="FootnoteText"/>
        <w:jc w:val="both"/>
        <w:rPr>
          <w:sz w:val="18"/>
          <w:szCs w:val="18"/>
          <w:lang w:val="ru-RU"/>
        </w:rPr>
      </w:pPr>
      <w:r w:rsidRPr="00EB7087">
        <w:rPr>
          <w:rStyle w:val="FootnoteReference"/>
        </w:rPr>
        <w:footnoteRef/>
      </w:r>
      <w:r w:rsidRPr="0064563F">
        <w:rPr>
          <w:sz w:val="18"/>
          <w:szCs w:val="18"/>
          <w:lang w:val="ru-RU"/>
        </w:rPr>
        <w:t xml:space="preserve"> </w:t>
      </w:r>
      <w:r w:rsidRPr="0023216D">
        <w:rPr>
          <w:sz w:val="18"/>
          <w:szCs w:val="18"/>
          <w:lang w:val="bg-BG"/>
        </w:rPr>
        <w:t>Поради извършено закръгление в млн. лв., някои сумарни позиции в Таблица №1 и в текста не се изчерпват от съставните им числа</w:t>
      </w:r>
      <w:r w:rsidRPr="0064563F">
        <w:rPr>
          <w:sz w:val="18"/>
          <w:szCs w:val="18"/>
          <w:lang w:val="ru-RU"/>
        </w:rPr>
        <w:t>.</w:t>
      </w:r>
    </w:p>
  </w:footnote>
  <w:footnote w:id="11">
    <w:p w14:paraId="17DE74F7" w14:textId="77777777" w:rsidR="00CB0153" w:rsidRPr="004639C5" w:rsidRDefault="00CB0153" w:rsidP="004639C5">
      <w:pPr>
        <w:pStyle w:val="FootnoteText"/>
        <w:rPr>
          <w:color w:val="FF0000"/>
          <w:sz w:val="18"/>
          <w:szCs w:val="18"/>
          <w:lang w:val="ru-RU"/>
        </w:rPr>
      </w:pPr>
      <w:r w:rsidRPr="00024DDA">
        <w:rPr>
          <w:rStyle w:val="FootnoteReference"/>
          <w:sz w:val="18"/>
          <w:szCs w:val="18"/>
        </w:rPr>
        <w:footnoteRef/>
      </w:r>
      <w:r w:rsidRPr="004639C5">
        <w:rPr>
          <w:sz w:val="18"/>
          <w:szCs w:val="18"/>
          <w:lang w:val="ru-RU"/>
        </w:rPr>
        <w:t xml:space="preserve"> Разчети към ЗДБРБ за 2021 г. (</w:t>
      </w:r>
      <w:r w:rsidRPr="00024DDA">
        <w:rPr>
          <w:sz w:val="18"/>
          <w:szCs w:val="18"/>
        </w:rPr>
        <w:t>o</w:t>
      </w:r>
      <w:r w:rsidRPr="004639C5">
        <w:rPr>
          <w:sz w:val="18"/>
          <w:szCs w:val="18"/>
          <w:lang w:val="ru-RU"/>
        </w:rPr>
        <w:t>бн., ДВ, бр. 104 от 08.12.2020 г., изм., бр. 77 от 16.09.2021 г.).</w:t>
      </w:r>
    </w:p>
  </w:footnote>
  <w:footnote w:id="12">
    <w:p w14:paraId="4C39E34C" w14:textId="77777777" w:rsidR="00CB0153" w:rsidRPr="004639C5" w:rsidRDefault="00CB0153" w:rsidP="004639C5">
      <w:pPr>
        <w:pStyle w:val="FootnoteText"/>
        <w:jc w:val="both"/>
        <w:rPr>
          <w:sz w:val="18"/>
          <w:szCs w:val="18"/>
          <w:lang w:val="ru-RU"/>
        </w:rPr>
      </w:pPr>
      <w:r>
        <w:rPr>
          <w:rStyle w:val="FootnoteReference"/>
        </w:rPr>
        <w:footnoteRef/>
      </w:r>
      <w:r w:rsidRPr="004639C5">
        <w:rPr>
          <w:lang w:val="ru-RU"/>
        </w:rPr>
        <w:t xml:space="preserve"> </w:t>
      </w:r>
      <w:r w:rsidRPr="004639C5">
        <w:rPr>
          <w:bCs/>
          <w:sz w:val="18"/>
          <w:szCs w:val="18"/>
          <w:lang w:val="ru-RU"/>
        </w:rPr>
        <w:t>С оглед съпоставимост на показателите по ЗДБРБ за 2021 г. с отчетните данни</w:t>
      </w:r>
      <w:r w:rsidRPr="006E0F35">
        <w:rPr>
          <w:bCs/>
          <w:sz w:val="18"/>
          <w:szCs w:val="18"/>
          <w:lang w:val="ru-RU"/>
        </w:rPr>
        <w:t>,</w:t>
      </w:r>
      <w:r w:rsidRPr="004639C5">
        <w:rPr>
          <w:bCs/>
          <w:sz w:val="18"/>
          <w:szCs w:val="18"/>
          <w:lang w:val="ru-RU"/>
        </w:rPr>
        <w:t xml:space="preserve"> разчетите в позиция „Резерв за непредвидени и/или неотложни разходи“ са отнесени в съответните разходни позиции според основното предназначение на планираните средства.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0E0"/>
    <w:multiLevelType w:val="hybridMultilevel"/>
    <w:tmpl w:val="94142DF6"/>
    <w:lvl w:ilvl="0" w:tplc="CA968970">
      <w:start w:val="43"/>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 w15:restartNumberingAfterBreak="0">
    <w:nsid w:val="0F3230CB"/>
    <w:multiLevelType w:val="hybridMultilevel"/>
    <w:tmpl w:val="48F0886C"/>
    <w:lvl w:ilvl="0" w:tplc="0012154E">
      <w:start w:val="1"/>
      <w:numFmt w:val="bullet"/>
      <w:lvlText w:val=""/>
      <w:lvlJc w:val="left"/>
      <w:pPr>
        <w:tabs>
          <w:tab w:val="num" w:pos="2157"/>
        </w:tabs>
        <w:ind w:left="2157" w:hanging="357"/>
      </w:pPr>
      <w:rPr>
        <w:rFonts w:ascii="Wingdings" w:hAnsi="Wingdings" w:hint="default"/>
        <w:color w:val="auto"/>
        <w:sz w:val="24"/>
        <w:szCs w:val="24"/>
        <w:u w:color="FFFFFF"/>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105CA9"/>
    <w:multiLevelType w:val="hybridMultilevel"/>
    <w:tmpl w:val="2D5A56EE"/>
    <w:lvl w:ilvl="0" w:tplc="88C42E5E">
      <w:start w:val="1"/>
      <w:numFmt w:val="decimal"/>
      <w:pStyle w:val="ParagraphNumbering"/>
      <w:lvlText w:val="%1.     "/>
      <w:lvlJc w:val="left"/>
      <w:pPr>
        <w:tabs>
          <w:tab w:val="num" w:pos="1260"/>
        </w:tabs>
        <w:ind w:left="540" w:firstLine="0"/>
      </w:pPr>
      <w:rPr>
        <w:rFonts w:hint="default"/>
        <w:b/>
      </w:rPr>
    </w:lvl>
    <w:lvl w:ilvl="1" w:tplc="F6E687FE">
      <w:start w:val="1"/>
      <w:numFmt w:val="upperRoman"/>
      <w:lvlText w:val="%2."/>
      <w:lvlJc w:val="right"/>
      <w:pPr>
        <w:tabs>
          <w:tab w:val="num" w:pos="1260"/>
        </w:tabs>
        <w:ind w:left="1260" w:hanging="18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rPr>
        <w:b/>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0EE040C"/>
    <w:multiLevelType w:val="hybridMultilevel"/>
    <w:tmpl w:val="DF5C7CEA"/>
    <w:lvl w:ilvl="0" w:tplc="04020005">
      <w:start w:val="1"/>
      <w:numFmt w:val="bullet"/>
      <w:lvlText w:val=""/>
      <w:lvlJc w:val="left"/>
      <w:pPr>
        <w:tabs>
          <w:tab w:val="num" w:pos="360"/>
        </w:tabs>
        <w:ind w:left="360" w:hanging="360"/>
      </w:pPr>
      <w:rPr>
        <w:rFonts w:ascii="Wingdings" w:hAnsi="Wingdings" w:hint="default"/>
        <w:color w:val="auto"/>
        <w:sz w:val="28"/>
        <w:u w:color="FFFFFF"/>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8D6CFF"/>
    <w:multiLevelType w:val="hybridMultilevel"/>
    <w:tmpl w:val="8E9EC7B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8B1941"/>
    <w:multiLevelType w:val="hybridMultilevel"/>
    <w:tmpl w:val="269A2F3C"/>
    <w:lvl w:ilvl="0" w:tplc="1AC8DDA4">
      <w:start w:val="1"/>
      <w:numFmt w:val="bullet"/>
      <w:lvlText w:val=""/>
      <w:lvlJc w:val="left"/>
      <w:pPr>
        <w:tabs>
          <w:tab w:val="num" w:pos="1440"/>
        </w:tabs>
        <w:ind w:left="740" w:firstLine="340"/>
      </w:pPr>
      <w:rPr>
        <w:rFonts w:ascii="Wingdings" w:hAnsi="Wingdings" w:hint="default"/>
        <w:sz w:val="24"/>
        <w:szCs w:val="24"/>
      </w:rPr>
    </w:lvl>
    <w:lvl w:ilvl="1" w:tplc="B8089F6A">
      <w:start w:val="1"/>
      <w:numFmt w:val="bullet"/>
      <w:lvlText w:val=""/>
      <w:lvlJc w:val="left"/>
      <w:pPr>
        <w:tabs>
          <w:tab w:val="num" w:pos="1437"/>
        </w:tabs>
        <w:ind w:left="1437" w:hanging="357"/>
      </w:pPr>
      <w:rPr>
        <w:rFonts w:ascii="Wingdings" w:hAnsi="Wingdings" w:hint="default"/>
        <w:color w:val="auto"/>
        <w:sz w:val="28"/>
        <w:szCs w:val="24"/>
        <w:u w:color="FFFFFF"/>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3C62B4"/>
    <w:multiLevelType w:val="hybridMultilevel"/>
    <w:tmpl w:val="9996BC9E"/>
    <w:lvl w:ilvl="0" w:tplc="C50854E6">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40506C4C"/>
    <w:multiLevelType w:val="hybridMultilevel"/>
    <w:tmpl w:val="8E46A080"/>
    <w:lvl w:ilvl="0" w:tplc="0402000B">
      <w:start w:val="1"/>
      <w:numFmt w:val="bullet"/>
      <w:lvlText w:val=""/>
      <w:lvlJc w:val="left"/>
      <w:pPr>
        <w:tabs>
          <w:tab w:val="num" w:pos="928"/>
        </w:tabs>
        <w:ind w:left="928" w:hanging="360"/>
      </w:pPr>
      <w:rPr>
        <w:rFonts w:ascii="Wingdings" w:hAnsi="Wingdings" w:hint="default"/>
      </w:rPr>
    </w:lvl>
    <w:lvl w:ilvl="1" w:tplc="0402000F">
      <w:start w:val="1"/>
      <w:numFmt w:val="decimal"/>
      <w:lvlText w:val="%2."/>
      <w:lvlJc w:val="left"/>
      <w:pPr>
        <w:tabs>
          <w:tab w:val="num" w:pos="1440"/>
        </w:tabs>
        <w:ind w:left="1440" w:hanging="360"/>
      </w:pPr>
      <w:rPr>
        <w:rFont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843DC3"/>
    <w:multiLevelType w:val="hybridMultilevel"/>
    <w:tmpl w:val="59487C1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489254F4"/>
    <w:multiLevelType w:val="hybridMultilevel"/>
    <w:tmpl w:val="A78E9870"/>
    <w:lvl w:ilvl="0" w:tplc="0409000B">
      <w:start w:val="1"/>
      <w:numFmt w:val="bullet"/>
      <w:lvlText w:val=""/>
      <w:lvlJc w:val="left"/>
      <w:pPr>
        <w:tabs>
          <w:tab w:val="num" w:pos="360"/>
        </w:tabs>
        <w:ind w:left="360" w:hanging="360"/>
      </w:pPr>
      <w:rPr>
        <w:rFonts w:ascii="Wingdings" w:hAnsi="Wingdings" w:hint="default"/>
      </w:rPr>
    </w:lvl>
    <w:lvl w:ilvl="1" w:tplc="8DDE1D3E">
      <w:start w:val="1"/>
      <w:numFmt w:val="bullet"/>
      <w:lvlText w:val=""/>
      <w:lvlJc w:val="left"/>
      <w:pPr>
        <w:tabs>
          <w:tab w:val="num" w:pos="1383"/>
        </w:tabs>
        <w:ind w:left="683" w:firstLine="340"/>
      </w:pPr>
      <w:rPr>
        <w:rFonts w:ascii="Wingdings" w:hAnsi="Wingdings"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0" w15:restartNumberingAfterBreak="0">
    <w:nsid w:val="4A5F564A"/>
    <w:multiLevelType w:val="hybridMultilevel"/>
    <w:tmpl w:val="19C03E34"/>
    <w:lvl w:ilvl="0" w:tplc="B8089F6A">
      <w:start w:val="1"/>
      <w:numFmt w:val="bullet"/>
      <w:lvlText w:val=""/>
      <w:lvlJc w:val="left"/>
      <w:pPr>
        <w:tabs>
          <w:tab w:val="num" w:pos="6878"/>
        </w:tabs>
        <w:ind w:left="6878" w:hanging="357"/>
      </w:pPr>
      <w:rPr>
        <w:rFonts w:ascii="Wingdings" w:hAnsi="Wingdings" w:hint="default"/>
        <w:color w:val="auto"/>
        <w:sz w:val="28"/>
        <w:u w:color="FFFFF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B1C3D5E"/>
    <w:multiLevelType w:val="hybridMultilevel"/>
    <w:tmpl w:val="05085AC2"/>
    <w:lvl w:ilvl="0" w:tplc="EDA44120">
      <w:start w:val="1"/>
      <w:numFmt w:val="bullet"/>
      <w:lvlText w:val="-"/>
      <w:lvlJc w:val="left"/>
      <w:pPr>
        <w:tabs>
          <w:tab w:val="num" w:pos="700"/>
        </w:tabs>
        <w:ind w:left="700" w:hanging="360"/>
      </w:pPr>
      <w:rPr>
        <w:rFonts w:ascii="Mangal" w:hAnsi="Manga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EB1EBB"/>
    <w:multiLevelType w:val="hybridMultilevel"/>
    <w:tmpl w:val="A7840AB6"/>
    <w:lvl w:ilvl="0" w:tplc="531CAAA0">
      <w:start w:val="1"/>
      <w:numFmt w:val="bullet"/>
      <w:lvlText w:val=""/>
      <w:lvlJc w:val="left"/>
      <w:pPr>
        <w:tabs>
          <w:tab w:val="num" w:pos="540"/>
        </w:tabs>
        <w:ind w:left="540" w:hanging="360"/>
      </w:pPr>
      <w:rPr>
        <w:rFonts w:ascii="Wingdings" w:hAnsi="Wingdings" w:hint="default"/>
        <w:color w:val="auto"/>
      </w:rPr>
    </w:lvl>
    <w:lvl w:ilvl="1" w:tplc="60389F10">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0D78F0"/>
    <w:multiLevelType w:val="hybridMultilevel"/>
    <w:tmpl w:val="D7A8E7F6"/>
    <w:lvl w:ilvl="0" w:tplc="04020003">
      <w:start w:val="1"/>
      <w:numFmt w:val="bullet"/>
      <w:lvlText w:val="o"/>
      <w:lvlJc w:val="left"/>
      <w:pPr>
        <w:tabs>
          <w:tab w:val="num" w:pos="1346"/>
        </w:tabs>
        <w:ind w:left="984" w:firstLine="96"/>
      </w:pPr>
      <w:rPr>
        <w:rFonts w:ascii="Courier New" w:hAnsi="Courier New" w:cs="Courier New" w:hint="default"/>
        <w:color w:val="auto"/>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14" w15:restartNumberingAfterBreak="0">
    <w:nsid w:val="53A41434"/>
    <w:multiLevelType w:val="hybridMultilevel"/>
    <w:tmpl w:val="D4069CA2"/>
    <w:lvl w:ilvl="0" w:tplc="AB6E2D68">
      <w:start w:val="1"/>
      <w:numFmt w:val="bullet"/>
      <w:lvlText w:val=""/>
      <w:lvlJc w:val="left"/>
      <w:pPr>
        <w:tabs>
          <w:tab w:val="num" w:pos="700"/>
        </w:tabs>
        <w:ind w:left="700" w:hanging="360"/>
      </w:pPr>
      <w:rPr>
        <w:rFonts w:ascii="Wingdings" w:hAnsi="Wingdings" w:hint="default"/>
        <w:color w:val="auto"/>
        <w:sz w:val="24"/>
        <w:szCs w:val="24"/>
      </w:rPr>
    </w:lvl>
    <w:lvl w:ilvl="1" w:tplc="7DDCFFB6">
      <w:start w:val="1"/>
      <w:numFmt w:val="bullet"/>
      <w:lvlText w:val=""/>
      <w:lvlJc w:val="left"/>
      <w:pPr>
        <w:tabs>
          <w:tab w:val="num" w:pos="1440"/>
        </w:tabs>
        <w:ind w:left="1440" w:hanging="360"/>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D92F24"/>
    <w:multiLevelType w:val="hybridMultilevel"/>
    <w:tmpl w:val="C3E23384"/>
    <w:lvl w:ilvl="0" w:tplc="0402000D">
      <w:start w:val="1"/>
      <w:numFmt w:val="bullet"/>
      <w:lvlText w:val=""/>
      <w:lvlJc w:val="left"/>
      <w:pPr>
        <w:ind w:left="1320" w:hanging="360"/>
      </w:pPr>
      <w:rPr>
        <w:rFonts w:ascii="Wingdings" w:hAnsi="Wingdings"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16" w15:restartNumberingAfterBreak="0">
    <w:nsid w:val="582E15B7"/>
    <w:multiLevelType w:val="hybridMultilevel"/>
    <w:tmpl w:val="B862F89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7" w15:restartNumberingAfterBreak="0">
    <w:nsid w:val="643A5E75"/>
    <w:multiLevelType w:val="hybridMultilevel"/>
    <w:tmpl w:val="B314ADC8"/>
    <w:lvl w:ilvl="0" w:tplc="04020001">
      <w:start w:val="1"/>
      <w:numFmt w:val="bullet"/>
      <w:lvlText w:val=""/>
      <w:lvlJc w:val="left"/>
      <w:pPr>
        <w:tabs>
          <w:tab w:val="num" w:pos="1101"/>
        </w:tabs>
        <w:ind w:left="1101" w:hanging="360"/>
      </w:pPr>
      <w:rPr>
        <w:rFonts w:ascii="Symbol" w:hAnsi="Symbol" w:hint="default"/>
      </w:rPr>
    </w:lvl>
    <w:lvl w:ilvl="1" w:tplc="04020003">
      <w:start w:val="1"/>
      <w:numFmt w:val="bullet"/>
      <w:lvlText w:val="o"/>
      <w:lvlJc w:val="left"/>
      <w:pPr>
        <w:tabs>
          <w:tab w:val="num" w:pos="1821"/>
        </w:tabs>
        <w:ind w:left="1821" w:hanging="360"/>
      </w:pPr>
      <w:rPr>
        <w:rFonts w:ascii="Courier New" w:hAnsi="Courier New" w:cs="Courier New" w:hint="default"/>
      </w:rPr>
    </w:lvl>
    <w:lvl w:ilvl="2" w:tplc="04020005" w:tentative="1">
      <w:start w:val="1"/>
      <w:numFmt w:val="bullet"/>
      <w:lvlText w:val=""/>
      <w:lvlJc w:val="left"/>
      <w:pPr>
        <w:tabs>
          <w:tab w:val="num" w:pos="2541"/>
        </w:tabs>
        <w:ind w:left="2541" w:hanging="360"/>
      </w:pPr>
      <w:rPr>
        <w:rFonts w:ascii="Wingdings" w:hAnsi="Wingdings" w:hint="default"/>
      </w:rPr>
    </w:lvl>
    <w:lvl w:ilvl="3" w:tplc="04020001" w:tentative="1">
      <w:start w:val="1"/>
      <w:numFmt w:val="bullet"/>
      <w:lvlText w:val=""/>
      <w:lvlJc w:val="left"/>
      <w:pPr>
        <w:tabs>
          <w:tab w:val="num" w:pos="3261"/>
        </w:tabs>
        <w:ind w:left="3261" w:hanging="360"/>
      </w:pPr>
      <w:rPr>
        <w:rFonts w:ascii="Symbol" w:hAnsi="Symbol" w:hint="default"/>
      </w:rPr>
    </w:lvl>
    <w:lvl w:ilvl="4" w:tplc="04020003" w:tentative="1">
      <w:start w:val="1"/>
      <w:numFmt w:val="bullet"/>
      <w:lvlText w:val="o"/>
      <w:lvlJc w:val="left"/>
      <w:pPr>
        <w:tabs>
          <w:tab w:val="num" w:pos="3981"/>
        </w:tabs>
        <w:ind w:left="3981" w:hanging="360"/>
      </w:pPr>
      <w:rPr>
        <w:rFonts w:ascii="Courier New" w:hAnsi="Courier New" w:cs="Courier New" w:hint="default"/>
      </w:rPr>
    </w:lvl>
    <w:lvl w:ilvl="5" w:tplc="04020005" w:tentative="1">
      <w:start w:val="1"/>
      <w:numFmt w:val="bullet"/>
      <w:lvlText w:val=""/>
      <w:lvlJc w:val="left"/>
      <w:pPr>
        <w:tabs>
          <w:tab w:val="num" w:pos="4701"/>
        </w:tabs>
        <w:ind w:left="4701" w:hanging="360"/>
      </w:pPr>
      <w:rPr>
        <w:rFonts w:ascii="Wingdings" w:hAnsi="Wingdings" w:hint="default"/>
      </w:rPr>
    </w:lvl>
    <w:lvl w:ilvl="6" w:tplc="04020001" w:tentative="1">
      <w:start w:val="1"/>
      <w:numFmt w:val="bullet"/>
      <w:lvlText w:val=""/>
      <w:lvlJc w:val="left"/>
      <w:pPr>
        <w:tabs>
          <w:tab w:val="num" w:pos="5421"/>
        </w:tabs>
        <w:ind w:left="5421" w:hanging="360"/>
      </w:pPr>
      <w:rPr>
        <w:rFonts w:ascii="Symbol" w:hAnsi="Symbol" w:hint="default"/>
      </w:rPr>
    </w:lvl>
    <w:lvl w:ilvl="7" w:tplc="04020003" w:tentative="1">
      <w:start w:val="1"/>
      <w:numFmt w:val="bullet"/>
      <w:lvlText w:val="o"/>
      <w:lvlJc w:val="left"/>
      <w:pPr>
        <w:tabs>
          <w:tab w:val="num" w:pos="6141"/>
        </w:tabs>
        <w:ind w:left="6141" w:hanging="360"/>
      </w:pPr>
      <w:rPr>
        <w:rFonts w:ascii="Courier New" w:hAnsi="Courier New" w:cs="Courier New" w:hint="default"/>
      </w:rPr>
    </w:lvl>
    <w:lvl w:ilvl="8" w:tplc="04020005" w:tentative="1">
      <w:start w:val="1"/>
      <w:numFmt w:val="bullet"/>
      <w:lvlText w:val=""/>
      <w:lvlJc w:val="left"/>
      <w:pPr>
        <w:tabs>
          <w:tab w:val="num" w:pos="6861"/>
        </w:tabs>
        <w:ind w:left="6861" w:hanging="360"/>
      </w:pPr>
      <w:rPr>
        <w:rFonts w:ascii="Wingdings" w:hAnsi="Wingdings" w:hint="default"/>
      </w:rPr>
    </w:lvl>
  </w:abstractNum>
  <w:abstractNum w:abstractNumId="18" w15:restartNumberingAfterBreak="0">
    <w:nsid w:val="65037E1C"/>
    <w:multiLevelType w:val="hybridMultilevel"/>
    <w:tmpl w:val="417A6ED8"/>
    <w:lvl w:ilvl="0" w:tplc="0402000D">
      <w:start w:val="1"/>
      <w:numFmt w:val="bullet"/>
      <w:lvlText w:val=""/>
      <w:lvlJc w:val="left"/>
      <w:pPr>
        <w:ind w:left="1494" w:hanging="360"/>
      </w:pPr>
      <w:rPr>
        <w:rFonts w:ascii="Wingdings" w:hAnsi="Wingdings" w:hint="default"/>
      </w:rPr>
    </w:lvl>
    <w:lvl w:ilvl="1" w:tplc="04020003" w:tentative="1">
      <w:start w:val="1"/>
      <w:numFmt w:val="bullet"/>
      <w:lvlText w:val="o"/>
      <w:lvlJc w:val="left"/>
      <w:pPr>
        <w:ind w:left="2214" w:hanging="360"/>
      </w:pPr>
      <w:rPr>
        <w:rFonts w:ascii="Courier New" w:hAnsi="Courier New" w:cs="Courier New" w:hint="default"/>
      </w:rPr>
    </w:lvl>
    <w:lvl w:ilvl="2" w:tplc="04020005" w:tentative="1">
      <w:start w:val="1"/>
      <w:numFmt w:val="bullet"/>
      <w:lvlText w:val=""/>
      <w:lvlJc w:val="left"/>
      <w:pPr>
        <w:ind w:left="2934" w:hanging="360"/>
      </w:pPr>
      <w:rPr>
        <w:rFonts w:ascii="Wingdings" w:hAnsi="Wingdings" w:hint="default"/>
      </w:rPr>
    </w:lvl>
    <w:lvl w:ilvl="3" w:tplc="04020001" w:tentative="1">
      <w:start w:val="1"/>
      <w:numFmt w:val="bullet"/>
      <w:lvlText w:val=""/>
      <w:lvlJc w:val="left"/>
      <w:pPr>
        <w:ind w:left="3654" w:hanging="360"/>
      </w:pPr>
      <w:rPr>
        <w:rFonts w:ascii="Symbol" w:hAnsi="Symbol" w:hint="default"/>
      </w:rPr>
    </w:lvl>
    <w:lvl w:ilvl="4" w:tplc="04020003" w:tentative="1">
      <w:start w:val="1"/>
      <w:numFmt w:val="bullet"/>
      <w:lvlText w:val="o"/>
      <w:lvlJc w:val="left"/>
      <w:pPr>
        <w:ind w:left="4374" w:hanging="360"/>
      </w:pPr>
      <w:rPr>
        <w:rFonts w:ascii="Courier New" w:hAnsi="Courier New" w:cs="Courier New" w:hint="default"/>
      </w:rPr>
    </w:lvl>
    <w:lvl w:ilvl="5" w:tplc="04020005" w:tentative="1">
      <w:start w:val="1"/>
      <w:numFmt w:val="bullet"/>
      <w:lvlText w:val=""/>
      <w:lvlJc w:val="left"/>
      <w:pPr>
        <w:ind w:left="5094" w:hanging="360"/>
      </w:pPr>
      <w:rPr>
        <w:rFonts w:ascii="Wingdings" w:hAnsi="Wingdings" w:hint="default"/>
      </w:rPr>
    </w:lvl>
    <w:lvl w:ilvl="6" w:tplc="04020001" w:tentative="1">
      <w:start w:val="1"/>
      <w:numFmt w:val="bullet"/>
      <w:lvlText w:val=""/>
      <w:lvlJc w:val="left"/>
      <w:pPr>
        <w:ind w:left="5814" w:hanging="360"/>
      </w:pPr>
      <w:rPr>
        <w:rFonts w:ascii="Symbol" w:hAnsi="Symbol" w:hint="default"/>
      </w:rPr>
    </w:lvl>
    <w:lvl w:ilvl="7" w:tplc="04020003" w:tentative="1">
      <w:start w:val="1"/>
      <w:numFmt w:val="bullet"/>
      <w:lvlText w:val="o"/>
      <w:lvlJc w:val="left"/>
      <w:pPr>
        <w:ind w:left="6534" w:hanging="360"/>
      </w:pPr>
      <w:rPr>
        <w:rFonts w:ascii="Courier New" w:hAnsi="Courier New" w:cs="Courier New" w:hint="default"/>
      </w:rPr>
    </w:lvl>
    <w:lvl w:ilvl="8" w:tplc="04020005" w:tentative="1">
      <w:start w:val="1"/>
      <w:numFmt w:val="bullet"/>
      <w:lvlText w:val=""/>
      <w:lvlJc w:val="left"/>
      <w:pPr>
        <w:ind w:left="7254" w:hanging="360"/>
      </w:pPr>
      <w:rPr>
        <w:rFonts w:ascii="Wingdings" w:hAnsi="Wingdings" w:hint="default"/>
      </w:rPr>
    </w:lvl>
  </w:abstractNum>
  <w:abstractNum w:abstractNumId="19" w15:restartNumberingAfterBreak="0">
    <w:nsid w:val="65CD370F"/>
    <w:multiLevelType w:val="hybridMultilevel"/>
    <w:tmpl w:val="F0D23F02"/>
    <w:lvl w:ilvl="0" w:tplc="708AF0F2">
      <w:start w:val="1"/>
      <w:numFmt w:val="bullet"/>
      <w:lvlText w:val=""/>
      <w:lvlJc w:val="left"/>
      <w:pPr>
        <w:tabs>
          <w:tab w:val="num" w:pos="700"/>
        </w:tabs>
        <w:ind w:left="700" w:hanging="360"/>
      </w:pPr>
      <w:rPr>
        <w:rFonts w:ascii="Symbol" w:hAnsi="Symbo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9E6BBC"/>
    <w:multiLevelType w:val="hybridMultilevel"/>
    <w:tmpl w:val="A3186A2C"/>
    <w:lvl w:ilvl="0" w:tplc="3B28C328">
      <w:start w:val="1"/>
      <w:numFmt w:val="bullet"/>
      <w:lvlText w:val="♦"/>
      <w:lvlJc w:val="left"/>
      <w:pPr>
        <w:tabs>
          <w:tab w:val="num" w:pos="2880"/>
        </w:tabs>
        <w:ind w:left="2880" w:hanging="360"/>
      </w:pPr>
      <w:rPr>
        <w:rFonts w:ascii="Courier New" w:hAnsi="Courier New" w:hint="default"/>
        <w:sz w:val="24"/>
        <w:szCs w:val="24"/>
      </w:rPr>
    </w:lvl>
    <w:lvl w:ilvl="1" w:tplc="8D0EC7F8">
      <w:start w:val="1"/>
      <w:numFmt w:val="bullet"/>
      <w:lvlText w:val=""/>
      <w:lvlJc w:val="left"/>
      <w:pPr>
        <w:tabs>
          <w:tab w:val="num" w:pos="2160"/>
        </w:tabs>
        <w:ind w:left="2160" w:hanging="360"/>
      </w:pPr>
      <w:rPr>
        <w:rFonts w:ascii="Wingdings" w:hAnsi="Wingdings" w:hint="default"/>
        <w:color w:val="auto"/>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8B65AC9"/>
    <w:multiLevelType w:val="hybridMultilevel"/>
    <w:tmpl w:val="313EA526"/>
    <w:lvl w:ilvl="0" w:tplc="257A31AA">
      <w:start w:val="1"/>
      <w:numFmt w:val="bullet"/>
      <w:lvlText w:val=""/>
      <w:lvlJc w:val="left"/>
      <w:pPr>
        <w:tabs>
          <w:tab w:val="num" w:pos="540"/>
        </w:tabs>
        <w:ind w:left="30" w:firstLine="1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204032"/>
    <w:multiLevelType w:val="hybridMultilevel"/>
    <w:tmpl w:val="5A7CE09A"/>
    <w:lvl w:ilvl="0" w:tplc="3B28C328">
      <w:start w:val="1"/>
      <w:numFmt w:val="bullet"/>
      <w:lvlText w:val="♦"/>
      <w:lvlJc w:val="left"/>
      <w:pPr>
        <w:tabs>
          <w:tab w:val="num" w:pos="2880"/>
        </w:tabs>
        <w:ind w:left="2880" w:hanging="360"/>
      </w:pPr>
      <w:rPr>
        <w:rFonts w:ascii="Courier New" w:hAnsi="Courier New" w:hint="default"/>
        <w:sz w:val="24"/>
        <w:szCs w:val="24"/>
      </w:rPr>
    </w:lvl>
    <w:lvl w:ilvl="1" w:tplc="7DDCFFB6">
      <w:start w:val="1"/>
      <w:numFmt w:val="bullet"/>
      <w:lvlText w:val=""/>
      <w:lvlJc w:val="left"/>
      <w:pPr>
        <w:tabs>
          <w:tab w:val="num" w:pos="2160"/>
        </w:tabs>
        <w:ind w:left="2160" w:hanging="360"/>
      </w:pPr>
      <w:rPr>
        <w:rFonts w:ascii="Wingdings" w:hAnsi="Wingdings" w:hint="default"/>
        <w:sz w:val="24"/>
        <w:szCs w:val="24"/>
      </w:rPr>
    </w:lvl>
    <w:lvl w:ilvl="2" w:tplc="F3BE7F08">
      <w:start w:val="1"/>
      <w:numFmt w:val="bullet"/>
      <w:lvlText w:val=""/>
      <w:lvlJc w:val="left"/>
      <w:pPr>
        <w:tabs>
          <w:tab w:val="num" w:pos="2880"/>
        </w:tabs>
        <w:ind w:left="2880" w:hanging="360"/>
      </w:pPr>
      <w:rPr>
        <w:rFonts w:ascii="Wingdings" w:hAnsi="Wingdings" w:hint="default"/>
        <w:color w:val="000000"/>
        <w:sz w:val="24"/>
        <w:szCs w:val="24"/>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E544B1C"/>
    <w:multiLevelType w:val="hybridMultilevel"/>
    <w:tmpl w:val="F19A58DE"/>
    <w:lvl w:ilvl="0" w:tplc="0402000B">
      <w:start w:val="1"/>
      <w:numFmt w:val="bullet"/>
      <w:lvlText w:val=""/>
      <w:lvlJc w:val="left"/>
      <w:pPr>
        <w:ind w:left="928"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24" w15:restartNumberingAfterBreak="0">
    <w:nsid w:val="6F1E15D4"/>
    <w:multiLevelType w:val="hybridMultilevel"/>
    <w:tmpl w:val="9DAEC4A6"/>
    <w:lvl w:ilvl="0" w:tplc="A0881FC2">
      <w:start w:val="1"/>
      <w:numFmt w:val="bullet"/>
      <w:lvlText w:val=""/>
      <w:lvlJc w:val="left"/>
      <w:pPr>
        <w:tabs>
          <w:tab w:val="num" w:pos="1440"/>
        </w:tabs>
        <w:ind w:left="740" w:firstLine="340"/>
      </w:pPr>
      <w:rPr>
        <w:rFonts w:ascii="Wingdings" w:hAnsi="Wingdings" w:hint="default"/>
        <w:color w:val="000000"/>
        <w:sz w:val="24"/>
        <w:szCs w:val="24"/>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812127"/>
    <w:multiLevelType w:val="multilevel"/>
    <w:tmpl w:val="FDE86A66"/>
    <w:lvl w:ilvl="0">
      <w:start w:val="1"/>
      <w:numFmt w:val="decimal"/>
      <w:lvlText w:val="%1."/>
      <w:lvlJc w:val="left"/>
      <w:pPr>
        <w:tabs>
          <w:tab w:val="num" w:pos="5430"/>
        </w:tabs>
        <w:ind w:left="5430" w:hanging="39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26" w15:restartNumberingAfterBreak="0">
    <w:nsid w:val="74400184"/>
    <w:multiLevelType w:val="hybridMultilevel"/>
    <w:tmpl w:val="93A0FF94"/>
    <w:lvl w:ilvl="0" w:tplc="A0881FC2">
      <w:start w:val="1"/>
      <w:numFmt w:val="bullet"/>
      <w:lvlText w:val=""/>
      <w:lvlJc w:val="left"/>
      <w:pPr>
        <w:tabs>
          <w:tab w:val="num" w:pos="1440"/>
        </w:tabs>
        <w:ind w:left="740" w:firstLine="340"/>
      </w:pPr>
      <w:rPr>
        <w:rFonts w:ascii="Wingdings" w:hAnsi="Wingdings" w:hint="default"/>
        <w:color w:val="000000"/>
        <w:sz w:val="24"/>
        <w:szCs w:val="24"/>
      </w:rPr>
    </w:lvl>
    <w:lvl w:ilvl="1" w:tplc="CAE42808">
      <w:start w:val="1"/>
      <w:numFmt w:val="bullet"/>
      <w:lvlText w:val=""/>
      <w:lvlJc w:val="left"/>
      <w:pPr>
        <w:tabs>
          <w:tab w:val="num" w:pos="1440"/>
        </w:tabs>
        <w:ind w:left="1440" w:hanging="360"/>
      </w:pPr>
      <w:rPr>
        <w:rFonts w:ascii="Wingdings" w:hAnsi="Wingdings" w:hint="default"/>
        <w:color w:val="000000"/>
        <w:sz w:val="24"/>
        <w:szCs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D837F9"/>
    <w:multiLevelType w:val="hybridMultilevel"/>
    <w:tmpl w:val="21AA00B6"/>
    <w:lvl w:ilvl="0" w:tplc="3B28C328">
      <w:start w:val="1"/>
      <w:numFmt w:val="bullet"/>
      <w:lvlText w:val="♦"/>
      <w:lvlJc w:val="left"/>
      <w:pPr>
        <w:tabs>
          <w:tab w:val="num" w:pos="2880"/>
        </w:tabs>
        <w:ind w:left="2880" w:hanging="360"/>
      </w:pPr>
      <w:rPr>
        <w:rFonts w:ascii="Courier New" w:hAnsi="Courier New" w:hint="default"/>
        <w:sz w:val="24"/>
        <w:szCs w:val="24"/>
      </w:rPr>
    </w:lvl>
    <w:lvl w:ilvl="1" w:tplc="72E4233E">
      <w:start w:val="1"/>
      <w:numFmt w:val="bullet"/>
      <w:lvlText w:val=""/>
      <w:lvlJc w:val="left"/>
      <w:pPr>
        <w:tabs>
          <w:tab w:val="num" w:pos="2160"/>
        </w:tabs>
        <w:ind w:left="2160" w:hanging="360"/>
      </w:pPr>
      <w:rPr>
        <w:rFonts w:ascii="Symbol" w:hAnsi="Symbol" w:hint="default"/>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9F15AD6"/>
    <w:multiLevelType w:val="hybridMultilevel"/>
    <w:tmpl w:val="FB42A522"/>
    <w:lvl w:ilvl="0" w:tplc="C50854E6">
      <w:numFmt w:val="bullet"/>
      <w:lvlText w:val="-"/>
      <w:lvlJc w:val="left"/>
      <w:pPr>
        <w:ind w:left="720" w:hanging="360"/>
      </w:pPr>
      <w:rPr>
        <w:rFonts w:ascii="Calibri" w:eastAsiaTheme="minorHAnsi" w:hAnsi="Calibri" w:cs="Calibri" w:hint="default"/>
      </w:rPr>
    </w:lvl>
    <w:lvl w:ilvl="1" w:tplc="4050AE64">
      <w:numFmt w:val="bullet"/>
      <w:lvlText w:val="-"/>
      <w:lvlJc w:val="left"/>
      <w:pPr>
        <w:ind w:left="1785" w:hanging="705"/>
      </w:pPr>
      <w:rPr>
        <w:rFonts w:ascii="Times New Roman" w:eastAsiaTheme="minorHAns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7E107AC9"/>
    <w:multiLevelType w:val="hybridMultilevel"/>
    <w:tmpl w:val="9CF03EA8"/>
    <w:lvl w:ilvl="0" w:tplc="04020003">
      <w:start w:val="1"/>
      <w:numFmt w:val="bullet"/>
      <w:lvlText w:val="o"/>
      <w:lvlJc w:val="left"/>
      <w:pPr>
        <w:tabs>
          <w:tab w:val="num" w:pos="1346"/>
        </w:tabs>
        <w:ind w:left="984" w:firstLine="96"/>
      </w:pPr>
      <w:rPr>
        <w:rFonts w:ascii="Courier New" w:hAnsi="Courier New" w:cs="Courier New" w:hint="default"/>
        <w:color w:val="auto"/>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num w:numId="1">
    <w:abstractNumId w:val="2"/>
  </w:num>
  <w:num w:numId="2">
    <w:abstractNumId w:val="9"/>
  </w:num>
  <w:num w:numId="3">
    <w:abstractNumId w:val="21"/>
  </w:num>
  <w:num w:numId="4">
    <w:abstractNumId w:val="5"/>
  </w:num>
  <w:num w:numId="5">
    <w:abstractNumId w:val="24"/>
  </w:num>
  <w:num w:numId="6">
    <w:abstractNumId w:val="14"/>
  </w:num>
  <w:num w:numId="7">
    <w:abstractNumId w:val="19"/>
  </w:num>
  <w:num w:numId="8">
    <w:abstractNumId w:val="7"/>
  </w:num>
  <w:num w:numId="9">
    <w:abstractNumId w:val="12"/>
  </w:num>
  <w:num w:numId="10">
    <w:abstractNumId w:val="25"/>
  </w:num>
  <w:num w:numId="11">
    <w:abstractNumId w:val="20"/>
  </w:num>
  <w:num w:numId="12">
    <w:abstractNumId w:val="17"/>
  </w:num>
  <w:num w:numId="13">
    <w:abstractNumId w:val="27"/>
  </w:num>
  <w:num w:numId="14">
    <w:abstractNumId w:val="26"/>
  </w:num>
  <w:num w:numId="15">
    <w:abstractNumId w:val="1"/>
  </w:num>
  <w:num w:numId="16">
    <w:abstractNumId w:val="22"/>
  </w:num>
  <w:num w:numId="17">
    <w:abstractNumId w:val="10"/>
  </w:num>
  <w:num w:numId="18">
    <w:abstractNumId w:val="3"/>
  </w:num>
  <w:num w:numId="19">
    <w:abstractNumId w:val="13"/>
  </w:num>
  <w:num w:numId="20">
    <w:abstractNumId w:val="4"/>
  </w:num>
  <w:num w:numId="21">
    <w:abstractNumId w:val="11"/>
  </w:num>
  <w:num w:numId="22">
    <w:abstractNumId w:val="15"/>
  </w:num>
  <w:num w:numId="23">
    <w:abstractNumId w:val="23"/>
  </w:num>
  <w:num w:numId="24">
    <w:abstractNumId w:val="16"/>
  </w:num>
  <w:num w:numId="25">
    <w:abstractNumId w:val="0"/>
  </w:num>
  <w:num w:numId="26">
    <w:abstractNumId w:val="18"/>
  </w:num>
  <w:num w:numId="27">
    <w:abstractNumId w:val="8"/>
  </w:num>
  <w:num w:numId="28">
    <w:abstractNumId w:val="29"/>
  </w:num>
  <w:num w:numId="29">
    <w:abstractNumId w:val="28"/>
  </w:num>
  <w:num w:numId="30">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E15"/>
    <w:rsid w:val="00000EF0"/>
    <w:rsid w:val="00001498"/>
    <w:rsid w:val="000016BE"/>
    <w:rsid w:val="00001ABF"/>
    <w:rsid w:val="00002BD7"/>
    <w:rsid w:val="00002D9C"/>
    <w:rsid w:val="000031E0"/>
    <w:rsid w:val="00003489"/>
    <w:rsid w:val="00003B52"/>
    <w:rsid w:val="00004264"/>
    <w:rsid w:val="000047E9"/>
    <w:rsid w:val="000059CB"/>
    <w:rsid w:val="00005D04"/>
    <w:rsid w:val="000063FC"/>
    <w:rsid w:val="000065C6"/>
    <w:rsid w:val="0000691E"/>
    <w:rsid w:val="00006B28"/>
    <w:rsid w:val="00006EBC"/>
    <w:rsid w:val="000076A8"/>
    <w:rsid w:val="00007902"/>
    <w:rsid w:val="00007F94"/>
    <w:rsid w:val="000111D3"/>
    <w:rsid w:val="00011383"/>
    <w:rsid w:val="000119C6"/>
    <w:rsid w:val="000124B9"/>
    <w:rsid w:val="00012533"/>
    <w:rsid w:val="00012AE6"/>
    <w:rsid w:val="000131A0"/>
    <w:rsid w:val="00013B93"/>
    <w:rsid w:val="00013C59"/>
    <w:rsid w:val="00014266"/>
    <w:rsid w:val="000146EA"/>
    <w:rsid w:val="00014AA9"/>
    <w:rsid w:val="000158A2"/>
    <w:rsid w:val="00015C0F"/>
    <w:rsid w:val="00015D5B"/>
    <w:rsid w:val="00017412"/>
    <w:rsid w:val="000175C7"/>
    <w:rsid w:val="000178CA"/>
    <w:rsid w:val="00017EA1"/>
    <w:rsid w:val="0002050E"/>
    <w:rsid w:val="0002090D"/>
    <w:rsid w:val="00020A43"/>
    <w:rsid w:val="000215BD"/>
    <w:rsid w:val="00021A5F"/>
    <w:rsid w:val="00021BCC"/>
    <w:rsid w:val="000221B7"/>
    <w:rsid w:val="000229E1"/>
    <w:rsid w:val="00022B6F"/>
    <w:rsid w:val="00022CAC"/>
    <w:rsid w:val="00022D9E"/>
    <w:rsid w:val="0002351F"/>
    <w:rsid w:val="0002378C"/>
    <w:rsid w:val="00023BF6"/>
    <w:rsid w:val="00023D31"/>
    <w:rsid w:val="0002444B"/>
    <w:rsid w:val="0002477E"/>
    <w:rsid w:val="000249B9"/>
    <w:rsid w:val="000256B4"/>
    <w:rsid w:val="00025953"/>
    <w:rsid w:val="00025F45"/>
    <w:rsid w:val="00026903"/>
    <w:rsid w:val="0002693A"/>
    <w:rsid w:val="00026AD5"/>
    <w:rsid w:val="0002767C"/>
    <w:rsid w:val="00027951"/>
    <w:rsid w:val="00027B74"/>
    <w:rsid w:val="00030353"/>
    <w:rsid w:val="00030658"/>
    <w:rsid w:val="000307D3"/>
    <w:rsid w:val="000311EA"/>
    <w:rsid w:val="00031377"/>
    <w:rsid w:val="00031593"/>
    <w:rsid w:val="00031710"/>
    <w:rsid w:val="000319CB"/>
    <w:rsid w:val="000320C8"/>
    <w:rsid w:val="00032966"/>
    <w:rsid w:val="000329A6"/>
    <w:rsid w:val="00033ACB"/>
    <w:rsid w:val="00034135"/>
    <w:rsid w:val="00034396"/>
    <w:rsid w:val="00034FE3"/>
    <w:rsid w:val="00035364"/>
    <w:rsid w:val="000359FA"/>
    <w:rsid w:val="0003621F"/>
    <w:rsid w:val="00036A1B"/>
    <w:rsid w:val="00037141"/>
    <w:rsid w:val="000377BC"/>
    <w:rsid w:val="000378DC"/>
    <w:rsid w:val="000403D4"/>
    <w:rsid w:val="0004080C"/>
    <w:rsid w:val="0004098D"/>
    <w:rsid w:val="00040C20"/>
    <w:rsid w:val="000411D9"/>
    <w:rsid w:val="00041338"/>
    <w:rsid w:val="0004157E"/>
    <w:rsid w:val="00042634"/>
    <w:rsid w:val="0004338F"/>
    <w:rsid w:val="000436DD"/>
    <w:rsid w:val="000439F5"/>
    <w:rsid w:val="00043AA0"/>
    <w:rsid w:val="00043AB2"/>
    <w:rsid w:val="00043E35"/>
    <w:rsid w:val="00043E3A"/>
    <w:rsid w:val="0004426E"/>
    <w:rsid w:val="00044273"/>
    <w:rsid w:val="00045116"/>
    <w:rsid w:val="0004521A"/>
    <w:rsid w:val="00045D38"/>
    <w:rsid w:val="0004753C"/>
    <w:rsid w:val="00050A1B"/>
    <w:rsid w:val="00051E5E"/>
    <w:rsid w:val="00052449"/>
    <w:rsid w:val="00052C5C"/>
    <w:rsid w:val="00053B0F"/>
    <w:rsid w:val="00053D51"/>
    <w:rsid w:val="000546BF"/>
    <w:rsid w:val="00054E02"/>
    <w:rsid w:val="00055007"/>
    <w:rsid w:val="000551E4"/>
    <w:rsid w:val="00055A61"/>
    <w:rsid w:val="00055DD1"/>
    <w:rsid w:val="00056221"/>
    <w:rsid w:val="00056B58"/>
    <w:rsid w:val="00056C45"/>
    <w:rsid w:val="00056D9D"/>
    <w:rsid w:val="0005737D"/>
    <w:rsid w:val="00057886"/>
    <w:rsid w:val="000579C4"/>
    <w:rsid w:val="00060A02"/>
    <w:rsid w:val="00060B42"/>
    <w:rsid w:val="000613BA"/>
    <w:rsid w:val="0006166E"/>
    <w:rsid w:val="00061758"/>
    <w:rsid w:val="000621DE"/>
    <w:rsid w:val="00062315"/>
    <w:rsid w:val="00062A78"/>
    <w:rsid w:val="00063235"/>
    <w:rsid w:val="00063CF1"/>
    <w:rsid w:val="00063E15"/>
    <w:rsid w:val="000642B9"/>
    <w:rsid w:val="00064472"/>
    <w:rsid w:val="0006477A"/>
    <w:rsid w:val="00064AF3"/>
    <w:rsid w:val="00064C44"/>
    <w:rsid w:val="00064E39"/>
    <w:rsid w:val="00065A46"/>
    <w:rsid w:val="00065DF8"/>
    <w:rsid w:val="000663D1"/>
    <w:rsid w:val="00066A21"/>
    <w:rsid w:val="00066EED"/>
    <w:rsid w:val="00067283"/>
    <w:rsid w:val="0007047E"/>
    <w:rsid w:val="000709C1"/>
    <w:rsid w:val="00070A97"/>
    <w:rsid w:val="00071F12"/>
    <w:rsid w:val="00072D22"/>
    <w:rsid w:val="00073108"/>
    <w:rsid w:val="00073B53"/>
    <w:rsid w:val="00073DF5"/>
    <w:rsid w:val="000751C1"/>
    <w:rsid w:val="00075256"/>
    <w:rsid w:val="0007526B"/>
    <w:rsid w:val="000768B3"/>
    <w:rsid w:val="00080AB2"/>
    <w:rsid w:val="00080EF5"/>
    <w:rsid w:val="0008155D"/>
    <w:rsid w:val="0008165A"/>
    <w:rsid w:val="000819F9"/>
    <w:rsid w:val="00081AFD"/>
    <w:rsid w:val="00082679"/>
    <w:rsid w:val="000827A4"/>
    <w:rsid w:val="000829EB"/>
    <w:rsid w:val="00082BD9"/>
    <w:rsid w:val="0008327E"/>
    <w:rsid w:val="000832E5"/>
    <w:rsid w:val="000833A2"/>
    <w:rsid w:val="0008357F"/>
    <w:rsid w:val="0008443B"/>
    <w:rsid w:val="000853B1"/>
    <w:rsid w:val="00085704"/>
    <w:rsid w:val="00085734"/>
    <w:rsid w:val="00085B96"/>
    <w:rsid w:val="00085E01"/>
    <w:rsid w:val="00085E1A"/>
    <w:rsid w:val="00086FA7"/>
    <w:rsid w:val="00087295"/>
    <w:rsid w:val="0008745A"/>
    <w:rsid w:val="000878C4"/>
    <w:rsid w:val="00087B7D"/>
    <w:rsid w:val="0009002F"/>
    <w:rsid w:val="000900E3"/>
    <w:rsid w:val="000902B5"/>
    <w:rsid w:val="00090565"/>
    <w:rsid w:val="00090BBB"/>
    <w:rsid w:val="00090D1D"/>
    <w:rsid w:val="00091196"/>
    <w:rsid w:val="000915E4"/>
    <w:rsid w:val="00091BCE"/>
    <w:rsid w:val="000931C8"/>
    <w:rsid w:val="000937AB"/>
    <w:rsid w:val="000937E0"/>
    <w:rsid w:val="0009383F"/>
    <w:rsid w:val="00093F6F"/>
    <w:rsid w:val="00094125"/>
    <w:rsid w:val="000943E4"/>
    <w:rsid w:val="000949D3"/>
    <w:rsid w:val="00094A6C"/>
    <w:rsid w:val="00094A78"/>
    <w:rsid w:val="000959DC"/>
    <w:rsid w:val="00095EF0"/>
    <w:rsid w:val="0009743A"/>
    <w:rsid w:val="000A052A"/>
    <w:rsid w:val="000A09BA"/>
    <w:rsid w:val="000A209C"/>
    <w:rsid w:val="000A301B"/>
    <w:rsid w:val="000A3426"/>
    <w:rsid w:val="000A358A"/>
    <w:rsid w:val="000A393B"/>
    <w:rsid w:val="000A3F57"/>
    <w:rsid w:val="000A5B32"/>
    <w:rsid w:val="000A5E55"/>
    <w:rsid w:val="000A6E4D"/>
    <w:rsid w:val="000A7841"/>
    <w:rsid w:val="000B0616"/>
    <w:rsid w:val="000B0815"/>
    <w:rsid w:val="000B09E5"/>
    <w:rsid w:val="000B0CE6"/>
    <w:rsid w:val="000B11FB"/>
    <w:rsid w:val="000B175F"/>
    <w:rsid w:val="000B1A24"/>
    <w:rsid w:val="000B1E59"/>
    <w:rsid w:val="000B25CC"/>
    <w:rsid w:val="000B2CBE"/>
    <w:rsid w:val="000B358F"/>
    <w:rsid w:val="000B460F"/>
    <w:rsid w:val="000B474D"/>
    <w:rsid w:val="000B49EE"/>
    <w:rsid w:val="000B52FA"/>
    <w:rsid w:val="000B5F1E"/>
    <w:rsid w:val="000B62C7"/>
    <w:rsid w:val="000B6D3A"/>
    <w:rsid w:val="000B7234"/>
    <w:rsid w:val="000B7447"/>
    <w:rsid w:val="000B75C1"/>
    <w:rsid w:val="000B776D"/>
    <w:rsid w:val="000B7C4F"/>
    <w:rsid w:val="000B7CE5"/>
    <w:rsid w:val="000B7E66"/>
    <w:rsid w:val="000C06FE"/>
    <w:rsid w:val="000C0A44"/>
    <w:rsid w:val="000C0FA1"/>
    <w:rsid w:val="000C13A5"/>
    <w:rsid w:val="000C244E"/>
    <w:rsid w:val="000C29AF"/>
    <w:rsid w:val="000C2FAC"/>
    <w:rsid w:val="000C3F19"/>
    <w:rsid w:val="000C4CBB"/>
    <w:rsid w:val="000C5495"/>
    <w:rsid w:val="000C56B9"/>
    <w:rsid w:val="000C5ACF"/>
    <w:rsid w:val="000C5C6D"/>
    <w:rsid w:val="000C617B"/>
    <w:rsid w:val="000C6742"/>
    <w:rsid w:val="000C69AE"/>
    <w:rsid w:val="000C6CB5"/>
    <w:rsid w:val="000C6CF3"/>
    <w:rsid w:val="000C72DC"/>
    <w:rsid w:val="000C7303"/>
    <w:rsid w:val="000C736E"/>
    <w:rsid w:val="000C75A5"/>
    <w:rsid w:val="000C7BB6"/>
    <w:rsid w:val="000D0519"/>
    <w:rsid w:val="000D0538"/>
    <w:rsid w:val="000D06A6"/>
    <w:rsid w:val="000D0AB1"/>
    <w:rsid w:val="000D1CCD"/>
    <w:rsid w:val="000D23F8"/>
    <w:rsid w:val="000D2516"/>
    <w:rsid w:val="000D26D5"/>
    <w:rsid w:val="000D2B33"/>
    <w:rsid w:val="000D2BE7"/>
    <w:rsid w:val="000D3407"/>
    <w:rsid w:val="000D3942"/>
    <w:rsid w:val="000D3FA7"/>
    <w:rsid w:val="000D4203"/>
    <w:rsid w:val="000D4992"/>
    <w:rsid w:val="000D49F5"/>
    <w:rsid w:val="000D4BEB"/>
    <w:rsid w:val="000D5449"/>
    <w:rsid w:val="000D5EE2"/>
    <w:rsid w:val="000D6D92"/>
    <w:rsid w:val="000D725A"/>
    <w:rsid w:val="000D740D"/>
    <w:rsid w:val="000D78E4"/>
    <w:rsid w:val="000E0B42"/>
    <w:rsid w:val="000E0EBA"/>
    <w:rsid w:val="000E1529"/>
    <w:rsid w:val="000E1C99"/>
    <w:rsid w:val="000E1EAF"/>
    <w:rsid w:val="000E1FB5"/>
    <w:rsid w:val="000E2207"/>
    <w:rsid w:val="000E2328"/>
    <w:rsid w:val="000E234B"/>
    <w:rsid w:val="000E2894"/>
    <w:rsid w:val="000E2B21"/>
    <w:rsid w:val="000E39DF"/>
    <w:rsid w:val="000E3BA7"/>
    <w:rsid w:val="000E3CDC"/>
    <w:rsid w:val="000E4599"/>
    <w:rsid w:val="000E4CFE"/>
    <w:rsid w:val="000E5205"/>
    <w:rsid w:val="000E5295"/>
    <w:rsid w:val="000E5483"/>
    <w:rsid w:val="000E5EE9"/>
    <w:rsid w:val="000E61E9"/>
    <w:rsid w:val="000E632B"/>
    <w:rsid w:val="000E6968"/>
    <w:rsid w:val="000E716F"/>
    <w:rsid w:val="000E76B3"/>
    <w:rsid w:val="000F04F4"/>
    <w:rsid w:val="000F26DE"/>
    <w:rsid w:val="000F3534"/>
    <w:rsid w:val="000F3EA1"/>
    <w:rsid w:val="000F47A8"/>
    <w:rsid w:val="000F4DBB"/>
    <w:rsid w:val="000F5080"/>
    <w:rsid w:val="000F52F7"/>
    <w:rsid w:val="000F5EF4"/>
    <w:rsid w:val="000F5F76"/>
    <w:rsid w:val="000F682A"/>
    <w:rsid w:val="000F68AF"/>
    <w:rsid w:val="000F6975"/>
    <w:rsid w:val="000F6B35"/>
    <w:rsid w:val="0010026D"/>
    <w:rsid w:val="0010055E"/>
    <w:rsid w:val="001006E1"/>
    <w:rsid w:val="00100CE5"/>
    <w:rsid w:val="00100D97"/>
    <w:rsid w:val="001011A4"/>
    <w:rsid w:val="00101209"/>
    <w:rsid w:val="0010145B"/>
    <w:rsid w:val="001017B7"/>
    <w:rsid w:val="00101B1C"/>
    <w:rsid w:val="00101DCA"/>
    <w:rsid w:val="0010212B"/>
    <w:rsid w:val="00102523"/>
    <w:rsid w:val="0010261A"/>
    <w:rsid w:val="00102869"/>
    <w:rsid w:val="001028F7"/>
    <w:rsid w:val="00102BA6"/>
    <w:rsid w:val="0010358B"/>
    <w:rsid w:val="00103BC3"/>
    <w:rsid w:val="00104438"/>
    <w:rsid w:val="001046B0"/>
    <w:rsid w:val="001046DD"/>
    <w:rsid w:val="00104BB5"/>
    <w:rsid w:val="0010539A"/>
    <w:rsid w:val="001053A6"/>
    <w:rsid w:val="001056C4"/>
    <w:rsid w:val="00106081"/>
    <w:rsid w:val="0010649F"/>
    <w:rsid w:val="0010683E"/>
    <w:rsid w:val="00107258"/>
    <w:rsid w:val="0010743D"/>
    <w:rsid w:val="00107498"/>
    <w:rsid w:val="001077FA"/>
    <w:rsid w:val="00107C9F"/>
    <w:rsid w:val="00107F93"/>
    <w:rsid w:val="00110E74"/>
    <w:rsid w:val="001118FD"/>
    <w:rsid w:val="0011244D"/>
    <w:rsid w:val="00112882"/>
    <w:rsid w:val="00112CAC"/>
    <w:rsid w:val="00112E96"/>
    <w:rsid w:val="001139FF"/>
    <w:rsid w:val="00113FD8"/>
    <w:rsid w:val="00114DE5"/>
    <w:rsid w:val="00116D77"/>
    <w:rsid w:val="001171AC"/>
    <w:rsid w:val="001173BA"/>
    <w:rsid w:val="001179C1"/>
    <w:rsid w:val="00117C68"/>
    <w:rsid w:val="00117CA6"/>
    <w:rsid w:val="001202E6"/>
    <w:rsid w:val="00120CC7"/>
    <w:rsid w:val="00121626"/>
    <w:rsid w:val="00121946"/>
    <w:rsid w:val="00122F3A"/>
    <w:rsid w:val="00122FCA"/>
    <w:rsid w:val="00123862"/>
    <w:rsid w:val="00123A3B"/>
    <w:rsid w:val="00123B59"/>
    <w:rsid w:val="00123E2A"/>
    <w:rsid w:val="00124777"/>
    <w:rsid w:val="00124CE2"/>
    <w:rsid w:val="00124FB9"/>
    <w:rsid w:val="0012527E"/>
    <w:rsid w:val="00125B7A"/>
    <w:rsid w:val="001260AA"/>
    <w:rsid w:val="001264C3"/>
    <w:rsid w:val="00126805"/>
    <w:rsid w:val="001269AE"/>
    <w:rsid w:val="00126CA3"/>
    <w:rsid w:val="00127D25"/>
    <w:rsid w:val="001301B6"/>
    <w:rsid w:val="001305A6"/>
    <w:rsid w:val="00131B05"/>
    <w:rsid w:val="00132AD1"/>
    <w:rsid w:val="00132DBB"/>
    <w:rsid w:val="00133033"/>
    <w:rsid w:val="0013308F"/>
    <w:rsid w:val="00133478"/>
    <w:rsid w:val="00133644"/>
    <w:rsid w:val="001342F2"/>
    <w:rsid w:val="00134F76"/>
    <w:rsid w:val="0013522E"/>
    <w:rsid w:val="0013588C"/>
    <w:rsid w:val="00135A23"/>
    <w:rsid w:val="00135E92"/>
    <w:rsid w:val="00136C08"/>
    <w:rsid w:val="00136D22"/>
    <w:rsid w:val="00136DA4"/>
    <w:rsid w:val="001371FA"/>
    <w:rsid w:val="00137A31"/>
    <w:rsid w:val="00137A9F"/>
    <w:rsid w:val="00140F18"/>
    <w:rsid w:val="00140F61"/>
    <w:rsid w:val="0014108F"/>
    <w:rsid w:val="00141B03"/>
    <w:rsid w:val="0014244B"/>
    <w:rsid w:val="00142979"/>
    <w:rsid w:val="00142ABD"/>
    <w:rsid w:val="00142D3D"/>
    <w:rsid w:val="00142EDB"/>
    <w:rsid w:val="00143110"/>
    <w:rsid w:val="001434EA"/>
    <w:rsid w:val="00143814"/>
    <w:rsid w:val="001438EA"/>
    <w:rsid w:val="001445AC"/>
    <w:rsid w:val="00144B67"/>
    <w:rsid w:val="00144BF2"/>
    <w:rsid w:val="0014585D"/>
    <w:rsid w:val="00145944"/>
    <w:rsid w:val="00145AD1"/>
    <w:rsid w:val="00145EA8"/>
    <w:rsid w:val="001462A0"/>
    <w:rsid w:val="00146314"/>
    <w:rsid w:val="001466F3"/>
    <w:rsid w:val="00146C11"/>
    <w:rsid w:val="00147195"/>
    <w:rsid w:val="00150706"/>
    <w:rsid w:val="00150793"/>
    <w:rsid w:val="00150D38"/>
    <w:rsid w:val="00151260"/>
    <w:rsid w:val="001514CB"/>
    <w:rsid w:val="001528EE"/>
    <w:rsid w:val="00152B9C"/>
    <w:rsid w:val="00153077"/>
    <w:rsid w:val="001535F3"/>
    <w:rsid w:val="00153DF3"/>
    <w:rsid w:val="001540A7"/>
    <w:rsid w:val="00154247"/>
    <w:rsid w:val="001545C4"/>
    <w:rsid w:val="00154DE5"/>
    <w:rsid w:val="00154F9A"/>
    <w:rsid w:val="00154FA1"/>
    <w:rsid w:val="00155948"/>
    <w:rsid w:val="00156356"/>
    <w:rsid w:val="00156A3B"/>
    <w:rsid w:val="00156B18"/>
    <w:rsid w:val="00156F40"/>
    <w:rsid w:val="00157673"/>
    <w:rsid w:val="00157B70"/>
    <w:rsid w:val="00157EC4"/>
    <w:rsid w:val="00157EF5"/>
    <w:rsid w:val="001606A4"/>
    <w:rsid w:val="00160A10"/>
    <w:rsid w:val="00160C5B"/>
    <w:rsid w:val="0016116C"/>
    <w:rsid w:val="0016122A"/>
    <w:rsid w:val="00161F90"/>
    <w:rsid w:val="001623A2"/>
    <w:rsid w:val="00162F68"/>
    <w:rsid w:val="00163645"/>
    <w:rsid w:val="001637C9"/>
    <w:rsid w:val="001642C0"/>
    <w:rsid w:val="001643F8"/>
    <w:rsid w:val="00164FAD"/>
    <w:rsid w:val="00165DB5"/>
    <w:rsid w:val="00165FF0"/>
    <w:rsid w:val="00166023"/>
    <w:rsid w:val="001668BD"/>
    <w:rsid w:val="00170EFE"/>
    <w:rsid w:val="00171F8E"/>
    <w:rsid w:val="0017216E"/>
    <w:rsid w:val="0017293F"/>
    <w:rsid w:val="00172AEE"/>
    <w:rsid w:val="00173750"/>
    <w:rsid w:val="00173987"/>
    <w:rsid w:val="001740AD"/>
    <w:rsid w:val="00174708"/>
    <w:rsid w:val="0017483F"/>
    <w:rsid w:val="00174A57"/>
    <w:rsid w:val="00174C24"/>
    <w:rsid w:val="00175539"/>
    <w:rsid w:val="00175890"/>
    <w:rsid w:val="00176340"/>
    <w:rsid w:val="00176AE7"/>
    <w:rsid w:val="00176CB6"/>
    <w:rsid w:val="00176E98"/>
    <w:rsid w:val="00177307"/>
    <w:rsid w:val="00180093"/>
    <w:rsid w:val="00180811"/>
    <w:rsid w:val="001808E6"/>
    <w:rsid w:val="00180AEF"/>
    <w:rsid w:val="0018154E"/>
    <w:rsid w:val="00181FCA"/>
    <w:rsid w:val="001820C4"/>
    <w:rsid w:val="001824F0"/>
    <w:rsid w:val="00182A2B"/>
    <w:rsid w:val="00182A94"/>
    <w:rsid w:val="00182C1A"/>
    <w:rsid w:val="00182D63"/>
    <w:rsid w:val="00182F27"/>
    <w:rsid w:val="00183392"/>
    <w:rsid w:val="0018398A"/>
    <w:rsid w:val="00183D5F"/>
    <w:rsid w:val="00183EA5"/>
    <w:rsid w:val="00183FAF"/>
    <w:rsid w:val="00184502"/>
    <w:rsid w:val="001845D5"/>
    <w:rsid w:val="00184FF1"/>
    <w:rsid w:val="001850C5"/>
    <w:rsid w:val="0018526D"/>
    <w:rsid w:val="00185A12"/>
    <w:rsid w:val="00185BF6"/>
    <w:rsid w:val="00185D08"/>
    <w:rsid w:val="00186C81"/>
    <w:rsid w:val="00186DF9"/>
    <w:rsid w:val="00187588"/>
    <w:rsid w:val="00187C31"/>
    <w:rsid w:val="00190983"/>
    <w:rsid w:val="0019151C"/>
    <w:rsid w:val="00191AA6"/>
    <w:rsid w:val="00191AB6"/>
    <w:rsid w:val="00191F79"/>
    <w:rsid w:val="00192130"/>
    <w:rsid w:val="0019213B"/>
    <w:rsid w:val="0019232E"/>
    <w:rsid w:val="0019239F"/>
    <w:rsid w:val="001924F6"/>
    <w:rsid w:val="00192CDB"/>
    <w:rsid w:val="00193B79"/>
    <w:rsid w:val="00193D9B"/>
    <w:rsid w:val="00193F20"/>
    <w:rsid w:val="0019413C"/>
    <w:rsid w:val="001941E4"/>
    <w:rsid w:val="0019494B"/>
    <w:rsid w:val="00195CF2"/>
    <w:rsid w:val="00195EF2"/>
    <w:rsid w:val="00195FB3"/>
    <w:rsid w:val="001965AA"/>
    <w:rsid w:val="0019667B"/>
    <w:rsid w:val="001968E4"/>
    <w:rsid w:val="001968FA"/>
    <w:rsid w:val="001971AE"/>
    <w:rsid w:val="00197278"/>
    <w:rsid w:val="00197392"/>
    <w:rsid w:val="00197764"/>
    <w:rsid w:val="00197A5C"/>
    <w:rsid w:val="00197EC3"/>
    <w:rsid w:val="00197FB1"/>
    <w:rsid w:val="001A0601"/>
    <w:rsid w:val="001A0BB0"/>
    <w:rsid w:val="001A1837"/>
    <w:rsid w:val="001A1C51"/>
    <w:rsid w:val="001A236F"/>
    <w:rsid w:val="001A28BA"/>
    <w:rsid w:val="001A2E1E"/>
    <w:rsid w:val="001A3051"/>
    <w:rsid w:val="001A3387"/>
    <w:rsid w:val="001A3D3E"/>
    <w:rsid w:val="001A4493"/>
    <w:rsid w:val="001A4589"/>
    <w:rsid w:val="001A5210"/>
    <w:rsid w:val="001A5350"/>
    <w:rsid w:val="001A5398"/>
    <w:rsid w:val="001A59AF"/>
    <w:rsid w:val="001A6777"/>
    <w:rsid w:val="001A6F14"/>
    <w:rsid w:val="001A718F"/>
    <w:rsid w:val="001A75B9"/>
    <w:rsid w:val="001B1226"/>
    <w:rsid w:val="001B175D"/>
    <w:rsid w:val="001B18AA"/>
    <w:rsid w:val="001B18C3"/>
    <w:rsid w:val="001B1C70"/>
    <w:rsid w:val="001B20E4"/>
    <w:rsid w:val="001B2BA9"/>
    <w:rsid w:val="001B2D1F"/>
    <w:rsid w:val="001B2FCD"/>
    <w:rsid w:val="001B3285"/>
    <w:rsid w:val="001B370A"/>
    <w:rsid w:val="001B3BA9"/>
    <w:rsid w:val="001B3E1C"/>
    <w:rsid w:val="001B4165"/>
    <w:rsid w:val="001B44DB"/>
    <w:rsid w:val="001B4692"/>
    <w:rsid w:val="001B5C73"/>
    <w:rsid w:val="001B5EA6"/>
    <w:rsid w:val="001B7D4C"/>
    <w:rsid w:val="001C0F05"/>
    <w:rsid w:val="001C110F"/>
    <w:rsid w:val="001C11E5"/>
    <w:rsid w:val="001C15B0"/>
    <w:rsid w:val="001C239A"/>
    <w:rsid w:val="001C2EE5"/>
    <w:rsid w:val="001C486C"/>
    <w:rsid w:val="001C4B35"/>
    <w:rsid w:val="001C4CCF"/>
    <w:rsid w:val="001C501A"/>
    <w:rsid w:val="001C5CC2"/>
    <w:rsid w:val="001C61DB"/>
    <w:rsid w:val="001C6573"/>
    <w:rsid w:val="001C6709"/>
    <w:rsid w:val="001C6BA6"/>
    <w:rsid w:val="001C6CCD"/>
    <w:rsid w:val="001C726D"/>
    <w:rsid w:val="001C78CA"/>
    <w:rsid w:val="001D01FB"/>
    <w:rsid w:val="001D0221"/>
    <w:rsid w:val="001D127E"/>
    <w:rsid w:val="001D13AD"/>
    <w:rsid w:val="001D156F"/>
    <w:rsid w:val="001D15E5"/>
    <w:rsid w:val="001D2381"/>
    <w:rsid w:val="001D2CE9"/>
    <w:rsid w:val="001D34AF"/>
    <w:rsid w:val="001D3E63"/>
    <w:rsid w:val="001D40DA"/>
    <w:rsid w:val="001D419F"/>
    <w:rsid w:val="001D4260"/>
    <w:rsid w:val="001D5D9A"/>
    <w:rsid w:val="001D6081"/>
    <w:rsid w:val="001D6F2E"/>
    <w:rsid w:val="001D71BC"/>
    <w:rsid w:val="001D7230"/>
    <w:rsid w:val="001D755A"/>
    <w:rsid w:val="001E0034"/>
    <w:rsid w:val="001E0367"/>
    <w:rsid w:val="001E11E2"/>
    <w:rsid w:val="001E27FB"/>
    <w:rsid w:val="001E2AC0"/>
    <w:rsid w:val="001E2B1A"/>
    <w:rsid w:val="001E373E"/>
    <w:rsid w:val="001E3753"/>
    <w:rsid w:val="001E383E"/>
    <w:rsid w:val="001E3C3A"/>
    <w:rsid w:val="001E4011"/>
    <w:rsid w:val="001E4456"/>
    <w:rsid w:val="001E44C8"/>
    <w:rsid w:val="001E46DF"/>
    <w:rsid w:val="001E4E88"/>
    <w:rsid w:val="001E4F61"/>
    <w:rsid w:val="001E4FFF"/>
    <w:rsid w:val="001E5BEE"/>
    <w:rsid w:val="001E619D"/>
    <w:rsid w:val="001E66FF"/>
    <w:rsid w:val="001E68EE"/>
    <w:rsid w:val="001E751C"/>
    <w:rsid w:val="001E77C4"/>
    <w:rsid w:val="001E7EA4"/>
    <w:rsid w:val="001F00B7"/>
    <w:rsid w:val="001F1092"/>
    <w:rsid w:val="001F1393"/>
    <w:rsid w:val="001F1E88"/>
    <w:rsid w:val="001F2337"/>
    <w:rsid w:val="001F2FB5"/>
    <w:rsid w:val="001F367C"/>
    <w:rsid w:val="001F39B5"/>
    <w:rsid w:val="001F4EB9"/>
    <w:rsid w:val="001F4FDB"/>
    <w:rsid w:val="001F540A"/>
    <w:rsid w:val="001F550F"/>
    <w:rsid w:val="001F5D2F"/>
    <w:rsid w:val="001F5D9B"/>
    <w:rsid w:val="001F5E01"/>
    <w:rsid w:val="001F5E20"/>
    <w:rsid w:val="001F5FA3"/>
    <w:rsid w:val="001F60AC"/>
    <w:rsid w:val="001F6E1E"/>
    <w:rsid w:val="001F6F0C"/>
    <w:rsid w:val="001F74B9"/>
    <w:rsid w:val="001F7F82"/>
    <w:rsid w:val="002002AA"/>
    <w:rsid w:val="002003C3"/>
    <w:rsid w:val="0020162F"/>
    <w:rsid w:val="002019D1"/>
    <w:rsid w:val="00201E8F"/>
    <w:rsid w:val="002023B3"/>
    <w:rsid w:val="002023E6"/>
    <w:rsid w:val="00202CDB"/>
    <w:rsid w:val="00203052"/>
    <w:rsid w:val="00204381"/>
    <w:rsid w:val="00204779"/>
    <w:rsid w:val="00204799"/>
    <w:rsid w:val="00204EBE"/>
    <w:rsid w:val="002051EA"/>
    <w:rsid w:val="00205B05"/>
    <w:rsid w:val="002060C2"/>
    <w:rsid w:val="00207674"/>
    <w:rsid w:val="002076D5"/>
    <w:rsid w:val="0021028A"/>
    <w:rsid w:val="002110A3"/>
    <w:rsid w:val="002111F3"/>
    <w:rsid w:val="002117F4"/>
    <w:rsid w:val="002118E8"/>
    <w:rsid w:val="00211A18"/>
    <w:rsid w:val="00212024"/>
    <w:rsid w:val="00212116"/>
    <w:rsid w:val="00212428"/>
    <w:rsid w:val="00212798"/>
    <w:rsid w:val="00213180"/>
    <w:rsid w:val="002136EF"/>
    <w:rsid w:val="00213A5A"/>
    <w:rsid w:val="00213D58"/>
    <w:rsid w:val="00213EB4"/>
    <w:rsid w:val="002142CA"/>
    <w:rsid w:val="0021481A"/>
    <w:rsid w:val="00214D1A"/>
    <w:rsid w:val="00214DE6"/>
    <w:rsid w:val="00214EEA"/>
    <w:rsid w:val="00214FE1"/>
    <w:rsid w:val="00215254"/>
    <w:rsid w:val="00215ADA"/>
    <w:rsid w:val="00215CB9"/>
    <w:rsid w:val="002162F2"/>
    <w:rsid w:val="00216326"/>
    <w:rsid w:val="00216648"/>
    <w:rsid w:val="00216651"/>
    <w:rsid w:val="0021671E"/>
    <w:rsid w:val="00216AAD"/>
    <w:rsid w:val="00216C9A"/>
    <w:rsid w:val="00216D51"/>
    <w:rsid w:val="00217096"/>
    <w:rsid w:val="002174C9"/>
    <w:rsid w:val="00217724"/>
    <w:rsid w:val="00217C7A"/>
    <w:rsid w:val="00217E93"/>
    <w:rsid w:val="00220265"/>
    <w:rsid w:val="0022027B"/>
    <w:rsid w:val="0022064B"/>
    <w:rsid w:val="00220699"/>
    <w:rsid w:val="00220CF8"/>
    <w:rsid w:val="00220D8D"/>
    <w:rsid w:val="0022151A"/>
    <w:rsid w:val="002215FD"/>
    <w:rsid w:val="002216C7"/>
    <w:rsid w:val="00221E48"/>
    <w:rsid w:val="00221E8F"/>
    <w:rsid w:val="00222228"/>
    <w:rsid w:val="00222370"/>
    <w:rsid w:val="00222884"/>
    <w:rsid w:val="00223057"/>
    <w:rsid w:val="00223892"/>
    <w:rsid w:val="00223940"/>
    <w:rsid w:val="00223F09"/>
    <w:rsid w:val="002242DD"/>
    <w:rsid w:val="002245C8"/>
    <w:rsid w:val="0022465E"/>
    <w:rsid w:val="00225164"/>
    <w:rsid w:val="00225168"/>
    <w:rsid w:val="0022617E"/>
    <w:rsid w:val="00227614"/>
    <w:rsid w:val="0023041D"/>
    <w:rsid w:val="00230E2C"/>
    <w:rsid w:val="00231385"/>
    <w:rsid w:val="002316E9"/>
    <w:rsid w:val="002326C1"/>
    <w:rsid w:val="00232A8A"/>
    <w:rsid w:val="00233032"/>
    <w:rsid w:val="002332F7"/>
    <w:rsid w:val="00233986"/>
    <w:rsid w:val="00233D50"/>
    <w:rsid w:val="00234372"/>
    <w:rsid w:val="00234798"/>
    <w:rsid w:val="00234B56"/>
    <w:rsid w:val="00235472"/>
    <w:rsid w:val="00240C3D"/>
    <w:rsid w:val="00240D9B"/>
    <w:rsid w:val="002413A5"/>
    <w:rsid w:val="002421FC"/>
    <w:rsid w:val="00242676"/>
    <w:rsid w:val="002433B0"/>
    <w:rsid w:val="002433FD"/>
    <w:rsid w:val="00243641"/>
    <w:rsid w:val="0024415B"/>
    <w:rsid w:val="00244642"/>
    <w:rsid w:val="00244D15"/>
    <w:rsid w:val="00244E1B"/>
    <w:rsid w:val="00245474"/>
    <w:rsid w:val="002462FC"/>
    <w:rsid w:val="00246417"/>
    <w:rsid w:val="00246AFE"/>
    <w:rsid w:val="0024752F"/>
    <w:rsid w:val="00247C3E"/>
    <w:rsid w:val="002500E6"/>
    <w:rsid w:val="00250302"/>
    <w:rsid w:val="002503BA"/>
    <w:rsid w:val="00251005"/>
    <w:rsid w:val="0025173F"/>
    <w:rsid w:val="00251963"/>
    <w:rsid w:val="00251F57"/>
    <w:rsid w:val="0025220D"/>
    <w:rsid w:val="002529E3"/>
    <w:rsid w:val="00252E78"/>
    <w:rsid w:val="00253103"/>
    <w:rsid w:val="0025359A"/>
    <w:rsid w:val="002539F9"/>
    <w:rsid w:val="00253D47"/>
    <w:rsid w:val="002545AB"/>
    <w:rsid w:val="00254667"/>
    <w:rsid w:val="0025469B"/>
    <w:rsid w:val="00254701"/>
    <w:rsid w:val="00254DAC"/>
    <w:rsid w:val="00254F00"/>
    <w:rsid w:val="00255101"/>
    <w:rsid w:val="002553EF"/>
    <w:rsid w:val="0025556C"/>
    <w:rsid w:val="002555A1"/>
    <w:rsid w:val="002557F9"/>
    <w:rsid w:val="002559EF"/>
    <w:rsid w:val="0025637F"/>
    <w:rsid w:val="002567D3"/>
    <w:rsid w:val="00256C8E"/>
    <w:rsid w:val="00256E34"/>
    <w:rsid w:val="002572C6"/>
    <w:rsid w:val="00257669"/>
    <w:rsid w:val="00257837"/>
    <w:rsid w:val="00257A26"/>
    <w:rsid w:val="002605A7"/>
    <w:rsid w:val="00260847"/>
    <w:rsid w:val="00261653"/>
    <w:rsid w:val="0026189C"/>
    <w:rsid w:val="00261CC4"/>
    <w:rsid w:val="00262391"/>
    <w:rsid w:val="0026368D"/>
    <w:rsid w:val="00263A27"/>
    <w:rsid w:val="0026424C"/>
    <w:rsid w:val="002642FC"/>
    <w:rsid w:val="0026495C"/>
    <w:rsid w:val="0026544D"/>
    <w:rsid w:val="00266AF5"/>
    <w:rsid w:val="00266D04"/>
    <w:rsid w:val="002674FC"/>
    <w:rsid w:val="00267867"/>
    <w:rsid w:val="00267BF7"/>
    <w:rsid w:val="002701ED"/>
    <w:rsid w:val="0027076E"/>
    <w:rsid w:val="002715E5"/>
    <w:rsid w:val="00271642"/>
    <w:rsid w:val="00271AF4"/>
    <w:rsid w:val="00272747"/>
    <w:rsid w:val="00272812"/>
    <w:rsid w:val="00272CBF"/>
    <w:rsid w:val="00273557"/>
    <w:rsid w:val="00273AF1"/>
    <w:rsid w:val="00273EB1"/>
    <w:rsid w:val="002742C4"/>
    <w:rsid w:val="0027478C"/>
    <w:rsid w:val="002747FE"/>
    <w:rsid w:val="002748F0"/>
    <w:rsid w:val="002749F4"/>
    <w:rsid w:val="00274CEA"/>
    <w:rsid w:val="00276E87"/>
    <w:rsid w:val="002776C7"/>
    <w:rsid w:val="00280101"/>
    <w:rsid w:val="00280569"/>
    <w:rsid w:val="0028159B"/>
    <w:rsid w:val="00281C9E"/>
    <w:rsid w:val="00282DC0"/>
    <w:rsid w:val="00283343"/>
    <w:rsid w:val="00283475"/>
    <w:rsid w:val="00283A30"/>
    <w:rsid w:val="002841B8"/>
    <w:rsid w:val="002843A3"/>
    <w:rsid w:val="00284488"/>
    <w:rsid w:val="00284996"/>
    <w:rsid w:val="00284D15"/>
    <w:rsid w:val="00285044"/>
    <w:rsid w:val="0028509E"/>
    <w:rsid w:val="002852B7"/>
    <w:rsid w:val="0028534D"/>
    <w:rsid w:val="00285594"/>
    <w:rsid w:val="00285654"/>
    <w:rsid w:val="00285B0D"/>
    <w:rsid w:val="00285BC7"/>
    <w:rsid w:val="0028636E"/>
    <w:rsid w:val="00286740"/>
    <w:rsid w:val="00286955"/>
    <w:rsid w:val="00286AC4"/>
    <w:rsid w:val="00286D83"/>
    <w:rsid w:val="0028710A"/>
    <w:rsid w:val="002873F5"/>
    <w:rsid w:val="002878B9"/>
    <w:rsid w:val="00287E17"/>
    <w:rsid w:val="00287F6C"/>
    <w:rsid w:val="00290163"/>
    <w:rsid w:val="002907AE"/>
    <w:rsid w:val="00290876"/>
    <w:rsid w:val="00290C55"/>
    <w:rsid w:val="00290EE6"/>
    <w:rsid w:val="00292884"/>
    <w:rsid w:val="00292971"/>
    <w:rsid w:val="00292EC1"/>
    <w:rsid w:val="00293051"/>
    <w:rsid w:val="0029338A"/>
    <w:rsid w:val="00293D1E"/>
    <w:rsid w:val="00294203"/>
    <w:rsid w:val="00294726"/>
    <w:rsid w:val="0029481A"/>
    <w:rsid w:val="00294B02"/>
    <w:rsid w:val="00294D83"/>
    <w:rsid w:val="00295917"/>
    <w:rsid w:val="0029593D"/>
    <w:rsid w:val="00295C97"/>
    <w:rsid w:val="002961BB"/>
    <w:rsid w:val="002968B1"/>
    <w:rsid w:val="002968FE"/>
    <w:rsid w:val="00296A66"/>
    <w:rsid w:val="00296F46"/>
    <w:rsid w:val="0029717D"/>
    <w:rsid w:val="00297C07"/>
    <w:rsid w:val="002A1277"/>
    <w:rsid w:val="002A1772"/>
    <w:rsid w:val="002A29F2"/>
    <w:rsid w:val="002A3086"/>
    <w:rsid w:val="002A362E"/>
    <w:rsid w:val="002A3C2E"/>
    <w:rsid w:val="002A4706"/>
    <w:rsid w:val="002A4845"/>
    <w:rsid w:val="002A50A9"/>
    <w:rsid w:val="002A5F57"/>
    <w:rsid w:val="002A6CBF"/>
    <w:rsid w:val="002A6D63"/>
    <w:rsid w:val="002A748F"/>
    <w:rsid w:val="002A77C1"/>
    <w:rsid w:val="002A7C62"/>
    <w:rsid w:val="002A7DAC"/>
    <w:rsid w:val="002B02E8"/>
    <w:rsid w:val="002B0384"/>
    <w:rsid w:val="002B1377"/>
    <w:rsid w:val="002B14CD"/>
    <w:rsid w:val="002B1CF0"/>
    <w:rsid w:val="002B1EA6"/>
    <w:rsid w:val="002B2304"/>
    <w:rsid w:val="002B25B2"/>
    <w:rsid w:val="002B25DE"/>
    <w:rsid w:val="002B2668"/>
    <w:rsid w:val="002B2B10"/>
    <w:rsid w:val="002B2B8E"/>
    <w:rsid w:val="002B2EF8"/>
    <w:rsid w:val="002B3244"/>
    <w:rsid w:val="002B3B20"/>
    <w:rsid w:val="002B3E0D"/>
    <w:rsid w:val="002B3E89"/>
    <w:rsid w:val="002B484C"/>
    <w:rsid w:val="002B4D3E"/>
    <w:rsid w:val="002B5D34"/>
    <w:rsid w:val="002B6133"/>
    <w:rsid w:val="002B695A"/>
    <w:rsid w:val="002B6BB4"/>
    <w:rsid w:val="002B70B4"/>
    <w:rsid w:val="002B73E2"/>
    <w:rsid w:val="002B7904"/>
    <w:rsid w:val="002B79DA"/>
    <w:rsid w:val="002B7F0D"/>
    <w:rsid w:val="002B7F97"/>
    <w:rsid w:val="002C0110"/>
    <w:rsid w:val="002C0363"/>
    <w:rsid w:val="002C04B2"/>
    <w:rsid w:val="002C079D"/>
    <w:rsid w:val="002C096A"/>
    <w:rsid w:val="002C0992"/>
    <w:rsid w:val="002C12D6"/>
    <w:rsid w:val="002C18B7"/>
    <w:rsid w:val="002C1B26"/>
    <w:rsid w:val="002C23BF"/>
    <w:rsid w:val="002C24D7"/>
    <w:rsid w:val="002C286D"/>
    <w:rsid w:val="002C2CAC"/>
    <w:rsid w:val="002C2F4E"/>
    <w:rsid w:val="002C30BA"/>
    <w:rsid w:val="002C33B7"/>
    <w:rsid w:val="002C3578"/>
    <w:rsid w:val="002C3D30"/>
    <w:rsid w:val="002C3ED6"/>
    <w:rsid w:val="002C4104"/>
    <w:rsid w:val="002C418B"/>
    <w:rsid w:val="002C4201"/>
    <w:rsid w:val="002C468E"/>
    <w:rsid w:val="002C48C0"/>
    <w:rsid w:val="002C4D33"/>
    <w:rsid w:val="002C522A"/>
    <w:rsid w:val="002C61EB"/>
    <w:rsid w:val="002C64F3"/>
    <w:rsid w:val="002C6996"/>
    <w:rsid w:val="002C69F6"/>
    <w:rsid w:val="002C6C5B"/>
    <w:rsid w:val="002C6EB5"/>
    <w:rsid w:val="002C7537"/>
    <w:rsid w:val="002C786E"/>
    <w:rsid w:val="002D00C7"/>
    <w:rsid w:val="002D0399"/>
    <w:rsid w:val="002D0882"/>
    <w:rsid w:val="002D1067"/>
    <w:rsid w:val="002D11C6"/>
    <w:rsid w:val="002D1252"/>
    <w:rsid w:val="002D17E3"/>
    <w:rsid w:val="002D2739"/>
    <w:rsid w:val="002D2B07"/>
    <w:rsid w:val="002D2DC4"/>
    <w:rsid w:val="002D2FA5"/>
    <w:rsid w:val="002D3AE3"/>
    <w:rsid w:val="002D3F6E"/>
    <w:rsid w:val="002D516B"/>
    <w:rsid w:val="002D51C1"/>
    <w:rsid w:val="002D527A"/>
    <w:rsid w:val="002D5811"/>
    <w:rsid w:val="002D5E5D"/>
    <w:rsid w:val="002D6978"/>
    <w:rsid w:val="002D6A0C"/>
    <w:rsid w:val="002D6A9D"/>
    <w:rsid w:val="002D72DE"/>
    <w:rsid w:val="002D7651"/>
    <w:rsid w:val="002D7BAD"/>
    <w:rsid w:val="002D7BFC"/>
    <w:rsid w:val="002E029F"/>
    <w:rsid w:val="002E130D"/>
    <w:rsid w:val="002E1ADD"/>
    <w:rsid w:val="002E1EDB"/>
    <w:rsid w:val="002E20E4"/>
    <w:rsid w:val="002E2255"/>
    <w:rsid w:val="002E2470"/>
    <w:rsid w:val="002E2C27"/>
    <w:rsid w:val="002E2D64"/>
    <w:rsid w:val="002E2F63"/>
    <w:rsid w:val="002E3011"/>
    <w:rsid w:val="002E339C"/>
    <w:rsid w:val="002E33CD"/>
    <w:rsid w:val="002E3526"/>
    <w:rsid w:val="002E4150"/>
    <w:rsid w:val="002E43D0"/>
    <w:rsid w:val="002E4899"/>
    <w:rsid w:val="002E49A6"/>
    <w:rsid w:val="002E5788"/>
    <w:rsid w:val="002E5EF1"/>
    <w:rsid w:val="002E6BF7"/>
    <w:rsid w:val="002E6EAB"/>
    <w:rsid w:val="002E7799"/>
    <w:rsid w:val="002E7F57"/>
    <w:rsid w:val="002F013B"/>
    <w:rsid w:val="002F02EF"/>
    <w:rsid w:val="002F0511"/>
    <w:rsid w:val="002F0583"/>
    <w:rsid w:val="002F0637"/>
    <w:rsid w:val="002F094A"/>
    <w:rsid w:val="002F0E98"/>
    <w:rsid w:val="002F209C"/>
    <w:rsid w:val="002F28B4"/>
    <w:rsid w:val="002F2AA4"/>
    <w:rsid w:val="002F37A8"/>
    <w:rsid w:val="002F387E"/>
    <w:rsid w:val="002F3E25"/>
    <w:rsid w:val="002F4E32"/>
    <w:rsid w:val="002F5021"/>
    <w:rsid w:val="002F50A5"/>
    <w:rsid w:val="002F50FC"/>
    <w:rsid w:val="002F5497"/>
    <w:rsid w:val="002F56B6"/>
    <w:rsid w:val="002F6391"/>
    <w:rsid w:val="002F68BA"/>
    <w:rsid w:val="002F6AC3"/>
    <w:rsid w:val="002F6D4A"/>
    <w:rsid w:val="002F748D"/>
    <w:rsid w:val="002F781A"/>
    <w:rsid w:val="002F7EAC"/>
    <w:rsid w:val="003000A1"/>
    <w:rsid w:val="00300566"/>
    <w:rsid w:val="003006DA"/>
    <w:rsid w:val="0030071E"/>
    <w:rsid w:val="00300C77"/>
    <w:rsid w:val="00300DE1"/>
    <w:rsid w:val="00300E8B"/>
    <w:rsid w:val="0030108C"/>
    <w:rsid w:val="00301354"/>
    <w:rsid w:val="003015BA"/>
    <w:rsid w:val="003019BB"/>
    <w:rsid w:val="00301DD4"/>
    <w:rsid w:val="00301E6A"/>
    <w:rsid w:val="00302CD2"/>
    <w:rsid w:val="00302DB9"/>
    <w:rsid w:val="0030300D"/>
    <w:rsid w:val="00303208"/>
    <w:rsid w:val="00303427"/>
    <w:rsid w:val="0030350B"/>
    <w:rsid w:val="00303543"/>
    <w:rsid w:val="00303716"/>
    <w:rsid w:val="00303B0B"/>
    <w:rsid w:val="00303BB4"/>
    <w:rsid w:val="00304129"/>
    <w:rsid w:val="00304C0D"/>
    <w:rsid w:val="00304DDA"/>
    <w:rsid w:val="00304EE1"/>
    <w:rsid w:val="0030576D"/>
    <w:rsid w:val="00305CF4"/>
    <w:rsid w:val="00305F56"/>
    <w:rsid w:val="00306797"/>
    <w:rsid w:val="0030730F"/>
    <w:rsid w:val="0030745D"/>
    <w:rsid w:val="00307BFD"/>
    <w:rsid w:val="00307E09"/>
    <w:rsid w:val="00307E4B"/>
    <w:rsid w:val="00307F21"/>
    <w:rsid w:val="00310430"/>
    <w:rsid w:val="003114FA"/>
    <w:rsid w:val="00311BEA"/>
    <w:rsid w:val="00311D3A"/>
    <w:rsid w:val="00311D79"/>
    <w:rsid w:val="00312B38"/>
    <w:rsid w:val="00313567"/>
    <w:rsid w:val="00313799"/>
    <w:rsid w:val="00313907"/>
    <w:rsid w:val="00313A44"/>
    <w:rsid w:val="00313E37"/>
    <w:rsid w:val="00314D1E"/>
    <w:rsid w:val="00314D2D"/>
    <w:rsid w:val="00315241"/>
    <w:rsid w:val="003153BB"/>
    <w:rsid w:val="003159D9"/>
    <w:rsid w:val="00316082"/>
    <w:rsid w:val="00317112"/>
    <w:rsid w:val="0031729F"/>
    <w:rsid w:val="00317453"/>
    <w:rsid w:val="003174F8"/>
    <w:rsid w:val="00317B1C"/>
    <w:rsid w:val="00317FD8"/>
    <w:rsid w:val="00320B2A"/>
    <w:rsid w:val="00320F20"/>
    <w:rsid w:val="00320F27"/>
    <w:rsid w:val="00321558"/>
    <w:rsid w:val="00321743"/>
    <w:rsid w:val="00322176"/>
    <w:rsid w:val="00322BE4"/>
    <w:rsid w:val="00322FA8"/>
    <w:rsid w:val="00323085"/>
    <w:rsid w:val="00324DD1"/>
    <w:rsid w:val="00325472"/>
    <w:rsid w:val="00325769"/>
    <w:rsid w:val="00325AC3"/>
    <w:rsid w:val="00326155"/>
    <w:rsid w:val="00326B55"/>
    <w:rsid w:val="00327236"/>
    <w:rsid w:val="00327425"/>
    <w:rsid w:val="00330509"/>
    <w:rsid w:val="003308A9"/>
    <w:rsid w:val="00330C3B"/>
    <w:rsid w:val="0033105F"/>
    <w:rsid w:val="003310A7"/>
    <w:rsid w:val="003311C5"/>
    <w:rsid w:val="00331492"/>
    <w:rsid w:val="00332972"/>
    <w:rsid w:val="0033309B"/>
    <w:rsid w:val="00333789"/>
    <w:rsid w:val="00333B5E"/>
    <w:rsid w:val="00333CDF"/>
    <w:rsid w:val="0033470F"/>
    <w:rsid w:val="00334766"/>
    <w:rsid w:val="00334E1E"/>
    <w:rsid w:val="00335122"/>
    <w:rsid w:val="00335348"/>
    <w:rsid w:val="00335F25"/>
    <w:rsid w:val="00336631"/>
    <w:rsid w:val="003368A9"/>
    <w:rsid w:val="00337244"/>
    <w:rsid w:val="00337793"/>
    <w:rsid w:val="00337863"/>
    <w:rsid w:val="00337CA7"/>
    <w:rsid w:val="00340786"/>
    <w:rsid w:val="00340CE0"/>
    <w:rsid w:val="00340EBD"/>
    <w:rsid w:val="00341061"/>
    <w:rsid w:val="003418A7"/>
    <w:rsid w:val="00342018"/>
    <w:rsid w:val="00342205"/>
    <w:rsid w:val="003423EB"/>
    <w:rsid w:val="003429F1"/>
    <w:rsid w:val="00342B71"/>
    <w:rsid w:val="00342EDD"/>
    <w:rsid w:val="0034309B"/>
    <w:rsid w:val="00343737"/>
    <w:rsid w:val="00344353"/>
    <w:rsid w:val="00344B38"/>
    <w:rsid w:val="003451DF"/>
    <w:rsid w:val="003459AC"/>
    <w:rsid w:val="00345E1A"/>
    <w:rsid w:val="003464BD"/>
    <w:rsid w:val="00346E32"/>
    <w:rsid w:val="0034755B"/>
    <w:rsid w:val="00347A59"/>
    <w:rsid w:val="00350336"/>
    <w:rsid w:val="00351513"/>
    <w:rsid w:val="00351947"/>
    <w:rsid w:val="00351BD9"/>
    <w:rsid w:val="00352C2B"/>
    <w:rsid w:val="00352F76"/>
    <w:rsid w:val="0035338B"/>
    <w:rsid w:val="003533A4"/>
    <w:rsid w:val="0035368F"/>
    <w:rsid w:val="00353843"/>
    <w:rsid w:val="00353979"/>
    <w:rsid w:val="00354E8D"/>
    <w:rsid w:val="0035525B"/>
    <w:rsid w:val="003554A7"/>
    <w:rsid w:val="00355C2D"/>
    <w:rsid w:val="00356575"/>
    <w:rsid w:val="00356CE8"/>
    <w:rsid w:val="00357974"/>
    <w:rsid w:val="003579F2"/>
    <w:rsid w:val="00360058"/>
    <w:rsid w:val="00360470"/>
    <w:rsid w:val="00360BE6"/>
    <w:rsid w:val="00361524"/>
    <w:rsid w:val="00361BE3"/>
    <w:rsid w:val="00361EAF"/>
    <w:rsid w:val="00361FC7"/>
    <w:rsid w:val="00362463"/>
    <w:rsid w:val="0036257D"/>
    <w:rsid w:val="00363014"/>
    <w:rsid w:val="0036316C"/>
    <w:rsid w:val="00363315"/>
    <w:rsid w:val="0036333F"/>
    <w:rsid w:val="003636BA"/>
    <w:rsid w:val="00363C1A"/>
    <w:rsid w:val="00363E99"/>
    <w:rsid w:val="00364563"/>
    <w:rsid w:val="00365690"/>
    <w:rsid w:val="0036577B"/>
    <w:rsid w:val="00365959"/>
    <w:rsid w:val="003665D4"/>
    <w:rsid w:val="003674D9"/>
    <w:rsid w:val="00367850"/>
    <w:rsid w:val="0037017F"/>
    <w:rsid w:val="00370377"/>
    <w:rsid w:val="00371384"/>
    <w:rsid w:val="00371EEF"/>
    <w:rsid w:val="00372965"/>
    <w:rsid w:val="00372C6F"/>
    <w:rsid w:val="00372FFF"/>
    <w:rsid w:val="00373E32"/>
    <w:rsid w:val="00373F70"/>
    <w:rsid w:val="003748CB"/>
    <w:rsid w:val="00374CB3"/>
    <w:rsid w:val="00374F93"/>
    <w:rsid w:val="00375136"/>
    <w:rsid w:val="00375629"/>
    <w:rsid w:val="00375C31"/>
    <w:rsid w:val="00376467"/>
    <w:rsid w:val="00376A38"/>
    <w:rsid w:val="00377E04"/>
    <w:rsid w:val="00377FA0"/>
    <w:rsid w:val="00380F3E"/>
    <w:rsid w:val="00380F49"/>
    <w:rsid w:val="003810AB"/>
    <w:rsid w:val="0038150E"/>
    <w:rsid w:val="00381745"/>
    <w:rsid w:val="00381764"/>
    <w:rsid w:val="003818CF"/>
    <w:rsid w:val="003830A7"/>
    <w:rsid w:val="0038363F"/>
    <w:rsid w:val="00383E33"/>
    <w:rsid w:val="003849E0"/>
    <w:rsid w:val="00384DDA"/>
    <w:rsid w:val="003854E9"/>
    <w:rsid w:val="0038577D"/>
    <w:rsid w:val="00385C8A"/>
    <w:rsid w:val="00386827"/>
    <w:rsid w:val="0038746F"/>
    <w:rsid w:val="00390575"/>
    <w:rsid w:val="003906CD"/>
    <w:rsid w:val="0039078D"/>
    <w:rsid w:val="00391125"/>
    <w:rsid w:val="00391B23"/>
    <w:rsid w:val="00391F0E"/>
    <w:rsid w:val="003922B1"/>
    <w:rsid w:val="0039296F"/>
    <w:rsid w:val="003930B5"/>
    <w:rsid w:val="0039313C"/>
    <w:rsid w:val="0039334A"/>
    <w:rsid w:val="00393468"/>
    <w:rsid w:val="00393585"/>
    <w:rsid w:val="003935B9"/>
    <w:rsid w:val="00394D97"/>
    <w:rsid w:val="00395CCF"/>
    <w:rsid w:val="00396338"/>
    <w:rsid w:val="003967B0"/>
    <w:rsid w:val="00396958"/>
    <w:rsid w:val="00396B1E"/>
    <w:rsid w:val="00396BCA"/>
    <w:rsid w:val="00396E17"/>
    <w:rsid w:val="003A06C5"/>
    <w:rsid w:val="003A0890"/>
    <w:rsid w:val="003A0A29"/>
    <w:rsid w:val="003A0C97"/>
    <w:rsid w:val="003A1AF7"/>
    <w:rsid w:val="003A221F"/>
    <w:rsid w:val="003A25F4"/>
    <w:rsid w:val="003A295A"/>
    <w:rsid w:val="003A3159"/>
    <w:rsid w:val="003A39C7"/>
    <w:rsid w:val="003A3AC4"/>
    <w:rsid w:val="003A3D0E"/>
    <w:rsid w:val="003A3D9A"/>
    <w:rsid w:val="003A409D"/>
    <w:rsid w:val="003A4129"/>
    <w:rsid w:val="003A420E"/>
    <w:rsid w:val="003A4801"/>
    <w:rsid w:val="003A48A3"/>
    <w:rsid w:val="003A4AAF"/>
    <w:rsid w:val="003A4B2E"/>
    <w:rsid w:val="003A5166"/>
    <w:rsid w:val="003A54BC"/>
    <w:rsid w:val="003A5737"/>
    <w:rsid w:val="003A589C"/>
    <w:rsid w:val="003A58AF"/>
    <w:rsid w:val="003A5A86"/>
    <w:rsid w:val="003B019B"/>
    <w:rsid w:val="003B01E4"/>
    <w:rsid w:val="003B088E"/>
    <w:rsid w:val="003B1F25"/>
    <w:rsid w:val="003B27DF"/>
    <w:rsid w:val="003B2E07"/>
    <w:rsid w:val="003B353C"/>
    <w:rsid w:val="003B3951"/>
    <w:rsid w:val="003B3BDF"/>
    <w:rsid w:val="003B44AF"/>
    <w:rsid w:val="003B4787"/>
    <w:rsid w:val="003B4F0C"/>
    <w:rsid w:val="003B50BA"/>
    <w:rsid w:val="003B5452"/>
    <w:rsid w:val="003B5717"/>
    <w:rsid w:val="003B5B2E"/>
    <w:rsid w:val="003B5CAF"/>
    <w:rsid w:val="003B5E00"/>
    <w:rsid w:val="003B6166"/>
    <w:rsid w:val="003B6534"/>
    <w:rsid w:val="003B6D41"/>
    <w:rsid w:val="003B7593"/>
    <w:rsid w:val="003B7749"/>
    <w:rsid w:val="003B7C7B"/>
    <w:rsid w:val="003C0E58"/>
    <w:rsid w:val="003C14B1"/>
    <w:rsid w:val="003C1591"/>
    <w:rsid w:val="003C199E"/>
    <w:rsid w:val="003C2280"/>
    <w:rsid w:val="003C2AA7"/>
    <w:rsid w:val="003C2F47"/>
    <w:rsid w:val="003C3846"/>
    <w:rsid w:val="003C44D1"/>
    <w:rsid w:val="003C4733"/>
    <w:rsid w:val="003C4F06"/>
    <w:rsid w:val="003C5A14"/>
    <w:rsid w:val="003C5DE7"/>
    <w:rsid w:val="003C6080"/>
    <w:rsid w:val="003C6592"/>
    <w:rsid w:val="003C667C"/>
    <w:rsid w:val="003C7335"/>
    <w:rsid w:val="003C7651"/>
    <w:rsid w:val="003C7820"/>
    <w:rsid w:val="003C7879"/>
    <w:rsid w:val="003C79DB"/>
    <w:rsid w:val="003D067C"/>
    <w:rsid w:val="003D0906"/>
    <w:rsid w:val="003D0D96"/>
    <w:rsid w:val="003D13D8"/>
    <w:rsid w:val="003D15B7"/>
    <w:rsid w:val="003D15ED"/>
    <w:rsid w:val="003D1608"/>
    <w:rsid w:val="003D2486"/>
    <w:rsid w:val="003D2A35"/>
    <w:rsid w:val="003D321B"/>
    <w:rsid w:val="003D35FA"/>
    <w:rsid w:val="003D37E2"/>
    <w:rsid w:val="003D39EF"/>
    <w:rsid w:val="003D419F"/>
    <w:rsid w:val="003D41BA"/>
    <w:rsid w:val="003D41C7"/>
    <w:rsid w:val="003D420B"/>
    <w:rsid w:val="003D45E1"/>
    <w:rsid w:val="003D4CC1"/>
    <w:rsid w:val="003D529E"/>
    <w:rsid w:val="003D62E7"/>
    <w:rsid w:val="003D6474"/>
    <w:rsid w:val="003D664F"/>
    <w:rsid w:val="003D6670"/>
    <w:rsid w:val="003D6A09"/>
    <w:rsid w:val="003D6F67"/>
    <w:rsid w:val="003D707F"/>
    <w:rsid w:val="003D71D5"/>
    <w:rsid w:val="003D74EF"/>
    <w:rsid w:val="003D7671"/>
    <w:rsid w:val="003E000B"/>
    <w:rsid w:val="003E0CAF"/>
    <w:rsid w:val="003E1122"/>
    <w:rsid w:val="003E12C9"/>
    <w:rsid w:val="003E1604"/>
    <w:rsid w:val="003E1766"/>
    <w:rsid w:val="003E18F5"/>
    <w:rsid w:val="003E1A61"/>
    <w:rsid w:val="003E1AF0"/>
    <w:rsid w:val="003E279B"/>
    <w:rsid w:val="003E2AB7"/>
    <w:rsid w:val="003E2F36"/>
    <w:rsid w:val="003E2FB3"/>
    <w:rsid w:val="003E37A0"/>
    <w:rsid w:val="003E393E"/>
    <w:rsid w:val="003E3CFE"/>
    <w:rsid w:val="003E507E"/>
    <w:rsid w:val="003E5394"/>
    <w:rsid w:val="003E678B"/>
    <w:rsid w:val="003E6D93"/>
    <w:rsid w:val="003E76C6"/>
    <w:rsid w:val="003F0186"/>
    <w:rsid w:val="003F038A"/>
    <w:rsid w:val="003F0555"/>
    <w:rsid w:val="003F09E9"/>
    <w:rsid w:val="003F0D0F"/>
    <w:rsid w:val="003F11D8"/>
    <w:rsid w:val="003F1222"/>
    <w:rsid w:val="003F1AAC"/>
    <w:rsid w:val="003F1C6D"/>
    <w:rsid w:val="003F1D12"/>
    <w:rsid w:val="003F1E3F"/>
    <w:rsid w:val="003F1ECD"/>
    <w:rsid w:val="003F2C12"/>
    <w:rsid w:val="003F3195"/>
    <w:rsid w:val="003F32A8"/>
    <w:rsid w:val="003F3673"/>
    <w:rsid w:val="003F3760"/>
    <w:rsid w:val="003F3B7F"/>
    <w:rsid w:val="003F465F"/>
    <w:rsid w:val="003F47AB"/>
    <w:rsid w:val="003F4B6C"/>
    <w:rsid w:val="003F4BC7"/>
    <w:rsid w:val="003F4DAF"/>
    <w:rsid w:val="003F5A39"/>
    <w:rsid w:val="003F6039"/>
    <w:rsid w:val="003F67D7"/>
    <w:rsid w:val="003F7144"/>
    <w:rsid w:val="003F74EF"/>
    <w:rsid w:val="00400758"/>
    <w:rsid w:val="00400A77"/>
    <w:rsid w:val="00401262"/>
    <w:rsid w:val="00401B6E"/>
    <w:rsid w:val="0040281D"/>
    <w:rsid w:val="0040291B"/>
    <w:rsid w:val="00404123"/>
    <w:rsid w:val="00404310"/>
    <w:rsid w:val="0040467E"/>
    <w:rsid w:val="00404B91"/>
    <w:rsid w:val="00404BB2"/>
    <w:rsid w:val="0040513F"/>
    <w:rsid w:val="0040541F"/>
    <w:rsid w:val="00405424"/>
    <w:rsid w:val="004056DC"/>
    <w:rsid w:val="00405C05"/>
    <w:rsid w:val="00405C8A"/>
    <w:rsid w:val="00406889"/>
    <w:rsid w:val="00406DEE"/>
    <w:rsid w:val="004072DC"/>
    <w:rsid w:val="00407C6C"/>
    <w:rsid w:val="00410081"/>
    <w:rsid w:val="00410A2C"/>
    <w:rsid w:val="00410AD6"/>
    <w:rsid w:val="00410E96"/>
    <w:rsid w:val="00411C1D"/>
    <w:rsid w:val="0041242B"/>
    <w:rsid w:val="00412A04"/>
    <w:rsid w:val="00412C22"/>
    <w:rsid w:val="00412C54"/>
    <w:rsid w:val="00412CAE"/>
    <w:rsid w:val="00412DB7"/>
    <w:rsid w:val="0041307A"/>
    <w:rsid w:val="00413397"/>
    <w:rsid w:val="00413D02"/>
    <w:rsid w:val="00413DF7"/>
    <w:rsid w:val="004141EF"/>
    <w:rsid w:val="00414FC0"/>
    <w:rsid w:val="004150A8"/>
    <w:rsid w:val="004158E1"/>
    <w:rsid w:val="00415B20"/>
    <w:rsid w:val="004164FC"/>
    <w:rsid w:val="00417E9B"/>
    <w:rsid w:val="00417ECD"/>
    <w:rsid w:val="00420473"/>
    <w:rsid w:val="00420694"/>
    <w:rsid w:val="00420703"/>
    <w:rsid w:val="0042081E"/>
    <w:rsid w:val="00420E0C"/>
    <w:rsid w:val="00420FA6"/>
    <w:rsid w:val="00421989"/>
    <w:rsid w:val="00421C02"/>
    <w:rsid w:val="00422163"/>
    <w:rsid w:val="004228C3"/>
    <w:rsid w:val="00422B00"/>
    <w:rsid w:val="0042331A"/>
    <w:rsid w:val="0042346D"/>
    <w:rsid w:val="00423479"/>
    <w:rsid w:val="00423CBD"/>
    <w:rsid w:val="004240F4"/>
    <w:rsid w:val="00424B49"/>
    <w:rsid w:val="00424BC0"/>
    <w:rsid w:val="00424CD9"/>
    <w:rsid w:val="00424EE9"/>
    <w:rsid w:val="00425A9F"/>
    <w:rsid w:val="00425C82"/>
    <w:rsid w:val="00426387"/>
    <w:rsid w:val="004267BD"/>
    <w:rsid w:val="004267F4"/>
    <w:rsid w:val="0042687B"/>
    <w:rsid w:val="00426D00"/>
    <w:rsid w:val="00427071"/>
    <w:rsid w:val="0043000A"/>
    <w:rsid w:val="0043033C"/>
    <w:rsid w:val="00430A35"/>
    <w:rsid w:val="004318F3"/>
    <w:rsid w:val="0043232C"/>
    <w:rsid w:val="00432C14"/>
    <w:rsid w:val="00432D61"/>
    <w:rsid w:val="00432D80"/>
    <w:rsid w:val="00432EC8"/>
    <w:rsid w:val="00433ACC"/>
    <w:rsid w:val="00433B72"/>
    <w:rsid w:val="004341E9"/>
    <w:rsid w:val="00434323"/>
    <w:rsid w:val="00434720"/>
    <w:rsid w:val="00434C76"/>
    <w:rsid w:val="00434CA4"/>
    <w:rsid w:val="00436AF2"/>
    <w:rsid w:val="00436D44"/>
    <w:rsid w:val="004379FE"/>
    <w:rsid w:val="00440899"/>
    <w:rsid w:val="00440C07"/>
    <w:rsid w:val="00440C48"/>
    <w:rsid w:val="00440E3B"/>
    <w:rsid w:val="0044111B"/>
    <w:rsid w:val="00441B8F"/>
    <w:rsid w:val="00441E7C"/>
    <w:rsid w:val="00441F13"/>
    <w:rsid w:val="00441FF4"/>
    <w:rsid w:val="004423AA"/>
    <w:rsid w:val="00442531"/>
    <w:rsid w:val="004437DC"/>
    <w:rsid w:val="004443AB"/>
    <w:rsid w:val="00444624"/>
    <w:rsid w:val="0044486A"/>
    <w:rsid w:val="004448DB"/>
    <w:rsid w:val="004450D0"/>
    <w:rsid w:val="0044592D"/>
    <w:rsid w:val="00445D17"/>
    <w:rsid w:val="00445E64"/>
    <w:rsid w:val="00445F93"/>
    <w:rsid w:val="0044645D"/>
    <w:rsid w:val="0044656F"/>
    <w:rsid w:val="00446746"/>
    <w:rsid w:val="004473E1"/>
    <w:rsid w:val="00447435"/>
    <w:rsid w:val="00447467"/>
    <w:rsid w:val="00447BE4"/>
    <w:rsid w:val="00447CC7"/>
    <w:rsid w:val="0045035B"/>
    <w:rsid w:val="004504E5"/>
    <w:rsid w:val="004526C6"/>
    <w:rsid w:val="0045342A"/>
    <w:rsid w:val="004539F3"/>
    <w:rsid w:val="00453E52"/>
    <w:rsid w:val="00454BF6"/>
    <w:rsid w:val="00454F37"/>
    <w:rsid w:val="004551C5"/>
    <w:rsid w:val="0045536D"/>
    <w:rsid w:val="0045563A"/>
    <w:rsid w:val="00455C0B"/>
    <w:rsid w:val="0045615C"/>
    <w:rsid w:val="00457539"/>
    <w:rsid w:val="00460819"/>
    <w:rsid w:val="00460A2F"/>
    <w:rsid w:val="00460DFC"/>
    <w:rsid w:val="00461027"/>
    <w:rsid w:val="00461473"/>
    <w:rsid w:val="00462344"/>
    <w:rsid w:val="00462792"/>
    <w:rsid w:val="0046292A"/>
    <w:rsid w:val="00462EC3"/>
    <w:rsid w:val="00463713"/>
    <w:rsid w:val="004639C5"/>
    <w:rsid w:val="00464A54"/>
    <w:rsid w:val="00464ECA"/>
    <w:rsid w:val="00464F15"/>
    <w:rsid w:val="00465E1C"/>
    <w:rsid w:val="00466917"/>
    <w:rsid w:val="00466A68"/>
    <w:rsid w:val="00466E1F"/>
    <w:rsid w:val="00467A07"/>
    <w:rsid w:val="00467DDF"/>
    <w:rsid w:val="00467E6F"/>
    <w:rsid w:val="0047087C"/>
    <w:rsid w:val="004709CF"/>
    <w:rsid w:val="00470D72"/>
    <w:rsid w:val="0047112E"/>
    <w:rsid w:val="004712BA"/>
    <w:rsid w:val="0047156A"/>
    <w:rsid w:val="004715DB"/>
    <w:rsid w:val="004717FC"/>
    <w:rsid w:val="00471D81"/>
    <w:rsid w:val="00472D57"/>
    <w:rsid w:val="0047319E"/>
    <w:rsid w:val="0047343D"/>
    <w:rsid w:val="004737AB"/>
    <w:rsid w:val="00473C20"/>
    <w:rsid w:val="00474861"/>
    <w:rsid w:val="00475257"/>
    <w:rsid w:val="004756A4"/>
    <w:rsid w:val="004757DD"/>
    <w:rsid w:val="00475A00"/>
    <w:rsid w:val="00475DE8"/>
    <w:rsid w:val="0047620B"/>
    <w:rsid w:val="004765C1"/>
    <w:rsid w:val="00476839"/>
    <w:rsid w:val="00477156"/>
    <w:rsid w:val="00477886"/>
    <w:rsid w:val="00480314"/>
    <w:rsid w:val="00480836"/>
    <w:rsid w:val="0048093C"/>
    <w:rsid w:val="00480C6C"/>
    <w:rsid w:val="00481366"/>
    <w:rsid w:val="00481755"/>
    <w:rsid w:val="004821BF"/>
    <w:rsid w:val="00482420"/>
    <w:rsid w:val="004838B3"/>
    <w:rsid w:val="00483EBC"/>
    <w:rsid w:val="004842F9"/>
    <w:rsid w:val="00484529"/>
    <w:rsid w:val="004847E2"/>
    <w:rsid w:val="0048633C"/>
    <w:rsid w:val="004865CE"/>
    <w:rsid w:val="00487204"/>
    <w:rsid w:val="00487507"/>
    <w:rsid w:val="00487663"/>
    <w:rsid w:val="004877CE"/>
    <w:rsid w:val="00487AA1"/>
    <w:rsid w:val="00487D87"/>
    <w:rsid w:val="0049089F"/>
    <w:rsid w:val="0049099D"/>
    <w:rsid w:val="00490E4A"/>
    <w:rsid w:val="004913DD"/>
    <w:rsid w:val="00491AF2"/>
    <w:rsid w:val="00491FB0"/>
    <w:rsid w:val="00492077"/>
    <w:rsid w:val="004920BE"/>
    <w:rsid w:val="004923E3"/>
    <w:rsid w:val="004930C9"/>
    <w:rsid w:val="00493F13"/>
    <w:rsid w:val="00495607"/>
    <w:rsid w:val="00495774"/>
    <w:rsid w:val="00495F75"/>
    <w:rsid w:val="00496151"/>
    <w:rsid w:val="00496379"/>
    <w:rsid w:val="004969CB"/>
    <w:rsid w:val="004969EA"/>
    <w:rsid w:val="00496CB2"/>
    <w:rsid w:val="00497689"/>
    <w:rsid w:val="00497B8B"/>
    <w:rsid w:val="004A0111"/>
    <w:rsid w:val="004A0A58"/>
    <w:rsid w:val="004A0D28"/>
    <w:rsid w:val="004A0FBA"/>
    <w:rsid w:val="004A16AC"/>
    <w:rsid w:val="004A1B28"/>
    <w:rsid w:val="004A1C37"/>
    <w:rsid w:val="004A20D4"/>
    <w:rsid w:val="004A2BF9"/>
    <w:rsid w:val="004A2C3A"/>
    <w:rsid w:val="004A2E8D"/>
    <w:rsid w:val="004A39B3"/>
    <w:rsid w:val="004A3A16"/>
    <w:rsid w:val="004A443B"/>
    <w:rsid w:val="004A5BC6"/>
    <w:rsid w:val="004A6087"/>
    <w:rsid w:val="004A67DF"/>
    <w:rsid w:val="004A73AA"/>
    <w:rsid w:val="004B014F"/>
    <w:rsid w:val="004B0840"/>
    <w:rsid w:val="004B0A99"/>
    <w:rsid w:val="004B1433"/>
    <w:rsid w:val="004B14D9"/>
    <w:rsid w:val="004B2450"/>
    <w:rsid w:val="004B32FC"/>
    <w:rsid w:val="004B39AC"/>
    <w:rsid w:val="004B3CA5"/>
    <w:rsid w:val="004B3CEC"/>
    <w:rsid w:val="004B4071"/>
    <w:rsid w:val="004B41CA"/>
    <w:rsid w:val="004B41D3"/>
    <w:rsid w:val="004B4228"/>
    <w:rsid w:val="004B4A3D"/>
    <w:rsid w:val="004B5ADF"/>
    <w:rsid w:val="004B5DC2"/>
    <w:rsid w:val="004B66C4"/>
    <w:rsid w:val="004B67FA"/>
    <w:rsid w:val="004B702C"/>
    <w:rsid w:val="004B7411"/>
    <w:rsid w:val="004B74DA"/>
    <w:rsid w:val="004B7C2B"/>
    <w:rsid w:val="004C009E"/>
    <w:rsid w:val="004C0413"/>
    <w:rsid w:val="004C167C"/>
    <w:rsid w:val="004C1CED"/>
    <w:rsid w:val="004C2707"/>
    <w:rsid w:val="004C343E"/>
    <w:rsid w:val="004C43B3"/>
    <w:rsid w:val="004C458A"/>
    <w:rsid w:val="004C4755"/>
    <w:rsid w:val="004C4C7A"/>
    <w:rsid w:val="004C4E08"/>
    <w:rsid w:val="004C4F65"/>
    <w:rsid w:val="004C5DDA"/>
    <w:rsid w:val="004C5F4E"/>
    <w:rsid w:val="004C60F8"/>
    <w:rsid w:val="004C665A"/>
    <w:rsid w:val="004C6876"/>
    <w:rsid w:val="004C6BE5"/>
    <w:rsid w:val="004C6EDF"/>
    <w:rsid w:val="004C6F08"/>
    <w:rsid w:val="004C75F6"/>
    <w:rsid w:val="004C797A"/>
    <w:rsid w:val="004C7B51"/>
    <w:rsid w:val="004C7DEF"/>
    <w:rsid w:val="004D0314"/>
    <w:rsid w:val="004D054B"/>
    <w:rsid w:val="004D0661"/>
    <w:rsid w:val="004D0892"/>
    <w:rsid w:val="004D1AD3"/>
    <w:rsid w:val="004D1D75"/>
    <w:rsid w:val="004D311F"/>
    <w:rsid w:val="004D4278"/>
    <w:rsid w:val="004D4AC4"/>
    <w:rsid w:val="004D4B5F"/>
    <w:rsid w:val="004D4BE5"/>
    <w:rsid w:val="004D4EF0"/>
    <w:rsid w:val="004D54BD"/>
    <w:rsid w:val="004D6524"/>
    <w:rsid w:val="004D68BE"/>
    <w:rsid w:val="004D6BD9"/>
    <w:rsid w:val="004D6CE6"/>
    <w:rsid w:val="004D789A"/>
    <w:rsid w:val="004E0134"/>
    <w:rsid w:val="004E0695"/>
    <w:rsid w:val="004E081A"/>
    <w:rsid w:val="004E09D2"/>
    <w:rsid w:val="004E09DC"/>
    <w:rsid w:val="004E1162"/>
    <w:rsid w:val="004E13CC"/>
    <w:rsid w:val="004E1731"/>
    <w:rsid w:val="004E1D47"/>
    <w:rsid w:val="004E20A2"/>
    <w:rsid w:val="004E244C"/>
    <w:rsid w:val="004E2A05"/>
    <w:rsid w:val="004E31BA"/>
    <w:rsid w:val="004E3966"/>
    <w:rsid w:val="004E3AFB"/>
    <w:rsid w:val="004E3D62"/>
    <w:rsid w:val="004E433C"/>
    <w:rsid w:val="004E43D2"/>
    <w:rsid w:val="004E45A3"/>
    <w:rsid w:val="004E46DA"/>
    <w:rsid w:val="004E4E83"/>
    <w:rsid w:val="004E59B2"/>
    <w:rsid w:val="004E5ABC"/>
    <w:rsid w:val="004E5E56"/>
    <w:rsid w:val="004E604F"/>
    <w:rsid w:val="004E6A73"/>
    <w:rsid w:val="004E6D90"/>
    <w:rsid w:val="004E73E8"/>
    <w:rsid w:val="004E74EC"/>
    <w:rsid w:val="004E7BF8"/>
    <w:rsid w:val="004E7DEA"/>
    <w:rsid w:val="004F0914"/>
    <w:rsid w:val="004F141F"/>
    <w:rsid w:val="004F1FBA"/>
    <w:rsid w:val="004F2000"/>
    <w:rsid w:val="004F2318"/>
    <w:rsid w:val="004F24FB"/>
    <w:rsid w:val="004F268B"/>
    <w:rsid w:val="004F2F68"/>
    <w:rsid w:val="004F3176"/>
    <w:rsid w:val="004F3A76"/>
    <w:rsid w:val="004F4735"/>
    <w:rsid w:val="004F5B6B"/>
    <w:rsid w:val="004F5B94"/>
    <w:rsid w:val="004F63B9"/>
    <w:rsid w:val="004F6568"/>
    <w:rsid w:val="004F709F"/>
    <w:rsid w:val="004F767C"/>
    <w:rsid w:val="00500010"/>
    <w:rsid w:val="005001BC"/>
    <w:rsid w:val="00500DD6"/>
    <w:rsid w:val="00501648"/>
    <w:rsid w:val="00501C83"/>
    <w:rsid w:val="0050271A"/>
    <w:rsid w:val="00502E71"/>
    <w:rsid w:val="00502F80"/>
    <w:rsid w:val="00503361"/>
    <w:rsid w:val="00503A88"/>
    <w:rsid w:val="005042A1"/>
    <w:rsid w:val="005042BC"/>
    <w:rsid w:val="00504C80"/>
    <w:rsid w:val="00505028"/>
    <w:rsid w:val="005061E5"/>
    <w:rsid w:val="005062B4"/>
    <w:rsid w:val="00506384"/>
    <w:rsid w:val="0050687F"/>
    <w:rsid w:val="00506F08"/>
    <w:rsid w:val="005074FD"/>
    <w:rsid w:val="005104CF"/>
    <w:rsid w:val="00510E7E"/>
    <w:rsid w:val="00510F27"/>
    <w:rsid w:val="00511EE9"/>
    <w:rsid w:val="00512C8D"/>
    <w:rsid w:val="00513759"/>
    <w:rsid w:val="00514262"/>
    <w:rsid w:val="00514327"/>
    <w:rsid w:val="00514D54"/>
    <w:rsid w:val="0051508F"/>
    <w:rsid w:val="005159CD"/>
    <w:rsid w:val="00515C6E"/>
    <w:rsid w:val="005160E2"/>
    <w:rsid w:val="005161AD"/>
    <w:rsid w:val="00516BBA"/>
    <w:rsid w:val="00516CBD"/>
    <w:rsid w:val="00516EB9"/>
    <w:rsid w:val="0051752A"/>
    <w:rsid w:val="00517F39"/>
    <w:rsid w:val="00517FBF"/>
    <w:rsid w:val="005211AC"/>
    <w:rsid w:val="00521371"/>
    <w:rsid w:val="00521617"/>
    <w:rsid w:val="00522945"/>
    <w:rsid w:val="0052314D"/>
    <w:rsid w:val="00523380"/>
    <w:rsid w:val="005239B7"/>
    <w:rsid w:val="00523BD2"/>
    <w:rsid w:val="00523CBE"/>
    <w:rsid w:val="00523FAF"/>
    <w:rsid w:val="00524146"/>
    <w:rsid w:val="00524AB1"/>
    <w:rsid w:val="00524EA5"/>
    <w:rsid w:val="00525257"/>
    <w:rsid w:val="00525A70"/>
    <w:rsid w:val="00525B14"/>
    <w:rsid w:val="00525B7E"/>
    <w:rsid w:val="00525D95"/>
    <w:rsid w:val="005260E6"/>
    <w:rsid w:val="0052633F"/>
    <w:rsid w:val="00526B74"/>
    <w:rsid w:val="00526DB4"/>
    <w:rsid w:val="00527901"/>
    <w:rsid w:val="00527AC5"/>
    <w:rsid w:val="00527EDB"/>
    <w:rsid w:val="005308B3"/>
    <w:rsid w:val="00530B61"/>
    <w:rsid w:val="00530FDE"/>
    <w:rsid w:val="0053102C"/>
    <w:rsid w:val="0053152B"/>
    <w:rsid w:val="00531CF0"/>
    <w:rsid w:val="00531E6A"/>
    <w:rsid w:val="0053288C"/>
    <w:rsid w:val="00532B67"/>
    <w:rsid w:val="00532B8D"/>
    <w:rsid w:val="00532E70"/>
    <w:rsid w:val="00533A1F"/>
    <w:rsid w:val="0053415B"/>
    <w:rsid w:val="005342A1"/>
    <w:rsid w:val="0053580A"/>
    <w:rsid w:val="0053590B"/>
    <w:rsid w:val="00535D0B"/>
    <w:rsid w:val="00536119"/>
    <w:rsid w:val="00536390"/>
    <w:rsid w:val="0053646A"/>
    <w:rsid w:val="0053674A"/>
    <w:rsid w:val="00536EB8"/>
    <w:rsid w:val="0053709A"/>
    <w:rsid w:val="00537407"/>
    <w:rsid w:val="00540B24"/>
    <w:rsid w:val="00540F60"/>
    <w:rsid w:val="0054134A"/>
    <w:rsid w:val="005415DB"/>
    <w:rsid w:val="005416BB"/>
    <w:rsid w:val="005418E2"/>
    <w:rsid w:val="00541A87"/>
    <w:rsid w:val="00541CC7"/>
    <w:rsid w:val="00541D3C"/>
    <w:rsid w:val="005420B3"/>
    <w:rsid w:val="00542445"/>
    <w:rsid w:val="00542F7E"/>
    <w:rsid w:val="00543ADC"/>
    <w:rsid w:val="00543B10"/>
    <w:rsid w:val="00544196"/>
    <w:rsid w:val="00544D59"/>
    <w:rsid w:val="00545235"/>
    <w:rsid w:val="005452F5"/>
    <w:rsid w:val="00546054"/>
    <w:rsid w:val="005466DD"/>
    <w:rsid w:val="00546765"/>
    <w:rsid w:val="00546871"/>
    <w:rsid w:val="00547879"/>
    <w:rsid w:val="005479F1"/>
    <w:rsid w:val="00547B59"/>
    <w:rsid w:val="00547D22"/>
    <w:rsid w:val="00547E58"/>
    <w:rsid w:val="00547FD8"/>
    <w:rsid w:val="00550288"/>
    <w:rsid w:val="005509A3"/>
    <w:rsid w:val="0055101E"/>
    <w:rsid w:val="005517D2"/>
    <w:rsid w:val="00551840"/>
    <w:rsid w:val="00551D2E"/>
    <w:rsid w:val="005523C9"/>
    <w:rsid w:val="00552767"/>
    <w:rsid w:val="005529F1"/>
    <w:rsid w:val="00552A0E"/>
    <w:rsid w:val="00552DD1"/>
    <w:rsid w:val="00553279"/>
    <w:rsid w:val="0055332C"/>
    <w:rsid w:val="005536CF"/>
    <w:rsid w:val="0055394B"/>
    <w:rsid w:val="00553C93"/>
    <w:rsid w:val="00553FA6"/>
    <w:rsid w:val="0055409C"/>
    <w:rsid w:val="00554124"/>
    <w:rsid w:val="0055413D"/>
    <w:rsid w:val="005544B3"/>
    <w:rsid w:val="00554E40"/>
    <w:rsid w:val="00554F97"/>
    <w:rsid w:val="00554FC6"/>
    <w:rsid w:val="005554C2"/>
    <w:rsid w:val="00555ED2"/>
    <w:rsid w:val="00556C0A"/>
    <w:rsid w:val="00557071"/>
    <w:rsid w:val="0055775F"/>
    <w:rsid w:val="00557E0E"/>
    <w:rsid w:val="00557E48"/>
    <w:rsid w:val="00560BE0"/>
    <w:rsid w:val="00561574"/>
    <w:rsid w:val="005625DF"/>
    <w:rsid w:val="00562A60"/>
    <w:rsid w:val="00562AE4"/>
    <w:rsid w:val="00563FEC"/>
    <w:rsid w:val="00564889"/>
    <w:rsid w:val="00564B27"/>
    <w:rsid w:val="00564C9B"/>
    <w:rsid w:val="00564DE4"/>
    <w:rsid w:val="00564FA7"/>
    <w:rsid w:val="00565386"/>
    <w:rsid w:val="00565A20"/>
    <w:rsid w:val="005661AF"/>
    <w:rsid w:val="00566607"/>
    <w:rsid w:val="0056691D"/>
    <w:rsid w:val="00567574"/>
    <w:rsid w:val="005679D6"/>
    <w:rsid w:val="00567D22"/>
    <w:rsid w:val="00567F9E"/>
    <w:rsid w:val="00567FC1"/>
    <w:rsid w:val="0057038E"/>
    <w:rsid w:val="00570A13"/>
    <w:rsid w:val="00570B11"/>
    <w:rsid w:val="005710C0"/>
    <w:rsid w:val="005718EC"/>
    <w:rsid w:val="00572252"/>
    <w:rsid w:val="00572297"/>
    <w:rsid w:val="00572482"/>
    <w:rsid w:val="005725F0"/>
    <w:rsid w:val="00572966"/>
    <w:rsid w:val="00572C96"/>
    <w:rsid w:val="00572D2C"/>
    <w:rsid w:val="00572F23"/>
    <w:rsid w:val="005730AB"/>
    <w:rsid w:val="005730C8"/>
    <w:rsid w:val="00573521"/>
    <w:rsid w:val="00573774"/>
    <w:rsid w:val="00573EAB"/>
    <w:rsid w:val="005748E5"/>
    <w:rsid w:val="005750C2"/>
    <w:rsid w:val="0057515A"/>
    <w:rsid w:val="0057565D"/>
    <w:rsid w:val="00575BC1"/>
    <w:rsid w:val="00576B32"/>
    <w:rsid w:val="00576DE4"/>
    <w:rsid w:val="00577129"/>
    <w:rsid w:val="0058007A"/>
    <w:rsid w:val="00580CD8"/>
    <w:rsid w:val="00580EB5"/>
    <w:rsid w:val="00580F93"/>
    <w:rsid w:val="0058144F"/>
    <w:rsid w:val="005828F1"/>
    <w:rsid w:val="00582E20"/>
    <w:rsid w:val="00582E34"/>
    <w:rsid w:val="005830F2"/>
    <w:rsid w:val="005843CD"/>
    <w:rsid w:val="0058442D"/>
    <w:rsid w:val="00585ABE"/>
    <w:rsid w:val="00585DEE"/>
    <w:rsid w:val="00585E2D"/>
    <w:rsid w:val="00585F7D"/>
    <w:rsid w:val="00586239"/>
    <w:rsid w:val="0058649D"/>
    <w:rsid w:val="005868D0"/>
    <w:rsid w:val="005875DB"/>
    <w:rsid w:val="00587993"/>
    <w:rsid w:val="00587B01"/>
    <w:rsid w:val="0059095A"/>
    <w:rsid w:val="00590BA5"/>
    <w:rsid w:val="00590F0B"/>
    <w:rsid w:val="005914A0"/>
    <w:rsid w:val="00591C47"/>
    <w:rsid w:val="005923EC"/>
    <w:rsid w:val="005928C5"/>
    <w:rsid w:val="00592F06"/>
    <w:rsid w:val="00593297"/>
    <w:rsid w:val="005932E4"/>
    <w:rsid w:val="0059381A"/>
    <w:rsid w:val="00593C34"/>
    <w:rsid w:val="00594879"/>
    <w:rsid w:val="00594E6B"/>
    <w:rsid w:val="00595AB2"/>
    <w:rsid w:val="00596854"/>
    <w:rsid w:val="0059731C"/>
    <w:rsid w:val="005978A0"/>
    <w:rsid w:val="00597A30"/>
    <w:rsid w:val="00597A74"/>
    <w:rsid w:val="00597DDF"/>
    <w:rsid w:val="00597E5D"/>
    <w:rsid w:val="00597FA3"/>
    <w:rsid w:val="005A0129"/>
    <w:rsid w:val="005A0EFB"/>
    <w:rsid w:val="005A1885"/>
    <w:rsid w:val="005A21BC"/>
    <w:rsid w:val="005A2571"/>
    <w:rsid w:val="005A3963"/>
    <w:rsid w:val="005A3CA5"/>
    <w:rsid w:val="005A4CCA"/>
    <w:rsid w:val="005A5A32"/>
    <w:rsid w:val="005A5A5A"/>
    <w:rsid w:val="005A5C9B"/>
    <w:rsid w:val="005A6AE8"/>
    <w:rsid w:val="005A6E14"/>
    <w:rsid w:val="005A7007"/>
    <w:rsid w:val="005A72D7"/>
    <w:rsid w:val="005A73B5"/>
    <w:rsid w:val="005A7911"/>
    <w:rsid w:val="005A7BE4"/>
    <w:rsid w:val="005B035A"/>
    <w:rsid w:val="005B0468"/>
    <w:rsid w:val="005B077A"/>
    <w:rsid w:val="005B0BCF"/>
    <w:rsid w:val="005B197F"/>
    <w:rsid w:val="005B1C5D"/>
    <w:rsid w:val="005B2B3E"/>
    <w:rsid w:val="005B32E1"/>
    <w:rsid w:val="005B3401"/>
    <w:rsid w:val="005B3653"/>
    <w:rsid w:val="005B3700"/>
    <w:rsid w:val="005B372F"/>
    <w:rsid w:val="005B4024"/>
    <w:rsid w:val="005B4374"/>
    <w:rsid w:val="005B4559"/>
    <w:rsid w:val="005B4689"/>
    <w:rsid w:val="005B4F58"/>
    <w:rsid w:val="005B5237"/>
    <w:rsid w:val="005B54E9"/>
    <w:rsid w:val="005B5773"/>
    <w:rsid w:val="005B6604"/>
    <w:rsid w:val="005B7212"/>
    <w:rsid w:val="005B77C7"/>
    <w:rsid w:val="005B79D1"/>
    <w:rsid w:val="005B7B29"/>
    <w:rsid w:val="005B7BF4"/>
    <w:rsid w:val="005C0F0A"/>
    <w:rsid w:val="005C109C"/>
    <w:rsid w:val="005C1D39"/>
    <w:rsid w:val="005C1D42"/>
    <w:rsid w:val="005C2439"/>
    <w:rsid w:val="005C2746"/>
    <w:rsid w:val="005C2B9F"/>
    <w:rsid w:val="005C2F7B"/>
    <w:rsid w:val="005C3FEE"/>
    <w:rsid w:val="005C401B"/>
    <w:rsid w:val="005C4796"/>
    <w:rsid w:val="005C4E3B"/>
    <w:rsid w:val="005C5AE4"/>
    <w:rsid w:val="005C5C59"/>
    <w:rsid w:val="005C5F0E"/>
    <w:rsid w:val="005C71AA"/>
    <w:rsid w:val="005C73FB"/>
    <w:rsid w:val="005C7858"/>
    <w:rsid w:val="005C7C55"/>
    <w:rsid w:val="005C7FB2"/>
    <w:rsid w:val="005D058A"/>
    <w:rsid w:val="005D0A1C"/>
    <w:rsid w:val="005D114B"/>
    <w:rsid w:val="005D2250"/>
    <w:rsid w:val="005D2A2C"/>
    <w:rsid w:val="005D30DB"/>
    <w:rsid w:val="005D3640"/>
    <w:rsid w:val="005D3712"/>
    <w:rsid w:val="005D3747"/>
    <w:rsid w:val="005D4088"/>
    <w:rsid w:val="005D43CB"/>
    <w:rsid w:val="005D4524"/>
    <w:rsid w:val="005D462F"/>
    <w:rsid w:val="005D4951"/>
    <w:rsid w:val="005D6209"/>
    <w:rsid w:val="005D6312"/>
    <w:rsid w:val="005D6D54"/>
    <w:rsid w:val="005D707E"/>
    <w:rsid w:val="005D7574"/>
    <w:rsid w:val="005D7617"/>
    <w:rsid w:val="005D7867"/>
    <w:rsid w:val="005D7EEA"/>
    <w:rsid w:val="005D7F1C"/>
    <w:rsid w:val="005E0989"/>
    <w:rsid w:val="005E0A3F"/>
    <w:rsid w:val="005E0F68"/>
    <w:rsid w:val="005E0FB0"/>
    <w:rsid w:val="005E12E0"/>
    <w:rsid w:val="005E1717"/>
    <w:rsid w:val="005E1A9F"/>
    <w:rsid w:val="005E1E33"/>
    <w:rsid w:val="005E2907"/>
    <w:rsid w:val="005E3057"/>
    <w:rsid w:val="005E3375"/>
    <w:rsid w:val="005E3957"/>
    <w:rsid w:val="005E3EA2"/>
    <w:rsid w:val="005E50DF"/>
    <w:rsid w:val="005E53B2"/>
    <w:rsid w:val="005E5D7B"/>
    <w:rsid w:val="005E6143"/>
    <w:rsid w:val="005E618A"/>
    <w:rsid w:val="005E6419"/>
    <w:rsid w:val="005E670D"/>
    <w:rsid w:val="005E6B8D"/>
    <w:rsid w:val="005E6F26"/>
    <w:rsid w:val="005E7BE5"/>
    <w:rsid w:val="005E7E1E"/>
    <w:rsid w:val="005F0E48"/>
    <w:rsid w:val="005F0F93"/>
    <w:rsid w:val="005F1247"/>
    <w:rsid w:val="005F12B4"/>
    <w:rsid w:val="005F1AD6"/>
    <w:rsid w:val="005F2F6E"/>
    <w:rsid w:val="005F32FC"/>
    <w:rsid w:val="005F33B6"/>
    <w:rsid w:val="005F374A"/>
    <w:rsid w:val="005F3781"/>
    <w:rsid w:val="005F3C83"/>
    <w:rsid w:val="005F4066"/>
    <w:rsid w:val="005F4EE3"/>
    <w:rsid w:val="005F5068"/>
    <w:rsid w:val="005F585D"/>
    <w:rsid w:val="005F5AD1"/>
    <w:rsid w:val="005F5CEE"/>
    <w:rsid w:val="005F5EE6"/>
    <w:rsid w:val="005F5F63"/>
    <w:rsid w:val="005F6133"/>
    <w:rsid w:val="005F65F9"/>
    <w:rsid w:val="005F661F"/>
    <w:rsid w:val="005F6D10"/>
    <w:rsid w:val="005F6E29"/>
    <w:rsid w:val="005F7245"/>
    <w:rsid w:val="005F770F"/>
    <w:rsid w:val="006004E2"/>
    <w:rsid w:val="006006E5"/>
    <w:rsid w:val="00600C91"/>
    <w:rsid w:val="00601B4A"/>
    <w:rsid w:val="00601C10"/>
    <w:rsid w:val="00601C6D"/>
    <w:rsid w:val="00601E59"/>
    <w:rsid w:val="00601E79"/>
    <w:rsid w:val="00601F31"/>
    <w:rsid w:val="006029EF"/>
    <w:rsid w:val="006031AD"/>
    <w:rsid w:val="00603524"/>
    <w:rsid w:val="00603C32"/>
    <w:rsid w:val="006040AB"/>
    <w:rsid w:val="00604699"/>
    <w:rsid w:val="006046D4"/>
    <w:rsid w:val="0060482E"/>
    <w:rsid w:val="006051A0"/>
    <w:rsid w:val="00605D5C"/>
    <w:rsid w:val="00606840"/>
    <w:rsid w:val="00606A97"/>
    <w:rsid w:val="006073CE"/>
    <w:rsid w:val="0060764B"/>
    <w:rsid w:val="00607658"/>
    <w:rsid w:val="00610BF6"/>
    <w:rsid w:val="00610E61"/>
    <w:rsid w:val="00611140"/>
    <w:rsid w:val="006114AE"/>
    <w:rsid w:val="00611D2D"/>
    <w:rsid w:val="00612214"/>
    <w:rsid w:val="006124DD"/>
    <w:rsid w:val="006127AB"/>
    <w:rsid w:val="0061290D"/>
    <w:rsid w:val="00612DE7"/>
    <w:rsid w:val="006130EE"/>
    <w:rsid w:val="006131CE"/>
    <w:rsid w:val="006132E4"/>
    <w:rsid w:val="006138C0"/>
    <w:rsid w:val="00613A29"/>
    <w:rsid w:val="00613EF5"/>
    <w:rsid w:val="0061441E"/>
    <w:rsid w:val="00614750"/>
    <w:rsid w:val="006147E5"/>
    <w:rsid w:val="006149DB"/>
    <w:rsid w:val="00615836"/>
    <w:rsid w:val="00615D2C"/>
    <w:rsid w:val="00615DFD"/>
    <w:rsid w:val="00616104"/>
    <w:rsid w:val="00616AAF"/>
    <w:rsid w:val="00616AC0"/>
    <w:rsid w:val="006173C1"/>
    <w:rsid w:val="00617584"/>
    <w:rsid w:val="006176D9"/>
    <w:rsid w:val="00617838"/>
    <w:rsid w:val="00617B03"/>
    <w:rsid w:val="00617E61"/>
    <w:rsid w:val="0062059F"/>
    <w:rsid w:val="00620605"/>
    <w:rsid w:val="006211CD"/>
    <w:rsid w:val="006211EB"/>
    <w:rsid w:val="00621247"/>
    <w:rsid w:val="00622246"/>
    <w:rsid w:val="006226A2"/>
    <w:rsid w:val="00622E44"/>
    <w:rsid w:val="00623453"/>
    <w:rsid w:val="00623C52"/>
    <w:rsid w:val="006240F1"/>
    <w:rsid w:val="00624692"/>
    <w:rsid w:val="00624A61"/>
    <w:rsid w:val="00624A65"/>
    <w:rsid w:val="00624C42"/>
    <w:rsid w:val="00625445"/>
    <w:rsid w:val="0062612B"/>
    <w:rsid w:val="006266A5"/>
    <w:rsid w:val="006267F7"/>
    <w:rsid w:val="0062731C"/>
    <w:rsid w:val="006311F1"/>
    <w:rsid w:val="006314C2"/>
    <w:rsid w:val="00631843"/>
    <w:rsid w:val="00631F2F"/>
    <w:rsid w:val="0063209E"/>
    <w:rsid w:val="006320EC"/>
    <w:rsid w:val="0063233E"/>
    <w:rsid w:val="006326C5"/>
    <w:rsid w:val="00632A6F"/>
    <w:rsid w:val="00632AF3"/>
    <w:rsid w:val="00633754"/>
    <w:rsid w:val="0063405A"/>
    <w:rsid w:val="006357DE"/>
    <w:rsid w:val="00635AD4"/>
    <w:rsid w:val="00636B48"/>
    <w:rsid w:val="00636CD7"/>
    <w:rsid w:val="00636CE4"/>
    <w:rsid w:val="00636E71"/>
    <w:rsid w:val="006373DD"/>
    <w:rsid w:val="0063794E"/>
    <w:rsid w:val="006379DC"/>
    <w:rsid w:val="00637AF9"/>
    <w:rsid w:val="00640454"/>
    <w:rsid w:val="0064100E"/>
    <w:rsid w:val="00641023"/>
    <w:rsid w:val="00641482"/>
    <w:rsid w:val="00641A26"/>
    <w:rsid w:val="0064274E"/>
    <w:rsid w:val="00642AF6"/>
    <w:rsid w:val="00642EEF"/>
    <w:rsid w:val="0064302D"/>
    <w:rsid w:val="006438FE"/>
    <w:rsid w:val="00644D2E"/>
    <w:rsid w:val="0064563F"/>
    <w:rsid w:val="006459AD"/>
    <w:rsid w:val="006464AC"/>
    <w:rsid w:val="0064692E"/>
    <w:rsid w:val="006469C2"/>
    <w:rsid w:val="00646A3A"/>
    <w:rsid w:val="00646F69"/>
    <w:rsid w:val="00647013"/>
    <w:rsid w:val="00647972"/>
    <w:rsid w:val="00647C7E"/>
    <w:rsid w:val="006502ED"/>
    <w:rsid w:val="00650C67"/>
    <w:rsid w:val="006512F0"/>
    <w:rsid w:val="0065135E"/>
    <w:rsid w:val="006517D3"/>
    <w:rsid w:val="00651ADF"/>
    <w:rsid w:val="00651FFE"/>
    <w:rsid w:val="00652861"/>
    <w:rsid w:val="00652B05"/>
    <w:rsid w:val="00652BF0"/>
    <w:rsid w:val="00652F60"/>
    <w:rsid w:val="00652FB4"/>
    <w:rsid w:val="006531A3"/>
    <w:rsid w:val="00653B3C"/>
    <w:rsid w:val="00653F1C"/>
    <w:rsid w:val="0065423E"/>
    <w:rsid w:val="00654637"/>
    <w:rsid w:val="0065486D"/>
    <w:rsid w:val="00654CF7"/>
    <w:rsid w:val="00654D82"/>
    <w:rsid w:val="0065544D"/>
    <w:rsid w:val="006554E5"/>
    <w:rsid w:val="00656AE0"/>
    <w:rsid w:val="00656BCE"/>
    <w:rsid w:val="00656BDE"/>
    <w:rsid w:val="00656DBF"/>
    <w:rsid w:val="00657160"/>
    <w:rsid w:val="006573F5"/>
    <w:rsid w:val="006577FA"/>
    <w:rsid w:val="006600B7"/>
    <w:rsid w:val="00660629"/>
    <w:rsid w:val="006608F8"/>
    <w:rsid w:val="00660C93"/>
    <w:rsid w:val="00661B4C"/>
    <w:rsid w:val="00661BE3"/>
    <w:rsid w:val="00662282"/>
    <w:rsid w:val="00662787"/>
    <w:rsid w:val="006629AB"/>
    <w:rsid w:val="0066339D"/>
    <w:rsid w:val="006637F7"/>
    <w:rsid w:val="00664474"/>
    <w:rsid w:val="0066448E"/>
    <w:rsid w:val="00664601"/>
    <w:rsid w:val="006647E7"/>
    <w:rsid w:val="00664D95"/>
    <w:rsid w:val="00664FC5"/>
    <w:rsid w:val="006652EC"/>
    <w:rsid w:val="00665569"/>
    <w:rsid w:val="00665594"/>
    <w:rsid w:val="006658F0"/>
    <w:rsid w:val="00665F0E"/>
    <w:rsid w:val="006662BA"/>
    <w:rsid w:val="00666332"/>
    <w:rsid w:val="0066642F"/>
    <w:rsid w:val="006666FD"/>
    <w:rsid w:val="00666DDF"/>
    <w:rsid w:val="006673D9"/>
    <w:rsid w:val="006678C9"/>
    <w:rsid w:val="00667D51"/>
    <w:rsid w:val="00670491"/>
    <w:rsid w:val="00670F01"/>
    <w:rsid w:val="00670F08"/>
    <w:rsid w:val="00671112"/>
    <w:rsid w:val="006711CD"/>
    <w:rsid w:val="00671274"/>
    <w:rsid w:val="006714CE"/>
    <w:rsid w:val="00672021"/>
    <w:rsid w:val="00672626"/>
    <w:rsid w:val="00672876"/>
    <w:rsid w:val="00672DD5"/>
    <w:rsid w:val="00672F78"/>
    <w:rsid w:val="0067339C"/>
    <w:rsid w:val="006734BE"/>
    <w:rsid w:val="00673D32"/>
    <w:rsid w:val="00675366"/>
    <w:rsid w:val="006759CB"/>
    <w:rsid w:val="00675D32"/>
    <w:rsid w:val="00675E99"/>
    <w:rsid w:val="006760DF"/>
    <w:rsid w:val="0067611A"/>
    <w:rsid w:val="0067642C"/>
    <w:rsid w:val="00676A74"/>
    <w:rsid w:val="00676B58"/>
    <w:rsid w:val="00676D5D"/>
    <w:rsid w:val="00680148"/>
    <w:rsid w:val="00680F5B"/>
    <w:rsid w:val="00682164"/>
    <w:rsid w:val="006821A3"/>
    <w:rsid w:val="0068230C"/>
    <w:rsid w:val="00682BA5"/>
    <w:rsid w:val="00682FA5"/>
    <w:rsid w:val="0068316A"/>
    <w:rsid w:val="0068330F"/>
    <w:rsid w:val="006834D8"/>
    <w:rsid w:val="00683AC0"/>
    <w:rsid w:val="00683CCE"/>
    <w:rsid w:val="00683DEA"/>
    <w:rsid w:val="00683F05"/>
    <w:rsid w:val="006843EE"/>
    <w:rsid w:val="00684B43"/>
    <w:rsid w:val="00684D70"/>
    <w:rsid w:val="00685089"/>
    <w:rsid w:val="006858F0"/>
    <w:rsid w:val="00685937"/>
    <w:rsid w:val="00685DBD"/>
    <w:rsid w:val="0068612F"/>
    <w:rsid w:val="00686763"/>
    <w:rsid w:val="00686800"/>
    <w:rsid w:val="00686EF0"/>
    <w:rsid w:val="00687B93"/>
    <w:rsid w:val="00687E4C"/>
    <w:rsid w:val="00690A36"/>
    <w:rsid w:val="00690C85"/>
    <w:rsid w:val="0069106C"/>
    <w:rsid w:val="00691433"/>
    <w:rsid w:val="006914E7"/>
    <w:rsid w:val="006916AA"/>
    <w:rsid w:val="00691D6E"/>
    <w:rsid w:val="00692436"/>
    <w:rsid w:val="00692D16"/>
    <w:rsid w:val="00692FF7"/>
    <w:rsid w:val="006930BD"/>
    <w:rsid w:val="0069324C"/>
    <w:rsid w:val="00694761"/>
    <w:rsid w:val="00694840"/>
    <w:rsid w:val="0069509B"/>
    <w:rsid w:val="006951E2"/>
    <w:rsid w:val="006960FC"/>
    <w:rsid w:val="006964C6"/>
    <w:rsid w:val="00696852"/>
    <w:rsid w:val="00697379"/>
    <w:rsid w:val="006976BB"/>
    <w:rsid w:val="006978ED"/>
    <w:rsid w:val="00697AF3"/>
    <w:rsid w:val="006A015F"/>
    <w:rsid w:val="006A114F"/>
    <w:rsid w:val="006A184C"/>
    <w:rsid w:val="006A2896"/>
    <w:rsid w:val="006A2ADD"/>
    <w:rsid w:val="006A2C78"/>
    <w:rsid w:val="006A3481"/>
    <w:rsid w:val="006A361D"/>
    <w:rsid w:val="006A38DF"/>
    <w:rsid w:val="006A3AF9"/>
    <w:rsid w:val="006A433E"/>
    <w:rsid w:val="006A44F3"/>
    <w:rsid w:val="006A454B"/>
    <w:rsid w:val="006A46C0"/>
    <w:rsid w:val="006A4F97"/>
    <w:rsid w:val="006A52EE"/>
    <w:rsid w:val="006A6E5D"/>
    <w:rsid w:val="006B1105"/>
    <w:rsid w:val="006B1158"/>
    <w:rsid w:val="006B15AD"/>
    <w:rsid w:val="006B2F98"/>
    <w:rsid w:val="006B3446"/>
    <w:rsid w:val="006B3921"/>
    <w:rsid w:val="006B4618"/>
    <w:rsid w:val="006B4AFB"/>
    <w:rsid w:val="006B4F01"/>
    <w:rsid w:val="006B5187"/>
    <w:rsid w:val="006B58A1"/>
    <w:rsid w:val="006B73FD"/>
    <w:rsid w:val="006B74D3"/>
    <w:rsid w:val="006B7656"/>
    <w:rsid w:val="006B7810"/>
    <w:rsid w:val="006B7845"/>
    <w:rsid w:val="006B7867"/>
    <w:rsid w:val="006B7F1C"/>
    <w:rsid w:val="006C00FD"/>
    <w:rsid w:val="006C0638"/>
    <w:rsid w:val="006C09E4"/>
    <w:rsid w:val="006C0ED8"/>
    <w:rsid w:val="006C102B"/>
    <w:rsid w:val="006C1144"/>
    <w:rsid w:val="006C1185"/>
    <w:rsid w:val="006C16F4"/>
    <w:rsid w:val="006C1B63"/>
    <w:rsid w:val="006C1F97"/>
    <w:rsid w:val="006C2136"/>
    <w:rsid w:val="006C2872"/>
    <w:rsid w:val="006C3181"/>
    <w:rsid w:val="006C3DDE"/>
    <w:rsid w:val="006C57B2"/>
    <w:rsid w:val="006C6B6F"/>
    <w:rsid w:val="006C7528"/>
    <w:rsid w:val="006C77ED"/>
    <w:rsid w:val="006C783F"/>
    <w:rsid w:val="006C798A"/>
    <w:rsid w:val="006C7A48"/>
    <w:rsid w:val="006C7E40"/>
    <w:rsid w:val="006D05DB"/>
    <w:rsid w:val="006D179A"/>
    <w:rsid w:val="006D21E9"/>
    <w:rsid w:val="006D22F6"/>
    <w:rsid w:val="006D257F"/>
    <w:rsid w:val="006D2CA3"/>
    <w:rsid w:val="006D2FC4"/>
    <w:rsid w:val="006D311A"/>
    <w:rsid w:val="006D341F"/>
    <w:rsid w:val="006D37AF"/>
    <w:rsid w:val="006D3A1F"/>
    <w:rsid w:val="006D4196"/>
    <w:rsid w:val="006D43E3"/>
    <w:rsid w:val="006D4403"/>
    <w:rsid w:val="006D4720"/>
    <w:rsid w:val="006D4748"/>
    <w:rsid w:val="006D4DF2"/>
    <w:rsid w:val="006D4FA9"/>
    <w:rsid w:val="006D5019"/>
    <w:rsid w:val="006D501E"/>
    <w:rsid w:val="006D5274"/>
    <w:rsid w:val="006D56DB"/>
    <w:rsid w:val="006D5953"/>
    <w:rsid w:val="006D5B26"/>
    <w:rsid w:val="006D5D56"/>
    <w:rsid w:val="006D6D49"/>
    <w:rsid w:val="006D6DB7"/>
    <w:rsid w:val="006D70E0"/>
    <w:rsid w:val="006E0181"/>
    <w:rsid w:val="006E0AAE"/>
    <w:rsid w:val="006E0F71"/>
    <w:rsid w:val="006E13AE"/>
    <w:rsid w:val="006E16AA"/>
    <w:rsid w:val="006E3498"/>
    <w:rsid w:val="006E3D8A"/>
    <w:rsid w:val="006E40B1"/>
    <w:rsid w:val="006E4199"/>
    <w:rsid w:val="006E43F6"/>
    <w:rsid w:val="006E4426"/>
    <w:rsid w:val="006E44C3"/>
    <w:rsid w:val="006E450A"/>
    <w:rsid w:val="006E46D5"/>
    <w:rsid w:val="006E4CA2"/>
    <w:rsid w:val="006E4D80"/>
    <w:rsid w:val="006E4E3E"/>
    <w:rsid w:val="006E532B"/>
    <w:rsid w:val="006E5464"/>
    <w:rsid w:val="006E5E4F"/>
    <w:rsid w:val="006E5EE8"/>
    <w:rsid w:val="006E63D2"/>
    <w:rsid w:val="006E6D55"/>
    <w:rsid w:val="006E718A"/>
    <w:rsid w:val="006E71F1"/>
    <w:rsid w:val="006E78A2"/>
    <w:rsid w:val="006E7AAD"/>
    <w:rsid w:val="006E7D1E"/>
    <w:rsid w:val="006F0766"/>
    <w:rsid w:val="006F0B1D"/>
    <w:rsid w:val="006F0F53"/>
    <w:rsid w:val="006F195F"/>
    <w:rsid w:val="006F1CEE"/>
    <w:rsid w:val="006F1D20"/>
    <w:rsid w:val="006F1F96"/>
    <w:rsid w:val="006F21DA"/>
    <w:rsid w:val="006F2870"/>
    <w:rsid w:val="006F28CA"/>
    <w:rsid w:val="006F2D05"/>
    <w:rsid w:val="006F2DD0"/>
    <w:rsid w:val="006F2DF3"/>
    <w:rsid w:val="006F30EF"/>
    <w:rsid w:val="006F3AED"/>
    <w:rsid w:val="006F4B24"/>
    <w:rsid w:val="006F54D8"/>
    <w:rsid w:val="006F5A43"/>
    <w:rsid w:val="006F618D"/>
    <w:rsid w:val="006F61DF"/>
    <w:rsid w:val="006F650B"/>
    <w:rsid w:val="006F67AF"/>
    <w:rsid w:val="006F69CF"/>
    <w:rsid w:val="006F70EF"/>
    <w:rsid w:val="007014EC"/>
    <w:rsid w:val="007018F0"/>
    <w:rsid w:val="007019F6"/>
    <w:rsid w:val="00701F04"/>
    <w:rsid w:val="0070267F"/>
    <w:rsid w:val="00702733"/>
    <w:rsid w:val="00702CAB"/>
    <w:rsid w:val="00703521"/>
    <w:rsid w:val="0070383F"/>
    <w:rsid w:val="00703DA0"/>
    <w:rsid w:val="0070438D"/>
    <w:rsid w:val="00704407"/>
    <w:rsid w:val="00704ABE"/>
    <w:rsid w:val="00704FF7"/>
    <w:rsid w:val="00705558"/>
    <w:rsid w:val="00705B86"/>
    <w:rsid w:val="00705E27"/>
    <w:rsid w:val="00705F5D"/>
    <w:rsid w:val="007064D2"/>
    <w:rsid w:val="00706583"/>
    <w:rsid w:val="00706BEF"/>
    <w:rsid w:val="00707944"/>
    <w:rsid w:val="007103DD"/>
    <w:rsid w:val="007107DF"/>
    <w:rsid w:val="007108F1"/>
    <w:rsid w:val="00710FA6"/>
    <w:rsid w:val="00710FBC"/>
    <w:rsid w:val="007110D8"/>
    <w:rsid w:val="00711275"/>
    <w:rsid w:val="007125DE"/>
    <w:rsid w:val="00712750"/>
    <w:rsid w:val="00712967"/>
    <w:rsid w:val="0071312F"/>
    <w:rsid w:val="0071384D"/>
    <w:rsid w:val="00713A49"/>
    <w:rsid w:val="00713A52"/>
    <w:rsid w:val="00713B49"/>
    <w:rsid w:val="00713CCA"/>
    <w:rsid w:val="00713E7C"/>
    <w:rsid w:val="00713ED4"/>
    <w:rsid w:val="00713EF8"/>
    <w:rsid w:val="00714741"/>
    <w:rsid w:val="00714C37"/>
    <w:rsid w:val="00714C8E"/>
    <w:rsid w:val="0071560E"/>
    <w:rsid w:val="007156A6"/>
    <w:rsid w:val="0071574D"/>
    <w:rsid w:val="00715DF7"/>
    <w:rsid w:val="00716567"/>
    <w:rsid w:val="00716847"/>
    <w:rsid w:val="00716F33"/>
    <w:rsid w:val="00716FE7"/>
    <w:rsid w:val="00717428"/>
    <w:rsid w:val="0071747F"/>
    <w:rsid w:val="007174F0"/>
    <w:rsid w:val="00717754"/>
    <w:rsid w:val="00717B7A"/>
    <w:rsid w:val="00717DA6"/>
    <w:rsid w:val="00720BDD"/>
    <w:rsid w:val="0072101F"/>
    <w:rsid w:val="007212CB"/>
    <w:rsid w:val="0072166A"/>
    <w:rsid w:val="00721EE9"/>
    <w:rsid w:val="007226E7"/>
    <w:rsid w:val="007230DB"/>
    <w:rsid w:val="0072369E"/>
    <w:rsid w:val="007238A9"/>
    <w:rsid w:val="007240EE"/>
    <w:rsid w:val="007243FC"/>
    <w:rsid w:val="00724512"/>
    <w:rsid w:val="00724D36"/>
    <w:rsid w:val="00724E80"/>
    <w:rsid w:val="00724F48"/>
    <w:rsid w:val="00724FD0"/>
    <w:rsid w:val="00725400"/>
    <w:rsid w:val="0072604F"/>
    <w:rsid w:val="00726240"/>
    <w:rsid w:val="00726BFF"/>
    <w:rsid w:val="0072742F"/>
    <w:rsid w:val="00727C17"/>
    <w:rsid w:val="0073154D"/>
    <w:rsid w:val="0073162B"/>
    <w:rsid w:val="00731913"/>
    <w:rsid w:val="00731DB2"/>
    <w:rsid w:val="007321D1"/>
    <w:rsid w:val="0073226A"/>
    <w:rsid w:val="007326BB"/>
    <w:rsid w:val="00732B3D"/>
    <w:rsid w:val="00733045"/>
    <w:rsid w:val="0073326B"/>
    <w:rsid w:val="007337E1"/>
    <w:rsid w:val="00733F24"/>
    <w:rsid w:val="00733FA3"/>
    <w:rsid w:val="007342AC"/>
    <w:rsid w:val="00734713"/>
    <w:rsid w:val="00734F0F"/>
    <w:rsid w:val="007350FA"/>
    <w:rsid w:val="0073510D"/>
    <w:rsid w:val="00736743"/>
    <w:rsid w:val="00736830"/>
    <w:rsid w:val="007373FD"/>
    <w:rsid w:val="00737A7A"/>
    <w:rsid w:val="00737CAA"/>
    <w:rsid w:val="00737FE5"/>
    <w:rsid w:val="007401D9"/>
    <w:rsid w:val="007402FE"/>
    <w:rsid w:val="00740460"/>
    <w:rsid w:val="0074051D"/>
    <w:rsid w:val="00740F24"/>
    <w:rsid w:val="00741B45"/>
    <w:rsid w:val="00741E2F"/>
    <w:rsid w:val="00741EC9"/>
    <w:rsid w:val="0074246F"/>
    <w:rsid w:val="007429ED"/>
    <w:rsid w:val="00742A67"/>
    <w:rsid w:val="00742E9E"/>
    <w:rsid w:val="00743DC3"/>
    <w:rsid w:val="00743F94"/>
    <w:rsid w:val="00744E39"/>
    <w:rsid w:val="007450A7"/>
    <w:rsid w:val="00745692"/>
    <w:rsid w:val="00745DC9"/>
    <w:rsid w:val="007463C0"/>
    <w:rsid w:val="007464FB"/>
    <w:rsid w:val="00747741"/>
    <w:rsid w:val="00747D86"/>
    <w:rsid w:val="007501D2"/>
    <w:rsid w:val="00750C6B"/>
    <w:rsid w:val="00750DF9"/>
    <w:rsid w:val="00751163"/>
    <w:rsid w:val="007519FC"/>
    <w:rsid w:val="00752066"/>
    <w:rsid w:val="007529C8"/>
    <w:rsid w:val="00753B48"/>
    <w:rsid w:val="00753EB2"/>
    <w:rsid w:val="0075428E"/>
    <w:rsid w:val="007542B0"/>
    <w:rsid w:val="00754429"/>
    <w:rsid w:val="00754509"/>
    <w:rsid w:val="00754D0A"/>
    <w:rsid w:val="007553B1"/>
    <w:rsid w:val="0075719C"/>
    <w:rsid w:val="007577CE"/>
    <w:rsid w:val="007579E1"/>
    <w:rsid w:val="00757B91"/>
    <w:rsid w:val="007607CE"/>
    <w:rsid w:val="00760AD3"/>
    <w:rsid w:val="00760DF0"/>
    <w:rsid w:val="00760F06"/>
    <w:rsid w:val="007615E4"/>
    <w:rsid w:val="0076186B"/>
    <w:rsid w:val="00761E0D"/>
    <w:rsid w:val="00762133"/>
    <w:rsid w:val="0076230C"/>
    <w:rsid w:val="00762DD6"/>
    <w:rsid w:val="00762FDB"/>
    <w:rsid w:val="00763152"/>
    <w:rsid w:val="00763502"/>
    <w:rsid w:val="00763648"/>
    <w:rsid w:val="00763A62"/>
    <w:rsid w:val="007640A5"/>
    <w:rsid w:val="0076489E"/>
    <w:rsid w:val="007648E6"/>
    <w:rsid w:val="00765995"/>
    <w:rsid w:val="00765E01"/>
    <w:rsid w:val="00765E98"/>
    <w:rsid w:val="00766416"/>
    <w:rsid w:val="00766422"/>
    <w:rsid w:val="007665C9"/>
    <w:rsid w:val="00766B23"/>
    <w:rsid w:val="00766B5F"/>
    <w:rsid w:val="00766CA5"/>
    <w:rsid w:val="00767D7B"/>
    <w:rsid w:val="00767F3E"/>
    <w:rsid w:val="00770427"/>
    <w:rsid w:val="0077045B"/>
    <w:rsid w:val="00770887"/>
    <w:rsid w:val="007708DC"/>
    <w:rsid w:val="0077271F"/>
    <w:rsid w:val="007727F1"/>
    <w:rsid w:val="00772CAA"/>
    <w:rsid w:val="007730CC"/>
    <w:rsid w:val="00773772"/>
    <w:rsid w:val="00773913"/>
    <w:rsid w:val="00773E2F"/>
    <w:rsid w:val="00774716"/>
    <w:rsid w:val="0077484D"/>
    <w:rsid w:val="00774DE7"/>
    <w:rsid w:val="007752F8"/>
    <w:rsid w:val="007759E0"/>
    <w:rsid w:val="00775AF6"/>
    <w:rsid w:val="00776409"/>
    <w:rsid w:val="007766A4"/>
    <w:rsid w:val="00776784"/>
    <w:rsid w:val="007767C5"/>
    <w:rsid w:val="00776B05"/>
    <w:rsid w:val="007770A7"/>
    <w:rsid w:val="0077785A"/>
    <w:rsid w:val="00777955"/>
    <w:rsid w:val="00777E17"/>
    <w:rsid w:val="00780319"/>
    <w:rsid w:val="007803D0"/>
    <w:rsid w:val="00780ABC"/>
    <w:rsid w:val="00780EBC"/>
    <w:rsid w:val="007811FA"/>
    <w:rsid w:val="007815EB"/>
    <w:rsid w:val="00781659"/>
    <w:rsid w:val="0078251F"/>
    <w:rsid w:val="00783029"/>
    <w:rsid w:val="007830F5"/>
    <w:rsid w:val="007832BD"/>
    <w:rsid w:val="0078359E"/>
    <w:rsid w:val="007837AB"/>
    <w:rsid w:val="007841D6"/>
    <w:rsid w:val="00784D35"/>
    <w:rsid w:val="00784E3D"/>
    <w:rsid w:val="007850B5"/>
    <w:rsid w:val="007858B4"/>
    <w:rsid w:val="00786515"/>
    <w:rsid w:val="007866E5"/>
    <w:rsid w:val="00786C75"/>
    <w:rsid w:val="0078727E"/>
    <w:rsid w:val="00790251"/>
    <w:rsid w:val="00790C39"/>
    <w:rsid w:val="0079130C"/>
    <w:rsid w:val="007919BA"/>
    <w:rsid w:val="00792348"/>
    <w:rsid w:val="00792BF4"/>
    <w:rsid w:val="00792EF5"/>
    <w:rsid w:val="00792F8D"/>
    <w:rsid w:val="00793281"/>
    <w:rsid w:val="007950CE"/>
    <w:rsid w:val="007957B6"/>
    <w:rsid w:val="0079645D"/>
    <w:rsid w:val="0079673E"/>
    <w:rsid w:val="00796BDD"/>
    <w:rsid w:val="00796C8D"/>
    <w:rsid w:val="00797250"/>
    <w:rsid w:val="007977B0"/>
    <w:rsid w:val="00797848"/>
    <w:rsid w:val="00797A1F"/>
    <w:rsid w:val="007A04D9"/>
    <w:rsid w:val="007A0A7F"/>
    <w:rsid w:val="007A10A3"/>
    <w:rsid w:val="007A126F"/>
    <w:rsid w:val="007A12F9"/>
    <w:rsid w:val="007A14CA"/>
    <w:rsid w:val="007A1642"/>
    <w:rsid w:val="007A1A82"/>
    <w:rsid w:val="007A2B3E"/>
    <w:rsid w:val="007A3260"/>
    <w:rsid w:val="007A3376"/>
    <w:rsid w:val="007A34B2"/>
    <w:rsid w:val="007A4208"/>
    <w:rsid w:val="007A445E"/>
    <w:rsid w:val="007A4EC2"/>
    <w:rsid w:val="007A50B2"/>
    <w:rsid w:val="007A62E3"/>
    <w:rsid w:val="007A6B37"/>
    <w:rsid w:val="007A7191"/>
    <w:rsid w:val="007A7205"/>
    <w:rsid w:val="007A7314"/>
    <w:rsid w:val="007A78DA"/>
    <w:rsid w:val="007A78EA"/>
    <w:rsid w:val="007B008F"/>
    <w:rsid w:val="007B045E"/>
    <w:rsid w:val="007B04F5"/>
    <w:rsid w:val="007B0B76"/>
    <w:rsid w:val="007B110E"/>
    <w:rsid w:val="007B1B33"/>
    <w:rsid w:val="007B3315"/>
    <w:rsid w:val="007B3549"/>
    <w:rsid w:val="007B3621"/>
    <w:rsid w:val="007B4A82"/>
    <w:rsid w:val="007B52A7"/>
    <w:rsid w:val="007B626B"/>
    <w:rsid w:val="007B64AA"/>
    <w:rsid w:val="007B7198"/>
    <w:rsid w:val="007B7302"/>
    <w:rsid w:val="007B7497"/>
    <w:rsid w:val="007B7688"/>
    <w:rsid w:val="007B7D81"/>
    <w:rsid w:val="007B7F69"/>
    <w:rsid w:val="007C1025"/>
    <w:rsid w:val="007C1321"/>
    <w:rsid w:val="007C1790"/>
    <w:rsid w:val="007C18CB"/>
    <w:rsid w:val="007C1FFB"/>
    <w:rsid w:val="007C2392"/>
    <w:rsid w:val="007C24EE"/>
    <w:rsid w:val="007C28BA"/>
    <w:rsid w:val="007C2A25"/>
    <w:rsid w:val="007C2BAA"/>
    <w:rsid w:val="007C3B8A"/>
    <w:rsid w:val="007C3FFD"/>
    <w:rsid w:val="007C4568"/>
    <w:rsid w:val="007C4657"/>
    <w:rsid w:val="007C58C7"/>
    <w:rsid w:val="007C5910"/>
    <w:rsid w:val="007C5951"/>
    <w:rsid w:val="007C59F7"/>
    <w:rsid w:val="007C6DCF"/>
    <w:rsid w:val="007C6E65"/>
    <w:rsid w:val="007C71AF"/>
    <w:rsid w:val="007C75C8"/>
    <w:rsid w:val="007C7BB9"/>
    <w:rsid w:val="007C7C33"/>
    <w:rsid w:val="007C7F1F"/>
    <w:rsid w:val="007D0044"/>
    <w:rsid w:val="007D06F4"/>
    <w:rsid w:val="007D18FE"/>
    <w:rsid w:val="007D2455"/>
    <w:rsid w:val="007D2F8C"/>
    <w:rsid w:val="007D32B4"/>
    <w:rsid w:val="007D3413"/>
    <w:rsid w:val="007D3AF7"/>
    <w:rsid w:val="007D434E"/>
    <w:rsid w:val="007D4BA8"/>
    <w:rsid w:val="007D4C28"/>
    <w:rsid w:val="007D4DEE"/>
    <w:rsid w:val="007D569F"/>
    <w:rsid w:val="007D59BC"/>
    <w:rsid w:val="007D5B05"/>
    <w:rsid w:val="007D6F9A"/>
    <w:rsid w:val="007D716C"/>
    <w:rsid w:val="007D79D5"/>
    <w:rsid w:val="007D7C6C"/>
    <w:rsid w:val="007E00E9"/>
    <w:rsid w:val="007E04BF"/>
    <w:rsid w:val="007E0DBB"/>
    <w:rsid w:val="007E0F97"/>
    <w:rsid w:val="007E100E"/>
    <w:rsid w:val="007E127A"/>
    <w:rsid w:val="007E1753"/>
    <w:rsid w:val="007E1904"/>
    <w:rsid w:val="007E1DD6"/>
    <w:rsid w:val="007E1F9F"/>
    <w:rsid w:val="007E2108"/>
    <w:rsid w:val="007E28C4"/>
    <w:rsid w:val="007E2B0A"/>
    <w:rsid w:val="007E2C51"/>
    <w:rsid w:val="007E2F61"/>
    <w:rsid w:val="007E301B"/>
    <w:rsid w:val="007E323F"/>
    <w:rsid w:val="007E35E4"/>
    <w:rsid w:val="007E376B"/>
    <w:rsid w:val="007E3A9E"/>
    <w:rsid w:val="007E3CBB"/>
    <w:rsid w:val="007E413C"/>
    <w:rsid w:val="007E41FB"/>
    <w:rsid w:val="007E4B68"/>
    <w:rsid w:val="007E4CC0"/>
    <w:rsid w:val="007E4DD3"/>
    <w:rsid w:val="007E59CA"/>
    <w:rsid w:val="007E63F5"/>
    <w:rsid w:val="007E704D"/>
    <w:rsid w:val="007E75C0"/>
    <w:rsid w:val="007E786E"/>
    <w:rsid w:val="007E7FBA"/>
    <w:rsid w:val="007F07F3"/>
    <w:rsid w:val="007F1076"/>
    <w:rsid w:val="007F1203"/>
    <w:rsid w:val="007F178D"/>
    <w:rsid w:val="007F1A1F"/>
    <w:rsid w:val="007F1D41"/>
    <w:rsid w:val="007F1F03"/>
    <w:rsid w:val="007F2625"/>
    <w:rsid w:val="007F35DF"/>
    <w:rsid w:val="007F377B"/>
    <w:rsid w:val="007F406A"/>
    <w:rsid w:val="007F45BC"/>
    <w:rsid w:val="007F5114"/>
    <w:rsid w:val="007F54DE"/>
    <w:rsid w:val="007F57D7"/>
    <w:rsid w:val="007F59DB"/>
    <w:rsid w:val="007F65F9"/>
    <w:rsid w:val="007F65FF"/>
    <w:rsid w:val="007F68B7"/>
    <w:rsid w:val="007F6C61"/>
    <w:rsid w:val="007F70F9"/>
    <w:rsid w:val="007F78D5"/>
    <w:rsid w:val="007F7902"/>
    <w:rsid w:val="0080016B"/>
    <w:rsid w:val="008002D7"/>
    <w:rsid w:val="00800BC4"/>
    <w:rsid w:val="00801265"/>
    <w:rsid w:val="00801843"/>
    <w:rsid w:val="00801A73"/>
    <w:rsid w:val="008024AE"/>
    <w:rsid w:val="0080396D"/>
    <w:rsid w:val="00803CEE"/>
    <w:rsid w:val="00803F6D"/>
    <w:rsid w:val="00803F9C"/>
    <w:rsid w:val="00804A1F"/>
    <w:rsid w:val="00805103"/>
    <w:rsid w:val="00805E97"/>
    <w:rsid w:val="00805FD3"/>
    <w:rsid w:val="00806131"/>
    <w:rsid w:val="008069A6"/>
    <w:rsid w:val="00807560"/>
    <w:rsid w:val="00810546"/>
    <w:rsid w:val="00810653"/>
    <w:rsid w:val="00810935"/>
    <w:rsid w:val="00810993"/>
    <w:rsid w:val="00810B9F"/>
    <w:rsid w:val="00810D7B"/>
    <w:rsid w:val="00810DC0"/>
    <w:rsid w:val="00810E3C"/>
    <w:rsid w:val="00811441"/>
    <w:rsid w:val="00811AA4"/>
    <w:rsid w:val="0081240B"/>
    <w:rsid w:val="00812597"/>
    <w:rsid w:val="008128C4"/>
    <w:rsid w:val="00813038"/>
    <w:rsid w:val="008138E4"/>
    <w:rsid w:val="00813BBB"/>
    <w:rsid w:val="00815198"/>
    <w:rsid w:val="00815CEC"/>
    <w:rsid w:val="008168A5"/>
    <w:rsid w:val="00816D7C"/>
    <w:rsid w:val="00817036"/>
    <w:rsid w:val="008170E9"/>
    <w:rsid w:val="00817C76"/>
    <w:rsid w:val="0082004A"/>
    <w:rsid w:val="008202BA"/>
    <w:rsid w:val="008202F3"/>
    <w:rsid w:val="0082037E"/>
    <w:rsid w:val="0082079C"/>
    <w:rsid w:val="00820962"/>
    <w:rsid w:val="00820BE6"/>
    <w:rsid w:val="008210D3"/>
    <w:rsid w:val="008213AF"/>
    <w:rsid w:val="00821444"/>
    <w:rsid w:val="008215B9"/>
    <w:rsid w:val="008216BC"/>
    <w:rsid w:val="00821747"/>
    <w:rsid w:val="00821B89"/>
    <w:rsid w:val="0082227F"/>
    <w:rsid w:val="0082235A"/>
    <w:rsid w:val="00822B95"/>
    <w:rsid w:val="00822EDB"/>
    <w:rsid w:val="008234DD"/>
    <w:rsid w:val="00823976"/>
    <w:rsid w:val="00823C82"/>
    <w:rsid w:val="00823E43"/>
    <w:rsid w:val="00823F07"/>
    <w:rsid w:val="008241D8"/>
    <w:rsid w:val="008242AC"/>
    <w:rsid w:val="0082454A"/>
    <w:rsid w:val="00824C9D"/>
    <w:rsid w:val="00825E83"/>
    <w:rsid w:val="00826475"/>
    <w:rsid w:val="00830423"/>
    <w:rsid w:val="008306CF"/>
    <w:rsid w:val="0083082F"/>
    <w:rsid w:val="00830928"/>
    <w:rsid w:val="00830D15"/>
    <w:rsid w:val="0083107D"/>
    <w:rsid w:val="008314D1"/>
    <w:rsid w:val="0083168F"/>
    <w:rsid w:val="00831EED"/>
    <w:rsid w:val="00832056"/>
    <w:rsid w:val="008326E7"/>
    <w:rsid w:val="008328E3"/>
    <w:rsid w:val="008329D7"/>
    <w:rsid w:val="00833CA9"/>
    <w:rsid w:val="00834161"/>
    <w:rsid w:val="00834BCD"/>
    <w:rsid w:val="00834FB3"/>
    <w:rsid w:val="00835288"/>
    <w:rsid w:val="008354B6"/>
    <w:rsid w:val="00835CC8"/>
    <w:rsid w:val="00835DBD"/>
    <w:rsid w:val="0083601A"/>
    <w:rsid w:val="008360FD"/>
    <w:rsid w:val="00836272"/>
    <w:rsid w:val="008368FE"/>
    <w:rsid w:val="00836D0F"/>
    <w:rsid w:val="008374FC"/>
    <w:rsid w:val="00837BEB"/>
    <w:rsid w:val="00840198"/>
    <w:rsid w:val="00840441"/>
    <w:rsid w:val="008405E0"/>
    <w:rsid w:val="0084075A"/>
    <w:rsid w:val="00840BC5"/>
    <w:rsid w:val="00840C3C"/>
    <w:rsid w:val="00840F7F"/>
    <w:rsid w:val="00841150"/>
    <w:rsid w:val="0084199D"/>
    <w:rsid w:val="00841D40"/>
    <w:rsid w:val="00841D85"/>
    <w:rsid w:val="00842771"/>
    <w:rsid w:val="00842ECE"/>
    <w:rsid w:val="00843CBA"/>
    <w:rsid w:val="00843EAC"/>
    <w:rsid w:val="0084414E"/>
    <w:rsid w:val="008442D2"/>
    <w:rsid w:val="00844697"/>
    <w:rsid w:val="00844985"/>
    <w:rsid w:val="00844A9F"/>
    <w:rsid w:val="00844D59"/>
    <w:rsid w:val="00844E9A"/>
    <w:rsid w:val="00845606"/>
    <w:rsid w:val="0084568A"/>
    <w:rsid w:val="00845BDB"/>
    <w:rsid w:val="008461C8"/>
    <w:rsid w:val="008469B1"/>
    <w:rsid w:val="00846F2F"/>
    <w:rsid w:val="0084705A"/>
    <w:rsid w:val="00847E54"/>
    <w:rsid w:val="00850AB7"/>
    <w:rsid w:val="00850E23"/>
    <w:rsid w:val="008519BC"/>
    <w:rsid w:val="00851BF8"/>
    <w:rsid w:val="00852638"/>
    <w:rsid w:val="00852D5C"/>
    <w:rsid w:val="00852F05"/>
    <w:rsid w:val="00852F2B"/>
    <w:rsid w:val="00853090"/>
    <w:rsid w:val="00853329"/>
    <w:rsid w:val="00853509"/>
    <w:rsid w:val="00853AF2"/>
    <w:rsid w:val="0085437C"/>
    <w:rsid w:val="00854CCB"/>
    <w:rsid w:val="0085543A"/>
    <w:rsid w:val="0085580B"/>
    <w:rsid w:val="00855C1C"/>
    <w:rsid w:val="008562F6"/>
    <w:rsid w:val="00856595"/>
    <w:rsid w:val="00856D8A"/>
    <w:rsid w:val="008575D8"/>
    <w:rsid w:val="00860156"/>
    <w:rsid w:val="00860F01"/>
    <w:rsid w:val="00860F36"/>
    <w:rsid w:val="008612A8"/>
    <w:rsid w:val="00861D36"/>
    <w:rsid w:val="008625C0"/>
    <w:rsid w:val="00862B00"/>
    <w:rsid w:val="00863FA2"/>
    <w:rsid w:val="00864133"/>
    <w:rsid w:val="0086438C"/>
    <w:rsid w:val="00864529"/>
    <w:rsid w:val="00864BAC"/>
    <w:rsid w:val="00865173"/>
    <w:rsid w:val="00865223"/>
    <w:rsid w:val="00865264"/>
    <w:rsid w:val="00865741"/>
    <w:rsid w:val="0086592B"/>
    <w:rsid w:val="00866142"/>
    <w:rsid w:val="00866972"/>
    <w:rsid w:val="00867198"/>
    <w:rsid w:val="0086751D"/>
    <w:rsid w:val="00867903"/>
    <w:rsid w:val="00867DDB"/>
    <w:rsid w:val="00867EE1"/>
    <w:rsid w:val="00870084"/>
    <w:rsid w:val="00870638"/>
    <w:rsid w:val="00870888"/>
    <w:rsid w:val="00870FA2"/>
    <w:rsid w:val="00871528"/>
    <w:rsid w:val="008715A1"/>
    <w:rsid w:val="0087193A"/>
    <w:rsid w:val="00871B9F"/>
    <w:rsid w:val="008722DD"/>
    <w:rsid w:val="00872D49"/>
    <w:rsid w:val="00873214"/>
    <w:rsid w:val="008734C1"/>
    <w:rsid w:val="00874500"/>
    <w:rsid w:val="0087488B"/>
    <w:rsid w:val="00874B1E"/>
    <w:rsid w:val="00874BAA"/>
    <w:rsid w:val="00875608"/>
    <w:rsid w:val="00875CB8"/>
    <w:rsid w:val="00876987"/>
    <w:rsid w:val="008777AC"/>
    <w:rsid w:val="00877A4E"/>
    <w:rsid w:val="00880721"/>
    <w:rsid w:val="00880CE6"/>
    <w:rsid w:val="008811AC"/>
    <w:rsid w:val="0088133E"/>
    <w:rsid w:val="00881978"/>
    <w:rsid w:val="00881DA0"/>
    <w:rsid w:val="00882DCD"/>
    <w:rsid w:val="00883399"/>
    <w:rsid w:val="0088368D"/>
    <w:rsid w:val="00883A3D"/>
    <w:rsid w:val="00883A43"/>
    <w:rsid w:val="00884394"/>
    <w:rsid w:val="0088475C"/>
    <w:rsid w:val="00884C5D"/>
    <w:rsid w:val="00884DE1"/>
    <w:rsid w:val="00885C38"/>
    <w:rsid w:val="00886715"/>
    <w:rsid w:val="00886D08"/>
    <w:rsid w:val="00887157"/>
    <w:rsid w:val="00887FDF"/>
    <w:rsid w:val="008903DE"/>
    <w:rsid w:val="00890704"/>
    <w:rsid w:val="00890FF7"/>
    <w:rsid w:val="00891B29"/>
    <w:rsid w:val="0089296D"/>
    <w:rsid w:val="008930F0"/>
    <w:rsid w:val="00893D2C"/>
    <w:rsid w:val="00893F6D"/>
    <w:rsid w:val="008947AD"/>
    <w:rsid w:val="008954A1"/>
    <w:rsid w:val="00896A61"/>
    <w:rsid w:val="00896D37"/>
    <w:rsid w:val="008972F2"/>
    <w:rsid w:val="00897432"/>
    <w:rsid w:val="00897E53"/>
    <w:rsid w:val="008A0A31"/>
    <w:rsid w:val="008A0DA6"/>
    <w:rsid w:val="008A1FA2"/>
    <w:rsid w:val="008A24A8"/>
    <w:rsid w:val="008A29EC"/>
    <w:rsid w:val="008A3143"/>
    <w:rsid w:val="008A3859"/>
    <w:rsid w:val="008A40CE"/>
    <w:rsid w:val="008A443A"/>
    <w:rsid w:val="008A4C9D"/>
    <w:rsid w:val="008A4FD2"/>
    <w:rsid w:val="008A50AB"/>
    <w:rsid w:val="008A5701"/>
    <w:rsid w:val="008A5DC0"/>
    <w:rsid w:val="008A680B"/>
    <w:rsid w:val="008A68CE"/>
    <w:rsid w:val="008A7090"/>
    <w:rsid w:val="008A7694"/>
    <w:rsid w:val="008B0629"/>
    <w:rsid w:val="008B07BC"/>
    <w:rsid w:val="008B1242"/>
    <w:rsid w:val="008B165E"/>
    <w:rsid w:val="008B1868"/>
    <w:rsid w:val="008B19FD"/>
    <w:rsid w:val="008B21AD"/>
    <w:rsid w:val="008B2795"/>
    <w:rsid w:val="008B2B3C"/>
    <w:rsid w:val="008B2BE9"/>
    <w:rsid w:val="008B327D"/>
    <w:rsid w:val="008B3C26"/>
    <w:rsid w:val="008B4705"/>
    <w:rsid w:val="008B5553"/>
    <w:rsid w:val="008B5D4B"/>
    <w:rsid w:val="008B61CA"/>
    <w:rsid w:val="008B6AF8"/>
    <w:rsid w:val="008B6CF2"/>
    <w:rsid w:val="008B70EF"/>
    <w:rsid w:val="008B7125"/>
    <w:rsid w:val="008B718F"/>
    <w:rsid w:val="008B78C0"/>
    <w:rsid w:val="008B7B15"/>
    <w:rsid w:val="008B7E80"/>
    <w:rsid w:val="008C01D1"/>
    <w:rsid w:val="008C022C"/>
    <w:rsid w:val="008C0A2D"/>
    <w:rsid w:val="008C298A"/>
    <w:rsid w:val="008C30EB"/>
    <w:rsid w:val="008C3115"/>
    <w:rsid w:val="008C326F"/>
    <w:rsid w:val="008C34B2"/>
    <w:rsid w:val="008C3751"/>
    <w:rsid w:val="008C3788"/>
    <w:rsid w:val="008C3C39"/>
    <w:rsid w:val="008C48B0"/>
    <w:rsid w:val="008C4C92"/>
    <w:rsid w:val="008C4CB3"/>
    <w:rsid w:val="008C4EFA"/>
    <w:rsid w:val="008C541E"/>
    <w:rsid w:val="008C635B"/>
    <w:rsid w:val="008C6976"/>
    <w:rsid w:val="008C6B7D"/>
    <w:rsid w:val="008C7074"/>
    <w:rsid w:val="008C73F7"/>
    <w:rsid w:val="008C750D"/>
    <w:rsid w:val="008C7604"/>
    <w:rsid w:val="008C7C61"/>
    <w:rsid w:val="008D006B"/>
    <w:rsid w:val="008D0A33"/>
    <w:rsid w:val="008D0DFE"/>
    <w:rsid w:val="008D1112"/>
    <w:rsid w:val="008D14BB"/>
    <w:rsid w:val="008D176B"/>
    <w:rsid w:val="008D196A"/>
    <w:rsid w:val="008D1A01"/>
    <w:rsid w:val="008D1F29"/>
    <w:rsid w:val="008D2835"/>
    <w:rsid w:val="008D3DDA"/>
    <w:rsid w:val="008D3FF4"/>
    <w:rsid w:val="008D4678"/>
    <w:rsid w:val="008D4831"/>
    <w:rsid w:val="008D48C6"/>
    <w:rsid w:val="008D53C2"/>
    <w:rsid w:val="008D53D8"/>
    <w:rsid w:val="008D5A65"/>
    <w:rsid w:val="008D5C9C"/>
    <w:rsid w:val="008D60BA"/>
    <w:rsid w:val="008D6455"/>
    <w:rsid w:val="008D653F"/>
    <w:rsid w:val="008D73C3"/>
    <w:rsid w:val="008D73D2"/>
    <w:rsid w:val="008D78AA"/>
    <w:rsid w:val="008D7B9C"/>
    <w:rsid w:val="008E09C3"/>
    <w:rsid w:val="008E0ACA"/>
    <w:rsid w:val="008E1192"/>
    <w:rsid w:val="008E13BD"/>
    <w:rsid w:val="008E16D1"/>
    <w:rsid w:val="008E182C"/>
    <w:rsid w:val="008E20FF"/>
    <w:rsid w:val="008E272A"/>
    <w:rsid w:val="008E2FA9"/>
    <w:rsid w:val="008E3521"/>
    <w:rsid w:val="008E3A2F"/>
    <w:rsid w:val="008E3AED"/>
    <w:rsid w:val="008E3C48"/>
    <w:rsid w:val="008E3DEE"/>
    <w:rsid w:val="008E4C75"/>
    <w:rsid w:val="008E513C"/>
    <w:rsid w:val="008E56F4"/>
    <w:rsid w:val="008E6253"/>
    <w:rsid w:val="008E62EB"/>
    <w:rsid w:val="008E7038"/>
    <w:rsid w:val="008E72DC"/>
    <w:rsid w:val="008E75BF"/>
    <w:rsid w:val="008F0805"/>
    <w:rsid w:val="008F0837"/>
    <w:rsid w:val="008F086C"/>
    <w:rsid w:val="008F0D04"/>
    <w:rsid w:val="008F0DD5"/>
    <w:rsid w:val="008F1581"/>
    <w:rsid w:val="008F15D8"/>
    <w:rsid w:val="008F1B20"/>
    <w:rsid w:val="008F1D9B"/>
    <w:rsid w:val="008F1EA8"/>
    <w:rsid w:val="008F1EB5"/>
    <w:rsid w:val="008F209F"/>
    <w:rsid w:val="008F21BA"/>
    <w:rsid w:val="008F2B13"/>
    <w:rsid w:val="008F2C55"/>
    <w:rsid w:val="008F3684"/>
    <w:rsid w:val="008F4019"/>
    <w:rsid w:val="008F4940"/>
    <w:rsid w:val="008F4D07"/>
    <w:rsid w:val="008F4F70"/>
    <w:rsid w:val="008F57F6"/>
    <w:rsid w:val="008F5D76"/>
    <w:rsid w:val="008F5E15"/>
    <w:rsid w:val="008F62EF"/>
    <w:rsid w:val="008F6D8B"/>
    <w:rsid w:val="008F71FD"/>
    <w:rsid w:val="008F7938"/>
    <w:rsid w:val="009006AA"/>
    <w:rsid w:val="0090077B"/>
    <w:rsid w:val="00900A0D"/>
    <w:rsid w:val="00900FA0"/>
    <w:rsid w:val="009012FB"/>
    <w:rsid w:val="009020AD"/>
    <w:rsid w:val="0090215C"/>
    <w:rsid w:val="0090310A"/>
    <w:rsid w:val="009039C4"/>
    <w:rsid w:val="00903E34"/>
    <w:rsid w:val="0090512C"/>
    <w:rsid w:val="009051FB"/>
    <w:rsid w:val="0090557C"/>
    <w:rsid w:val="0090562D"/>
    <w:rsid w:val="0090633F"/>
    <w:rsid w:val="0090641A"/>
    <w:rsid w:val="0090737E"/>
    <w:rsid w:val="00907E49"/>
    <w:rsid w:val="009108E1"/>
    <w:rsid w:val="00910E84"/>
    <w:rsid w:val="00911411"/>
    <w:rsid w:val="009119EC"/>
    <w:rsid w:val="00911B8C"/>
    <w:rsid w:val="00911DA0"/>
    <w:rsid w:val="0091226D"/>
    <w:rsid w:val="0091353B"/>
    <w:rsid w:val="0091366D"/>
    <w:rsid w:val="0091379C"/>
    <w:rsid w:val="00913C26"/>
    <w:rsid w:val="00914399"/>
    <w:rsid w:val="009145A3"/>
    <w:rsid w:val="0091562C"/>
    <w:rsid w:val="009160C9"/>
    <w:rsid w:val="0091667E"/>
    <w:rsid w:val="009167E2"/>
    <w:rsid w:val="0091680A"/>
    <w:rsid w:val="00916F6B"/>
    <w:rsid w:val="00917990"/>
    <w:rsid w:val="009179E9"/>
    <w:rsid w:val="00917A63"/>
    <w:rsid w:val="00917BC5"/>
    <w:rsid w:val="00921262"/>
    <w:rsid w:val="00921588"/>
    <w:rsid w:val="009223FB"/>
    <w:rsid w:val="009225E5"/>
    <w:rsid w:val="00922FE6"/>
    <w:rsid w:val="009231A5"/>
    <w:rsid w:val="00923559"/>
    <w:rsid w:val="009236A4"/>
    <w:rsid w:val="009240F6"/>
    <w:rsid w:val="0092429A"/>
    <w:rsid w:val="00924C97"/>
    <w:rsid w:val="00924E6C"/>
    <w:rsid w:val="00925C80"/>
    <w:rsid w:val="00925E60"/>
    <w:rsid w:val="009265EE"/>
    <w:rsid w:val="00926944"/>
    <w:rsid w:val="009269F4"/>
    <w:rsid w:val="009272C0"/>
    <w:rsid w:val="00927717"/>
    <w:rsid w:val="009277E3"/>
    <w:rsid w:val="00927E90"/>
    <w:rsid w:val="00927EF1"/>
    <w:rsid w:val="0093004F"/>
    <w:rsid w:val="0093040B"/>
    <w:rsid w:val="00930DB4"/>
    <w:rsid w:val="00930E6C"/>
    <w:rsid w:val="0093211F"/>
    <w:rsid w:val="00932186"/>
    <w:rsid w:val="009325A8"/>
    <w:rsid w:val="0093296D"/>
    <w:rsid w:val="00933BBE"/>
    <w:rsid w:val="00934030"/>
    <w:rsid w:val="0093414A"/>
    <w:rsid w:val="009343A4"/>
    <w:rsid w:val="009344B5"/>
    <w:rsid w:val="009344DC"/>
    <w:rsid w:val="00934F91"/>
    <w:rsid w:val="00935767"/>
    <w:rsid w:val="00935852"/>
    <w:rsid w:val="00935D46"/>
    <w:rsid w:val="009366D4"/>
    <w:rsid w:val="009367C4"/>
    <w:rsid w:val="00937178"/>
    <w:rsid w:val="00937331"/>
    <w:rsid w:val="00937702"/>
    <w:rsid w:val="00937A89"/>
    <w:rsid w:val="00937E06"/>
    <w:rsid w:val="00937F0C"/>
    <w:rsid w:val="00940328"/>
    <w:rsid w:val="0094036B"/>
    <w:rsid w:val="009403AD"/>
    <w:rsid w:val="00940EA8"/>
    <w:rsid w:val="00940FE5"/>
    <w:rsid w:val="0094149B"/>
    <w:rsid w:val="00941D89"/>
    <w:rsid w:val="00941E99"/>
    <w:rsid w:val="009420B2"/>
    <w:rsid w:val="009426F7"/>
    <w:rsid w:val="009427EB"/>
    <w:rsid w:val="00942C9B"/>
    <w:rsid w:val="0094308D"/>
    <w:rsid w:val="009439A9"/>
    <w:rsid w:val="00943ADC"/>
    <w:rsid w:val="009441B8"/>
    <w:rsid w:val="00944627"/>
    <w:rsid w:val="00944890"/>
    <w:rsid w:val="009448F8"/>
    <w:rsid w:val="00944B8F"/>
    <w:rsid w:val="00945D4C"/>
    <w:rsid w:val="00945F1C"/>
    <w:rsid w:val="0094633A"/>
    <w:rsid w:val="009463C3"/>
    <w:rsid w:val="00946883"/>
    <w:rsid w:val="00947167"/>
    <w:rsid w:val="00947D06"/>
    <w:rsid w:val="009501B4"/>
    <w:rsid w:val="0095090A"/>
    <w:rsid w:val="00950C17"/>
    <w:rsid w:val="00950CAC"/>
    <w:rsid w:val="00951176"/>
    <w:rsid w:val="00951537"/>
    <w:rsid w:val="00951C14"/>
    <w:rsid w:val="00951D98"/>
    <w:rsid w:val="00951E83"/>
    <w:rsid w:val="0095270C"/>
    <w:rsid w:val="00952D62"/>
    <w:rsid w:val="00952DB1"/>
    <w:rsid w:val="00953728"/>
    <w:rsid w:val="00953E5F"/>
    <w:rsid w:val="009544DF"/>
    <w:rsid w:val="00954BBF"/>
    <w:rsid w:val="00954C9C"/>
    <w:rsid w:val="00954CE2"/>
    <w:rsid w:val="009551C6"/>
    <w:rsid w:val="009556AA"/>
    <w:rsid w:val="009557EA"/>
    <w:rsid w:val="00955A05"/>
    <w:rsid w:val="00955DC8"/>
    <w:rsid w:val="009567AC"/>
    <w:rsid w:val="00956C85"/>
    <w:rsid w:val="00956CC1"/>
    <w:rsid w:val="00956E59"/>
    <w:rsid w:val="0096006A"/>
    <w:rsid w:val="009606FD"/>
    <w:rsid w:val="00960E05"/>
    <w:rsid w:val="00961073"/>
    <w:rsid w:val="009611C5"/>
    <w:rsid w:val="009619E6"/>
    <w:rsid w:val="00961D25"/>
    <w:rsid w:val="00962004"/>
    <w:rsid w:val="00962749"/>
    <w:rsid w:val="00962F63"/>
    <w:rsid w:val="00962FD6"/>
    <w:rsid w:val="009635FF"/>
    <w:rsid w:val="00963799"/>
    <w:rsid w:val="00963DFD"/>
    <w:rsid w:val="00963E5A"/>
    <w:rsid w:val="0096612D"/>
    <w:rsid w:val="009661FC"/>
    <w:rsid w:val="0096631B"/>
    <w:rsid w:val="00966977"/>
    <w:rsid w:val="009672EC"/>
    <w:rsid w:val="0096758C"/>
    <w:rsid w:val="00967BB9"/>
    <w:rsid w:val="00967E84"/>
    <w:rsid w:val="00970EB8"/>
    <w:rsid w:val="00970FB3"/>
    <w:rsid w:val="00971228"/>
    <w:rsid w:val="00971857"/>
    <w:rsid w:val="009718F3"/>
    <w:rsid w:val="00971A6B"/>
    <w:rsid w:val="00971C40"/>
    <w:rsid w:val="009724F6"/>
    <w:rsid w:val="0097264F"/>
    <w:rsid w:val="00973445"/>
    <w:rsid w:val="0097384D"/>
    <w:rsid w:val="009749AD"/>
    <w:rsid w:val="009750CE"/>
    <w:rsid w:val="00975816"/>
    <w:rsid w:val="00975E09"/>
    <w:rsid w:val="00976910"/>
    <w:rsid w:val="00976DCD"/>
    <w:rsid w:val="009772CA"/>
    <w:rsid w:val="009772D1"/>
    <w:rsid w:val="009805B5"/>
    <w:rsid w:val="009810FB"/>
    <w:rsid w:val="009819DD"/>
    <w:rsid w:val="00981DB5"/>
    <w:rsid w:val="00982E94"/>
    <w:rsid w:val="0098306A"/>
    <w:rsid w:val="00983265"/>
    <w:rsid w:val="00983505"/>
    <w:rsid w:val="0098490F"/>
    <w:rsid w:val="0098552E"/>
    <w:rsid w:val="00985622"/>
    <w:rsid w:val="00986786"/>
    <w:rsid w:val="00986FE2"/>
    <w:rsid w:val="009875A2"/>
    <w:rsid w:val="00987A25"/>
    <w:rsid w:val="00987A4B"/>
    <w:rsid w:val="00987AE4"/>
    <w:rsid w:val="00987CE4"/>
    <w:rsid w:val="00987D06"/>
    <w:rsid w:val="00987F6E"/>
    <w:rsid w:val="00990212"/>
    <w:rsid w:val="0099022D"/>
    <w:rsid w:val="00990A2E"/>
    <w:rsid w:val="00990D38"/>
    <w:rsid w:val="00991234"/>
    <w:rsid w:val="0099170F"/>
    <w:rsid w:val="00991AB2"/>
    <w:rsid w:val="0099209A"/>
    <w:rsid w:val="009926DE"/>
    <w:rsid w:val="0099311B"/>
    <w:rsid w:val="009931B5"/>
    <w:rsid w:val="0099382C"/>
    <w:rsid w:val="00993A21"/>
    <w:rsid w:val="00994293"/>
    <w:rsid w:val="009947C7"/>
    <w:rsid w:val="00994F58"/>
    <w:rsid w:val="009955F2"/>
    <w:rsid w:val="00995EA7"/>
    <w:rsid w:val="00996230"/>
    <w:rsid w:val="00996BA8"/>
    <w:rsid w:val="00996E5B"/>
    <w:rsid w:val="00996FC9"/>
    <w:rsid w:val="00997295"/>
    <w:rsid w:val="009973BB"/>
    <w:rsid w:val="009975EC"/>
    <w:rsid w:val="00997A43"/>
    <w:rsid w:val="00997C45"/>
    <w:rsid w:val="009A001A"/>
    <w:rsid w:val="009A044E"/>
    <w:rsid w:val="009A067C"/>
    <w:rsid w:val="009A09A5"/>
    <w:rsid w:val="009A1227"/>
    <w:rsid w:val="009A1307"/>
    <w:rsid w:val="009A158A"/>
    <w:rsid w:val="009A20AD"/>
    <w:rsid w:val="009A2AD3"/>
    <w:rsid w:val="009A2D3C"/>
    <w:rsid w:val="009A3637"/>
    <w:rsid w:val="009A38EA"/>
    <w:rsid w:val="009A3E8B"/>
    <w:rsid w:val="009A3FA1"/>
    <w:rsid w:val="009A4971"/>
    <w:rsid w:val="009A4AC9"/>
    <w:rsid w:val="009A4BCF"/>
    <w:rsid w:val="009A50B6"/>
    <w:rsid w:val="009A52F8"/>
    <w:rsid w:val="009A5BBF"/>
    <w:rsid w:val="009A5BCC"/>
    <w:rsid w:val="009A5E4F"/>
    <w:rsid w:val="009A6453"/>
    <w:rsid w:val="009A7350"/>
    <w:rsid w:val="009A76FE"/>
    <w:rsid w:val="009A77A2"/>
    <w:rsid w:val="009A7BBC"/>
    <w:rsid w:val="009B0036"/>
    <w:rsid w:val="009B051D"/>
    <w:rsid w:val="009B0738"/>
    <w:rsid w:val="009B08E4"/>
    <w:rsid w:val="009B0977"/>
    <w:rsid w:val="009B09EA"/>
    <w:rsid w:val="009B10E8"/>
    <w:rsid w:val="009B11F4"/>
    <w:rsid w:val="009B15F6"/>
    <w:rsid w:val="009B1713"/>
    <w:rsid w:val="009B1721"/>
    <w:rsid w:val="009B1E96"/>
    <w:rsid w:val="009B235E"/>
    <w:rsid w:val="009B2E77"/>
    <w:rsid w:val="009B3F96"/>
    <w:rsid w:val="009B45A3"/>
    <w:rsid w:val="009B46C0"/>
    <w:rsid w:val="009B4DFD"/>
    <w:rsid w:val="009B50FB"/>
    <w:rsid w:val="009B536C"/>
    <w:rsid w:val="009B62F2"/>
    <w:rsid w:val="009B6D9A"/>
    <w:rsid w:val="009B6F89"/>
    <w:rsid w:val="009B73F9"/>
    <w:rsid w:val="009B753E"/>
    <w:rsid w:val="009B78BC"/>
    <w:rsid w:val="009B7A0E"/>
    <w:rsid w:val="009C0765"/>
    <w:rsid w:val="009C2054"/>
    <w:rsid w:val="009C24EB"/>
    <w:rsid w:val="009C2594"/>
    <w:rsid w:val="009C2A6B"/>
    <w:rsid w:val="009C2B65"/>
    <w:rsid w:val="009C2C3F"/>
    <w:rsid w:val="009C2E5A"/>
    <w:rsid w:val="009C30A3"/>
    <w:rsid w:val="009C318D"/>
    <w:rsid w:val="009C341D"/>
    <w:rsid w:val="009C3B26"/>
    <w:rsid w:val="009C3FD0"/>
    <w:rsid w:val="009C475E"/>
    <w:rsid w:val="009C547C"/>
    <w:rsid w:val="009C5B57"/>
    <w:rsid w:val="009C5D1B"/>
    <w:rsid w:val="009C5F2F"/>
    <w:rsid w:val="009C6341"/>
    <w:rsid w:val="009C653D"/>
    <w:rsid w:val="009C6CA6"/>
    <w:rsid w:val="009C6F72"/>
    <w:rsid w:val="009C721E"/>
    <w:rsid w:val="009C7281"/>
    <w:rsid w:val="009C7B7E"/>
    <w:rsid w:val="009C7BEE"/>
    <w:rsid w:val="009C7E43"/>
    <w:rsid w:val="009C7E97"/>
    <w:rsid w:val="009D00BF"/>
    <w:rsid w:val="009D05F9"/>
    <w:rsid w:val="009D06E2"/>
    <w:rsid w:val="009D0A3B"/>
    <w:rsid w:val="009D0ADA"/>
    <w:rsid w:val="009D0CF2"/>
    <w:rsid w:val="009D130A"/>
    <w:rsid w:val="009D1F8D"/>
    <w:rsid w:val="009D1FAB"/>
    <w:rsid w:val="009D2C24"/>
    <w:rsid w:val="009D3095"/>
    <w:rsid w:val="009D3E39"/>
    <w:rsid w:val="009D4399"/>
    <w:rsid w:val="009D451A"/>
    <w:rsid w:val="009D4E74"/>
    <w:rsid w:val="009D4F20"/>
    <w:rsid w:val="009D4F9E"/>
    <w:rsid w:val="009D56E3"/>
    <w:rsid w:val="009D5B81"/>
    <w:rsid w:val="009D62F2"/>
    <w:rsid w:val="009E05D6"/>
    <w:rsid w:val="009E0997"/>
    <w:rsid w:val="009E1489"/>
    <w:rsid w:val="009E1B7C"/>
    <w:rsid w:val="009E1E3D"/>
    <w:rsid w:val="009E202C"/>
    <w:rsid w:val="009E28B9"/>
    <w:rsid w:val="009E2E3B"/>
    <w:rsid w:val="009E2E84"/>
    <w:rsid w:val="009E3980"/>
    <w:rsid w:val="009E3B55"/>
    <w:rsid w:val="009E43F8"/>
    <w:rsid w:val="009E4599"/>
    <w:rsid w:val="009E469A"/>
    <w:rsid w:val="009E5682"/>
    <w:rsid w:val="009E5806"/>
    <w:rsid w:val="009E6012"/>
    <w:rsid w:val="009E6B24"/>
    <w:rsid w:val="009E7C7C"/>
    <w:rsid w:val="009E7EDD"/>
    <w:rsid w:val="009F0AA2"/>
    <w:rsid w:val="009F1097"/>
    <w:rsid w:val="009F1983"/>
    <w:rsid w:val="009F23BD"/>
    <w:rsid w:val="009F2403"/>
    <w:rsid w:val="009F28DA"/>
    <w:rsid w:val="009F2913"/>
    <w:rsid w:val="009F38CE"/>
    <w:rsid w:val="009F3C50"/>
    <w:rsid w:val="009F3FDB"/>
    <w:rsid w:val="009F3FFF"/>
    <w:rsid w:val="009F425D"/>
    <w:rsid w:val="009F42B3"/>
    <w:rsid w:val="009F4332"/>
    <w:rsid w:val="009F48AA"/>
    <w:rsid w:val="009F4E34"/>
    <w:rsid w:val="009F5197"/>
    <w:rsid w:val="009F532D"/>
    <w:rsid w:val="009F583B"/>
    <w:rsid w:val="009F5ABB"/>
    <w:rsid w:val="009F5E45"/>
    <w:rsid w:val="009F6253"/>
    <w:rsid w:val="009F6ACC"/>
    <w:rsid w:val="009F6CBB"/>
    <w:rsid w:val="009F7087"/>
    <w:rsid w:val="009F7DA5"/>
    <w:rsid w:val="009F7F00"/>
    <w:rsid w:val="00A00672"/>
    <w:rsid w:val="00A00984"/>
    <w:rsid w:val="00A00F9E"/>
    <w:rsid w:val="00A012DB"/>
    <w:rsid w:val="00A01594"/>
    <w:rsid w:val="00A01A2C"/>
    <w:rsid w:val="00A01B11"/>
    <w:rsid w:val="00A0283A"/>
    <w:rsid w:val="00A02887"/>
    <w:rsid w:val="00A02FCC"/>
    <w:rsid w:val="00A03F4D"/>
    <w:rsid w:val="00A0423D"/>
    <w:rsid w:val="00A04318"/>
    <w:rsid w:val="00A04927"/>
    <w:rsid w:val="00A0497C"/>
    <w:rsid w:val="00A04F4B"/>
    <w:rsid w:val="00A04FFB"/>
    <w:rsid w:val="00A0585A"/>
    <w:rsid w:val="00A0695D"/>
    <w:rsid w:val="00A06E12"/>
    <w:rsid w:val="00A10AC7"/>
    <w:rsid w:val="00A10D44"/>
    <w:rsid w:val="00A10DA5"/>
    <w:rsid w:val="00A11319"/>
    <w:rsid w:val="00A11A60"/>
    <w:rsid w:val="00A12A2D"/>
    <w:rsid w:val="00A13915"/>
    <w:rsid w:val="00A13C4E"/>
    <w:rsid w:val="00A13F87"/>
    <w:rsid w:val="00A14560"/>
    <w:rsid w:val="00A14628"/>
    <w:rsid w:val="00A146D9"/>
    <w:rsid w:val="00A14D7C"/>
    <w:rsid w:val="00A14E53"/>
    <w:rsid w:val="00A15418"/>
    <w:rsid w:val="00A159FB"/>
    <w:rsid w:val="00A162ED"/>
    <w:rsid w:val="00A16B7B"/>
    <w:rsid w:val="00A178E7"/>
    <w:rsid w:val="00A17AEE"/>
    <w:rsid w:val="00A17F7B"/>
    <w:rsid w:val="00A20195"/>
    <w:rsid w:val="00A20303"/>
    <w:rsid w:val="00A2032E"/>
    <w:rsid w:val="00A20829"/>
    <w:rsid w:val="00A23F13"/>
    <w:rsid w:val="00A240BF"/>
    <w:rsid w:val="00A241A8"/>
    <w:rsid w:val="00A242E1"/>
    <w:rsid w:val="00A24643"/>
    <w:rsid w:val="00A2465F"/>
    <w:rsid w:val="00A249A0"/>
    <w:rsid w:val="00A249F7"/>
    <w:rsid w:val="00A24B24"/>
    <w:rsid w:val="00A24B51"/>
    <w:rsid w:val="00A24C80"/>
    <w:rsid w:val="00A24E4F"/>
    <w:rsid w:val="00A252C3"/>
    <w:rsid w:val="00A25688"/>
    <w:rsid w:val="00A2728D"/>
    <w:rsid w:val="00A3027C"/>
    <w:rsid w:val="00A30A76"/>
    <w:rsid w:val="00A30EB9"/>
    <w:rsid w:val="00A31367"/>
    <w:rsid w:val="00A32CAE"/>
    <w:rsid w:val="00A3371D"/>
    <w:rsid w:val="00A33C2B"/>
    <w:rsid w:val="00A341C0"/>
    <w:rsid w:val="00A348D3"/>
    <w:rsid w:val="00A3523E"/>
    <w:rsid w:val="00A352BC"/>
    <w:rsid w:val="00A3673A"/>
    <w:rsid w:val="00A36D77"/>
    <w:rsid w:val="00A36DBA"/>
    <w:rsid w:val="00A3707D"/>
    <w:rsid w:val="00A37205"/>
    <w:rsid w:val="00A377B6"/>
    <w:rsid w:val="00A37822"/>
    <w:rsid w:val="00A37C8C"/>
    <w:rsid w:val="00A37DB5"/>
    <w:rsid w:val="00A37E17"/>
    <w:rsid w:val="00A37E59"/>
    <w:rsid w:val="00A4079A"/>
    <w:rsid w:val="00A40A62"/>
    <w:rsid w:val="00A40C5B"/>
    <w:rsid w:val="00A40D9E"/>
    <w:rsid w:val="00A40E17"/>
    <w:rsid w:val="00A412B4"/>
    <w:rsid w:val="00A415A9"/>
    <w:rsid w:val="00A41767"/>
    <w:rsid w:val="00A42538"/>
    <w:rsid w:val="00A42AAE"/>
    <w:rsid w:val="00A43680"/>
    <w:rsid w:val="00A43ECC"/>
    <w:rsid w:val="00A44286"/>
    <w:rsid w:val="00A4451B"/>
    <w:rsid w:val="00A4460E"/>
    <w:rsid w:val="00A446ED"/>
    <w:rsid w:val="00A44794"/>
    <w:rsid w:val="00A44E0A"/>
    <w:rsid w:val="00A44F16"/>
    <w:rsid w:val="00A4514A"/>
    <w:rsid w:val="00A4544B"/>
    <w:rsid w:val="00A45793"/>
    <w:rsid w:val="00A4612A"/>
    <w:rsid w:val="00A461A9"/>
    <w:rsid w:val="00A463B8"/>
    <w:rsid w:val="00A46541"/>
    <w:rsid w:val="00A46B70"/>
    <w:rsid w:val="00A473A0"/>
    <w:rsid w:val="00A47613"/>
    <w:rsid w:val="00A50017"/>
    <w:rsid w:val="00A5097F"/>
    <w:rsid w:val="00A50A2F"/>
    <w:rsid w:val="00A51A64"/>
    <w:rsid w:val="00A51A85"/>
    <w:rsid w:val="00A52726"/>
    <w:rsid w:val="00A53E27"/>
    <w:rsid w:val="00A54707"/>
    <w:rsid w:val="00A555A6"/>
    <w:rsid w:val="00A555DC"/>
    <w:rsid w:val="00A556DE"/>
    <w:rsid w:val="00A55789"/>
    <w:rsid w:val="00A55B03"/>
    <w:rsid w:val="00A55DC7"/>
    <w:rsid w:val="00A55E1F"/>
    <w:rsid w:val="00A56DCA"/>
    <w:rsid w:val="00A574C9"/>
    <w:rsid w:val="00A57514"/>
    <w:rsid w:val="00A57824"/>
    <w:rsid w:val="00A606F4"/>
    <w:rsid w:val="00A608D2"/>
    <w:rsid w:val="00A60A7C"/>
    <w:rsid w:val="00A60DB5"/>
    <w:rsid w:val="00A62647"/>
    <w:rsid w:val="00A63118"/>
    <w:rsid w:val="00A63563"/>
    <w:rsid w:val="00A63947"/>
    <w:rsid w:val="00A64063"/>
    <w:rsid w:val="00A64DD4"/>
    <w:rsid w:val="00A6526E"/>
    <w:rsid w:val="00A6574A"/>
    <w:rsid w:val="00A6609F"/>
    <w:rsid w:val="00A66962"/>
    <w:rsid w:val="00A66B54"/>
    <w:rsid w:val="00A66E49"/>
    <w:rsid w:val="00A67BA0"/>
    <w:rsid w:val="00A70049"/>
    <w:rsid w:val="00A700D2"/>
    <w:rsid w:val="00A702F1"/>
    <w:rsid w:val="00A71831"/>
    <w:rsid w:val="00A72295"/>
    <w:rsid w:val="00A72310"/>
    <w:rsid w:val="00A72611"/>
    <w:rsid w:val="00A72FE5"/>
    <w:rsid w:val="00A73091"/>
    <w:rsid w:val="00A730A0"/>
    <w:rsid w:val="00A7328B"/>
    <w:rsid w:val="00A73DA1"/>
    <w:rsid w:val="00A73EF0"/>
    <w:rsid w:val="00A74112"/>
    <w:rsid w:val="00A7415E"/>
    <w:rsid w:val="00A74B3D"/>
    <w:rsid w:val="00A7504B"/>
    <w:rsid w:val="00A750C5"/>
    <w:rsid w:val="00A759DB"/>
    <w:rsid w:val="00A76160"/>
    <w:rsid w:val="00A76521"/>
    <w:rsid w:val="00A76A5D"/>
    <w:rsid w:val="00A77154"/>
    <w:rsid w:val="00A77462"/>
    <w:rsid w:val="00A775F1"/>
    <w:rsid w:val="00A7792B"/>
    <w:rsid w:val="00A8034E"/>
    <w:rsid w:val="00A80774"/>
    <w:rsid w:val="00A81005"/>
    <w:rsid w:val="00A81543"/>
    <w:rsid w:val="00A81A39"/>
    <w:rsid w:val="00A81CE4"/>
    <w:rsid w:val="00A825FF"/>
    <w:rsid w:val="00A8265D"/>
    <w:rsid w:val="00A8294F"/>
    <w:rsid w:val="00A8297B"/>
    <w:rsid w:val="00A83612"/>
    <w:rsid w:val="00A8413F"/>
    <w:rsid w:val="00A841C9"/>
    <w:rsid w:val="00A8449F"/>
    <w:rsid w:val="00A84BFD"/>
    <w:rsid w:val="00A84E08"/>
    <w:rsid w:val="00A851FA"/>
    <w:rsid w:val="00A85602"/>
    <w:rsid w:val="00A85A19"/>
    <w:rsid w:val="00A8631F"/>
    <w:rsid w:val="00A87D49"/>
    <w:rsid w:val="00A90046"/>
    <w:rsid w:val="00A90542"/>
    <w:rsid w:val="00A90A3E"/>
    <w:rsid w:val="00A90EDC"/>
    <w:rsid w:val="00A9101B"/>
    <w:rsid w:val="00A91662"/>
    <w:rsid w:val="00A9174F"/>
    <w:rsid w:val="00A91A56"/>
    <w:rsid w:val="00A91A5F"/>
    <w:rsid w:val="00A91FD2"/>
    <w:rsid w:val="00A93845"/>
    <w:rsid w:val="00A94ED5"/>
    <w:rsid w:val="00A953AC"/>
    <w:rsid w:val="00A95437"/>
    <w:rsid w:val="00A95523"/>
    <w:rsid w:val="00A96705"/>
    <w:rsid w:val="00A968C9"/>
    <w:rsid w:val="00A9696C"/>
    <w:rsid w:val="00A977AE"/>
    <w:rsid w:val="00A977B0"/>
    <w:rsid w:val="00AA07C3"/>
    <w:rsid w:val="00AA0987"/>
    <w:rsid w:val="00AA1E72"/>
    <w:rsid w:val="00AA274A"/>
    <w:rsid w:val="00AA3595"/>
    <w:rsid w:val="00AA3F6D"/>
    <w:rsid w:val="00AA3FD0"/>
    <w:rsid w:val="00AA4582"/>
    <w:rsid w:val="00AA5177"/>
    <w:rsid w:val="00AA54D3"/>
    <w:rsid w:val="00AA55C7"/>
    <w:rsid w:val="00AA6367"/>
    <w:rsid w:val="00AA67FF"/>
    <w:rsid w:val="00AA7215"/>
    <w:rsid w:val="00AA7CAF"/>
    <w:rsid w:val="00AB0046"/>
    <w:rsid w:val="00AB08CE"/>
    <w:rsid w:val="00AB0C38"/>
    <w:rsid w:val="00AB0F98"/>
    <w:rsid w:val="00AB1273"/>
    <w:rsid w:val="00AB1490"/>
    <w:rsid w:val="00AB1750"/>
    <w:rsid w:val="00AB1878"/>
    <w:rsid w:val="00AB1C75"/>
    <w:rsid w:val="00AB24F1"/>
    <w:rsid w:val="00AB365E"/>
    <w:rsid w:val="00AB382C"/>
    <w:rsid w:val="00AB443B"/>
    <w:rsid w:val="00AB44CD"/>
    <w:rsid w:val="00AB4667"/>
    <w:rsid w:val="00AB4E1B"/>
    <w:rsid w:val="00AB4EA7"/>
    <w:rsid w:val="00AB57F6"/>
    <w:rsid w:val="00AB5878"/>
    <w:rsid w:val="00AB5AF3"/>
    <w:rsid w:val="00AB6B43"/>
    <w:rsid w:val="00AB6E51"/>
    <w:rsid w:val="00AB76E0"/>
    <w:rsid w:val="00AB7A71"/>
    <w:rsid w:val="00AB7C65"/>
    <w:rsid w:val="00AC07D0"/>
    <w:rsid w:val="00AC0A98"/>
    <w:rsid w:val="00AC0FDB"/>
    <w:rsid w:val="00AC1729"/>
    <w:rsid w:val="00AC2954"/>
    <w:rsid w:val="00AC2E5B"/>
    <w:rsid w:val="00AC3200"/>
    <w:rsid w:val="00AC3300"/>
    <w:rsid w:val="00AC37E8"/>
    <w:rsid w:val="00AC41AA"/>
    <w:rsid w:val="00AC420C"/>
    <w:rsid w:val="00AC4605"/>
    <w:rsid w:val="00AC4972"/>
    <w:rsid w:val="00AC50F2"/>
    <w:rsid w:val="00AC5C38"/>
    <w:rsid w:val="00AC6147"/>
    <w:rsid w:val="00AC6261"/>
    <w:rsid w:val="00AC63A4"/>
    <w:rsid w:val="00AC645F"/>
    <w:rsid w:val="00AC6DDB"/>
    <w:rsid w:val="00AC6E59"/>
    <w:rsid w:val="00AC779C"/>
    <w:rsid w:val="00AD06C1"/>
    <w:rsid w:val="00AD0B87"/>
    <w:rsid w:val="00AD0EE6"/>
    <w:rsid w:val="00AD12AC"/>
    <w:rsid w:val="00AD1536"/>
    <w:rsid w:val="00AD1BC9"/>
    <w:rsid w:val="00AD1C9E"/>
    <w:rsid w:val="00AD1DCD"/>
    <w:rsid w:val="00AD27B4"/>
    <w:rsid w:val="00AD2E01"/>
    <w:rsid w:val="00AD302B"/>
    <w:rsid w:val="00AD32F7"/>
    <w:rsid w:val="00AD3A95"/>
    <w:rsid w:val="00AD3DB0"/>
    <w:rsid w:val="00AD44E5"/>
    <w:rsid w:val="00AD4519"/>
    <w:rsid w:val="00AD481E"/>
    <w:rsid w:val="00AD584B"/>
    <w:rsid w:val="00AD5DC0"/>
    <w:rsid w:val="00AD5E84"/>
    <w:rsid w:val="00AD5FD7"/>
    <w:rsid w:val="00AD63D3"/>
    <w:rsid w:val="00AD65BA"/>
    <w:rsid w:val="00AD6851"/>
    <w:rsid w:val="00AD69A4"/>
    <w:rsid w:val="00AD6B5D"/>
    <w:rsid w:val="00AD7027"/>
    <w:rsid w:val="00AD76D6"/>
    <w:rsid w:val="00AE0C3A"/>
    <w:rsid w:val="00AE120E"/>
    <w:rsid w:val="00AE17A1"/>
    <w:rsid w:val="00AE22BE"/>
    <w:rsid w:val="00AE244F"/>
    <w:rsid w:val="00AE40FD"/>
    <w:rsid w:val="00AE423B"/>
    <w:rsid w:val="00AE51E3"/>
    <w:rsid w:val="00AE5544"/>
    <w:rsid w:val="00AE6D16"/>
    <w:rsid w:val="00AE6E66"/>
    <w:rsid w:val="00AE70AA"/>
    <w:rsid w:val="00AE73F3"/>
    <w:rsid w:val="00AF0271"/>
    <w:rsid w:val="00AF099F"/>
    <w:rsid w:val="00AF1218"/>
    <w:rsid w:val="00AF12CD"/>
    <w:rsid w:val="00AF1596"/>
    <w:rsid w:val="00AF190A"/>
    <w:rsid w:val="00AF1BD5"/>
    <w:rsid w:val="00AF1CA0"/>
    <w:rsid w:val="00AF1E89"/>
    <w:rsid w:val="00AF1FFD"/>
    <w:rsid w:val="00AF205D"/>
    <w:rsid w:val="00AF242C"/>
    <w:rsid w:val="00AF2730"/>
    <w:rsid w:val="00AF2D89"/>
    <w:rsid w:val="00AF3022"/>
    <w:rsid w:val="00AF312A"/>
    <w:rsid w:val="00AF3241"/>
    <w:rsid w:val="00AF38D8"/>
    <w:rsid w:val="00AF4235"/>
    <w:rsid w:val="00AF489E"/>
    <w:rsid w:val="00AF5E98"/>
    <w:rsid w:val="00AF5ED0"/>
    <w:rsid w:val="00AF66EE"/>
    <w:rsid w:val="00AF68D2"/>
    <w:rsid w:val="00AF6A84"/>
    <w:rsid w:val="00AF6C5A"/>
    <w:rsid w:val="00AF732C"/>
    <w:rsid w:val="00AF74C8"/>
    <w:rsid w:val="00AF7B4A"/>
    <w:rsid w:val="00AF7DE7"/>
    <w:rsid w:val="00AF7E04"/>
    <w:rsid w:val="00B00085"/>
    <w:rsid w:val="00B0032C"/>
    <w:rsid w:val="00B00740"/>
    <w:rsid w:val="00B00966"/>
    <w:rsid w:val="00B00DE8"/>
    <w:rsid w:val="00B011F2"/>
    <w:rsid w:val="00B01AD3"/>
    <w:rsid w:val="00B0228F"/>
    <w:rsid w:val="00B0247F"/>
    <w:rsid w:val="00B02A41"/>
    <w:rsid w:val="00B02B0D"/>
    <w:rsid w:val="00B0343C"/>
    <w:rsid w:val="00B036E0"/>
    <w:rsid w:val="00B03AF2"/>
    <w:rsid w:val="00B03D11"/>
    <w:rsid w:val="00B04268"/>
    <w:rsid w:val="00B049D7"/>
    <w:rsid w:val="00B04A6B"/>
    <w:rsid w:val="00B04F49"/>
    <w:rsid w:val="00B05191"/>
    <w:rsid w:val="00B0527D"/>
    <w:rsid w:val="00B0532B"/>
    <w:rsid w:val="00B05EF9"/>
    <w:rsid w:val="00B067C3"/>
    <w:rsid w:val="00B06952"/>
    <w:rsid w:val="00B06E02"/>
    <w:rsid w:val="00B07348"/>
    <w:rsid w:val="00B07CFD"/>
    <w:rsid w:val="00B100AC"/>
    <w:rsid w:val="00B103A6"/>
    <w:rsid w:val="00B1053E"/>
    <w:rsid w:val="00B10A61"/>
    <w:rsid w:val="00B110AB"/>
    <w:rsid w:val="00B110C1"/>
    <w:rsid w:val="00B12935"/>
    <w:rsid w:val="00B129B7"/>
    <w:rsid w:val="00B12B2D"/>
    <w:rsid w:val="00B12B38"/>
    <w:rsid w:val="00B13128"/>
    <w:rsid w:val="00B13721"/>
    <w:rsid w:val="00B13C4B"/>
    <w:rsid w:val="00B14D59"/>
    <w:rsid w:val="00B155BE"/>
    <w:rsid w:val="00B16262"/>
    <w:rsid w:val="00B16A1D"/>
    <w:rsid w:val="00B16BE0"/>
    <w:rsid w:val="00B16C80"/>
    <w:rsid w:val="00B170A3"/>
    <w:rsid w:val="00B1783A"/>
    <w:rsid w:val="00B17ADD"/>
    <w:rsid w:val="00B17B02"/>
    <w:rsid w:val="00B20173"/>
    <w:rsid w:val="00B201EE"/>
    <w:rsid w:val="00B201FA"/>
    <w:rsid w:val="00B20366"/>
    <w:rsid w:val="00B209F4"/>
    <w:rsid w:val="00B20BB9"/>
    <w:rsid w:val="00B20F01"/>
    <w:rsid w:val="00B2122C"/>
    <w:rsid w:val="00B21242"/>
    <w:rsid w:val="00B223D6"/>
    <w:rsid w:val="00B22D04"/>
    <w:rsid w:val="00B23068"/>
    <w:rsid w:val="00B2314B"/>
    <w:rsid w:val="00B237FA"/>
    <w:rsid w:val="00B2387C"/>
    <w:rsid w:val="00B23925"/>
    <w:rsid w:val="00B23FEF"/>
    <w:rsid w:val="00B24250"/>
    <w:rsid w:val="00B2429A"/>
    <w:rsid w:val="00B24950"/>
    <w:rsid w:val="00B24D9B"/>
    <w:rsid w:val="00B24E45"/>
    <w:rsid w:val="00B24EA2"/>
    <w:rsid w:val="00B2623A"/>
    <w:rsid w:val="00B26519"/>
    <w:rsid w:val="00B26E23"/>
    <w:rsid w:val="00B27223"/>
    <w:rsid w:val="00B27B66"/>
    <w:rsid w:val="00B3002A"/>
    <w:rsid w:val="00B30A94"/>
    <w:rsid w:val="00B30B56"/>
    <w:rsid w:val="00B30CDD"/>
    <w:rsid w:val="00B30D6F"/>
    <w:rsid w:val="00B31322"/>
    <w:rsid w:val="00B31A88"/>
    <w:rsid w:val="00B31D49"/>
    <w:rsid w:val="00B32032"/>
    <w:rsid w:val="00B32126"/>
    <w:rsid w:val="00B329C7"/>
    <w:rsid w:val="00B32CE9"/>
    <w:rsid w:val="00B334EB"/>
    <w:rsid w:val="00B33729"/>
    <w:rsid w:val="00B34F16"/>
    <w:rsid w:val="00B35DC3"/>
    <w:rsid w:val="00B3677B"/>
    <w:rsid w:val="00B36A14"/>
    <w:rsid w:val="00B3738D"/>
    <w:rsid w:val="00B378BA"/>
    <w:rsid w:val="00B37E05"/>
    <w:rsid w:val="00B37E10"/>
    <w:rsid w:val="00B37F65"/>
    <w:rsid w:val="00B37F8A"/>
    <w:rsid w:val="00B40B39"/>
    <w:rsid w:val="00B40C9B"/>
    <w:rsid w:val="00B40E83"/>
    <w:rsid w:val="00B414B6"/>
    <w:rsid w:val="00B4152F"/>
    <w:rsid w:val="00B417F7"/>
    <w:rsid w:val="00B418FB"/>
    <w:rsid w:val="00B41A74"/>
    <w:rsid w:val="00B41DDD"/>
    <w:rsid w:val="00B41FED"/>
    <w:rsid w:val="00B421CC"/>
    <w:rsid w:val="00B42914"/>
    <w:rsid w:val="00B429BD"/>
    <w:rsid w:val="00B42F86"/>
    <w:rsid w:val="00B43038"/>
    <w:rsid w:val="00B432B9"/>
    <w:rsid w:val="00B43742"/>
    <w:rsid w:val="00B43A5C"/>
    <w:rsid w:val="00B44C1C"/>
    <w:rsid w:val="00B450B0"/>
    <w:rsid w:val="00B450E3"/>
    <w:rsid w:val="00B45BCB"/>
    <w:rsid w:val="00B45C7E"/>
    <w:rsid w:val="00B45D1C"/>
    <w:rsid w:val="00B46240"/>
    <w:rsid w:val="00B4647C"/>
    <w:rsid w:val="00B466BC"/>
    <w:rsid w:val="00B47730"/>
    <w:rsid w:val="00B50E5D"/>
    <w:rsid w:val="00B51846"/>
    <w:rsid w:val="00B5196B"/>
    <w:rsid w:val="00B5197A"/>
    <w:rsid w:val="00B52123"/>
    <w:rsid w:val="00B52192"/>
    <w:rsid w:val="00B529DF"/>
    <w:rsid w:val="00B52E1C"/>
    <w:rsid w:val="00B53232"/>
    <w:rsid w:val="00B534FA"/>
    <w:rsid w:val="00B537EC"/>
    <w:rsid w:val="00B538A7"/>
    <w:rsid w:val="00B53EDF"/>
    <w:rsid w:val="00B542CF"/>
    <w:rsid w:val="00B5559A"/>
    <w:rsid w:val="00B55E9E"/>
    <w:rsid w:val="00B566E2"/>
    <w:rsid w:val="00B56E2A"/>
    <w:rsid w:val="00B56FBB"/>
    <w:rsid w:val="00B5703E"/>
    <w:rsid w:val="00B573FE"/>
    <w:rsid w:val="00B57DC1"/>
    <w:rsid w:val="00B57F5F"/>
    <w:rsid w:val="00B602EC"/>
    <w:rsid w:val="00B6079A"/>
    <w:rsid w:val="00B608A3"/>
    <w:rsid w:val="00B60F02"/>
    <w:rsid w:val="00B60FE8"/>
    <w:rsid w:val="00B6108F"/>
    <w:rsid w:val="00B6120B"/>
    <w:rsid w:val="00B61869"/>
    <w:rsid w:val="00B61A6A"/>
    <w:rsid w:val="00B61C85"/>
    <w:rsid w:val="00B620CE"/>
    <w:rsid w:val="00B625C3"/>
    <w:rsid w:val="00B62756"/>
    <w:rsid w:val="00B63FEA"/>
    <w:rsid w:val="00B64205"/>
    <w:rsid w:val="00B64340"/>
    <w:rsid w:val="00B64364"/>
    <w:rsid w:val="00B646BF"/>
    <w:rsid w:val="00B64941"/>
    <w:rsid w:val="00B654DB"/>
    <w:rsid w:val="00B657E8"/>
    <w:rsid w:val="00B65833"/>
    <w:rsid w:val="00B65A2D"/>
    <w:rsid w:val="00B65BBE"/>
    <w:rsid w:val="00B65BC1"/>
    <w:rsid w:val="00B66261"/>
    <w:rsid w:val="00B66672"/>
    <w:rsid w:val="00B669A6"/>
    <w:rsid w:val="00B67B77"/>
    <w:rsid w:val="00B703AF"/>
    <w:rsid w:val="00B708FB"/>
    <w:rsid w:val="00B70BA5"/>
    <w:rsid w:val="00B711C3"/>
    <w:rsid w:val="00B71625"/>
    <w:rsid w:val="00B716C8"/>
    <w:rsid w:val="00B71E97"/>
    <w:rsid w:val="00B721C7"/>
    <w:rsid w:val="00B72BCF"/>
    <w:rsid w:val="00B72E9D"/>
    <w:rsid w:val="00B73395"/>
    <w:rsid w:val="00B738DC"/>
    <w:rsid w:val="00B7424D"/>
    <w:rsid w:val="00B74475"/>
    <w:rsid w:val="00B74858"/>
    <w:rsid w:val="00B74A09"/>
    <w:rsid w:val="00B74A3A"/>
    <w:rsid w:val="00B74D9E"/>
    <w:rsid w:val="00B75087"/>
    <w:rsid w:val="00B75DEF"/>
    <w:rsid w:val="00B76064"/>
    <w:rsid w:val="00B77876"/>
    <w:rsid w:val="00B80307"/>
    <w:rsid w:val="00B809F2"/>
    <w:rsid w:val="00B80E88"/>
    <w:rsid w:val="00B81142"/>
    <w:rsid w:val="00B816B8"/>
    <w:rsid w:val="00B82272"/>
    <w:rsid w:val="00B82360"/>
    <w:rsid w:val="00B82B78"/>
    <w:rsid w:val="00B832B4"/>
    <w:rsid w:val="00B834AF"/>
    <w:rsid w:val="00B83D67"/>
    <w:rsid w:val="00B83D77"/>
    <w:rsid w:val="00B843FE"/>
    <w:rsid w:val="00B84D8D"/>
    <w:rsid w:val="00B84E02"/>
    <w:rsid w:val="00B85F9A"/>
    <w:rsid w:val="00B8608B"/>
    <w:rsid w:val="00B86279"/>
    <w:rsid w:val="00B86568"/>
    <w:rsid w:val="00B86928"/>
    <w:rsid w:val="00B86B13"/>
    <w:rsid w:val="00B87435"/>
    <w:rsid w:val="00B87481"/>
    <w:rsid w:val="00B87995"/>
    <w:rsid w:val="00B906CA"/>
    <w:rsid w:val="00B907BB"/>
    <w:rsid w:val="00B90A20"/>
    <w:rsid w:val="00B90E95"/>
    <w:rsid w:val="00B9144F"/>
    <w:rsid w:val="00B91B09"/>
    <w:rsid w:val="00B924EC"/>
    <w:rsid w:val="00B93219"/>
    <w:rsid w:val="00B93271"/>
    <w:rsid w:val="00B9341C"/>
    <w:rsid w:val="00B9348B"/>
    <w:rsid w:val="00B9351A"/>
    <w:rsid w:val="00B93839"/>
    <w:rsid w:val="00B93911"/>
    <w:rsid w:val="00B93FD2"/>
    <w:rsid w:val="00B942AC"/>
    <w:rsid w:val="00B95110"/>
    <w:rsid w:val="00B95876"/>
    <w:rsid w:val="00B96172"/>
    <w:rsid w:val="00B9621C"/>
    <w:rsid w:val="00B9632D"/>
    <w:rsid w:val="00B9667A"/>
    <w:rsid w:val="00B97227"/>
    <w:rsid w:val="00B976B5"/>
    <w:rsid w:val="00BA099B"/>
    <w:rsid w:val="00BA0C6C"/>
    <w:rsid w:val="00BA1B27"/>
    <w:rsid w:val="00BA1E27"/>
    <w:rsid w:val="00BA2285"/>
    <w:rsid w:val="00BA288F"/>
    <w:rsid w:val="00BA28CC"/>
    <w:rsid w:val="00BA2FDE"/>
    <w:rsid w:val="00BA376D"/>
    <w:rsid w:val="00BA39C4"/>
    <w:rsid w:val="00BA4AB9"/>
    <w:rsid w:val="00BA5399"/>
    <w:rsid w:val="00BA5A07"/>
    <w:rsid w:val="00BA5F4E"/>
    <w:rsid w:val="00BA5FDD"/>
    <w:rsid w:val="00BA6673"/>
    <w:rsid w:val="00BA6AD2"/>
    <w:rsid w:val="00BA6B11"/>
    <w:rsid w:val="00BA6D69"/>
    <w:rsid w:val="00BA6F24"/>
    <w:rsid w:val="00BA707E"/>
    <w:rsid w:val="00BA7B75"/>
    <w:rsid w:val="00BA7B94"/>
    <w:rsid w:val="00BA7BF5"/>
    <w:rsid w:val="00BA7E6D"/>
    <w:rsid w:val="00BB059C"/>
    <w:rsid w:val="00BB0C57"/>
    <w:rsid w:val="00BB0DAE"/>
    <w:rsid w:val="00BB0DBD"/>
    <w:rsid w:val="00BB0FA6"/>
    <w:rsid w:val="00BB1069"/>
    <w:rsid w:val="00BB106E"/>
    <w:rsid w:val="00BB11E9"/>
    <w:rsid w:val="00BB14D2"/>
    <w:rsid w:val="00BB1601"/>
    <w:rsid w:val="00BB1BC3"/>
    <w:rsid w:val="00BB2662"/>
    <w:rsid w:val="00BB27DB"/>
    <w:rsid w:val="00BB2AD2"/>
    <w:rsid w:val="00BB3D38"/>
    <w:rsid w:val="00BB3D3C"/>
    <w:rsid w:val="00BB45A9"/>
    <w:rsid w:val="00BB4A49"/>
    <w:rsid w:val="00BB4F85"/>
    <w:rsid w:val="00BB5024"/>
    <w:rsid w:val="00BB5551"/>
    <w:rsid w:val="00BB55DF"/>
    <w:rsid w:val="00BB5FA3"/>
    <w:rsid w:val="00BB76BF"/>
    <w:rsid w:val="00BC02C9"/>
    <w:rsid w:val="00BC1E67"/>
    <w:rsid w:val="00BC222B"/>
    <w:rsid w:val="00BC2554"/>
    <w:rsid w:val="00BC2583"/>
    <w:rsid w:val="00BC2620"/>
    <w:rsid w:val="00BC280E"/>
    <w:rsid w:val="00BC2A4A"/>
    <w:rsid w:val="00BC2D54"/>
    <w:rsid w:val="00BC3134"/>
    <w:rsid w:val="00BC376A"/>
    <w:rsid w:val="00BC392D"/>
    <w:rsid w:val="00BC4C66"/>
    <w:rsid w:val="00BC4CB2"/>
    <w:rsid w:val="00BC4EBA"/>
    <w:rsid w:val="00BC6426"/>
    <w:rsid w:val="00BC6B51"/>
    <w:rsid w:val="00BC6EBC"/>
    <w:rsid w:val="00BC7265"/>
    <w:rsid w:val="00BC7778"/>
    <w:rsid w:val="00BC7C00"/>
    <w:rsid w:val="00BD01E6"/>
    <w:rsid w:val="00BD0223"/>
    <w:rsid w:val="00BD0265"/>
    <w:rsid w:val="00BD06A9"/>
    <w:rsid w:val="00BD0C34"/>
    <w:rsid w:val="00BD0DFE"/>
    <w:rsid w:val="00BD174A"/>
    <w:rsid w:val="00BD1F2A"/>
    <w:rsid w:val="00BD209D"/>
    <w:rsid w:val="00BD25FB"/>
    <w:rsid w:val="00BD2711"/>
    <w:rsid w:val="00BD29F1"/>
    <w:rsid w:val="00BD369D"/>
    <w:rsid w:val="00BD3834"/>
    <w:rsid w:val="00BD3B54"/>
    <w:rsid w:val="00BD3B97"/>
    <w:rsid w:val="00BD3E27"/>
    <w:rsid w:val="00BD45DF"/>
    <w:rsid w:val="00BD462D"/>
    <w:rsid w:val="00BD4784"/>
    <w:rsid w:val="00BD4A93"/>
    <w:rsid w:val="00BD4E44"/>
    <w:rsid w:val="00BD62D4"/>
    <w:rsid w:val="00BD6A65"/>
    <w:rsid w:val="00BD6C15"/>
    <w:rsid w:val="00BD745B"/>
    <w:rsid w:val="00BD756E"/>
    <w:rsid w:val="00BD76D4"/>
    <w:rsid w:val="00BD7A60"/>
    <w:rsid w:val="00BE153D"/>
    <w:rsid w:val="00BE16B2"/>
    <w:rsid w:val="00BE1C49"/>
    <w:rsid w:val="00BE1D66"/>
    <w:rsid w:val="00BE1F9B"/>
    <w:rsid w:val="00BE2100"/>
    <w:rsid w:val="00BE2721"/>
    <w:rsid w:val="00BE3398"/>
    <w:rsid w:val="00BE3676"/>
    <w:rsid w:val="00BE44BE"/>
    <w:rsid w:val="00BE4710"/>
    <w:rsid w:val="00BE52A7"/>
    <w:rsid w:val="00BE573B"/>
    <w:rsid w:val="00BE58FC"/>
    <w:rsid w:val="00BE5A27"/>
    <w:rsid w:val="00BE5C73"/>
    <w:rsid w:val="00BE5F35"/>
    <w:rsid w:val="00BE6677"/>
    <w:rsid w:val="00BE7049"/>
    <w:rsid w:val="00BE708F"/>
    <w:rsid w:val="00BE7723"/>
    <w:rsid w:val="00BF10F5"/>
    <w:rsid w:val="00BF1593"/>
    <w:rsid w:val="00BF196E"/>
    <w:rsid w:val="00BF3625"/>
    <w:rsid w:val="00BF3781"/>
    <w:rsid w:val="00BF3966"/>
    <w:rsid w:val="00BF3A53"/>
    <w:rsid w:val="00BF3B6B"/>
    <w:rsid w:val="00BF41E2"/>
    <w:rsid w:val="00BF466D"/>
    <w:rsid w:val="00BF4DE9"/>
    <w:rsid w:val="00BF5443"/>
    <w:rsid w:val="00BF5936"/>
    <w:rsid w:val="00BF59E6"/>
    <w:rsid w:val="00BF5EAB"/>
    <w:rsid w:val="00BF6259"/>
    <w:rsid w:val="00BF62D3"/>
    <w:rsid w:val="00BF662F"/>
    <w:rsid w:val="00BF7316"/>
    <w:rsid w:val="00BF7630"/>
    <w:rsid w:val="00BF7BDD"/>
    <w:rsid w:val="00BF7DD9"/>
    <w:rsid w:val="00C0025C"/>
    <w:rsid w:val="00C0099A"/>
    <w:rsid w:val="00C00B59"/>
    <w:rsid w:val="00C0108E"/>
    <w:rsid w:val="00C012E6"/>
    <w:rsid w:val="00C01CB4"/>
    <w:rsid w:val="00C02276"/>
    <w:rsid w:val="00C024A9"/>
    <w:rsid w:val="00C02536"/>
    <w:rsid w:val="00C025CA"/>
    <w:rsid w:val="00C02A6E"/>
    <w:rsid w:val="00C02C91"/>
    <w:rsid w:val="00C032BF"/>
    <w:rsid w:val="00C0398A"/>
    <w:rsid w:val="00C03A0A"/>
    <w:rsid w:val="00C03B14"/>
    <w:rsid w:val="00C04181"/>
    <w:rsid w:val="00C0418A"/>
    <w:rsid w:val="00C0419A"/>
    <w:rsid w:val="00C04331"/>
    <w:rsid w:val="00C04B0A"/>
    <w:rsid w:val="00C05184"/>
    <w:rsid w:val="00C067C7"/>
    <w:rsid w:val="00C06F91"/>
    <w:rsid w:val="00C07085"/>
    <w:rsid w:val="00C07293"/>
    <w:rsid w:val="00C07C2B"/>
    <w:rsid w:val="00C1022A"/>
    <w:rsid w:val="00C10F9E"/>
    <w:rsid w:val="00C11470"/>
    <w:rsid w:val="00C123C0"/>
    <w:rsid w:val="00C12A73"/>
    <w:rsid w:val="00C12E7A"/>
    <w:rsid w:val="00C13515"/>
    <w:rsid w:val="00C14078"/>
    <w:rsid w:val="00C14CAF"/>
    <w:rsid w:val="00C1518C"/>
    <w:rsid w:val="00C156DF"/>
    <w:rsid w:val="00C157CD"/>
    <w:rsid w:val="00C15AEF"/>
    <w:rsid w:val="00C16110"/>
    <w:rsid w:val="00C1636B"/>
    <w:rsid w:val="00C16E82"/>
    <w:rsid w:val="00C17244"/>
    <w:rsid w:val="00C173DC"/>
    <w:rsid w:val="00C17491"/>
    <w:rsid w:val="00C17CD6"/>
    <w:rsid w:val="00C20200"/>
    <w:rsid w:val="00C2042B"/>
    <w:rsid w:val="00C205BF"/>
    <w:rsid w:val="00C20631"/>
    <w:rsid w:val="00C20868"/>
    <w:rsid w:val="00C209CD"/>
    <w:rsid w:val="00C22592"/>
    <w:rsid w:val="00C22672"/>
    <w:rsid w:val="00C2270F"/>
    <w:rsid w:val="00C22C28"/>
    <w:rsid w:val="00C23B2D"/>
    <w:rsid w:val="00C2406A"/>
    <w:rsid w:val="00C2409D"/>
    <w:rsid w:val="00C248F3"/>
    <w:rsid w:val="00C24A17"/>
    <w:rsid w:val="00C24AE4"/>
    <w:rsid w:val="00C24DBE"/>
    <w:rsid w:val="00C25683"/>
    <w:rsid w:val="00C25DCB"/>
    <w:rsid w:val="00C25FA5"/>
    <w:rsid w:val="00C26351"/>
    <w:rsid w:val="00C26FED"/>
    <w:rsid w:val="00C27662"/>
    <w:rsid w:val="00C27DB0"/>
    <w:rsid w:val="00C27E86"/>
    <w:rsid w:val="00C304B9"/>
    <w:rsid w:val="00C3061E"/>
    <w:rsid w:val="00C30D70"/>
    <w:rsid w:val="00C30F29"/>
    <w:rsid w:val="00C311D2"/>
    <w:rsid w:val="00C3130D"/>
    <w:rsid w:val="00C315A1"/>
    <w:rsid w:val="00C3169F"/>
    <w:rsid w:val="00C31729"/>
    <w:rsid w:val="00C31A7B"/>
    <w:rsid w:val="00C31DA6"/>
    <w:rsid w:val="00C320D1"/>
    <w:rsid w:val="00C32154"/>
    <w:rsid w:val="00C331F6"/>
    <w:rsid w:val="00C3320C"/>
    <w:rsid w:val="00C33489"/>
    <w:rsid w:val="00C346C5"/>
    <w:rsid w:val="00C34BD6"/>
    <w:rsid w:val="00C34BF2"/>
    <w:rsid w:val="00C34E44"/>
    <w:rsid w:val="00C34EE9"/>
    <w:rsid w:val="00C34F1E"/>
    <w:rsid w:val="00C35849"/>
    <w:rsid w:val="00C35C17"/>
    <w:rsid w:val="00C36431"/>
    <w:rsid w:val="00C3669A"/>
    <w:rsid w:val="00C36718"/>
    <w:rsid w:val="00C3675D"/>
    <w:rsid w:val="00C370BE"/>
    <w:rsid w:val="00C370E6"/>
    <w:rsid w:val="00C3726E"/>
    <w:rsid w:val="00C373E3"/>
    <w:rsid w:val="00C3755D"/>
    <w:rsid w:val="00C37918"/>
    <w:rsid w:val="00C3796D"/>
    <w:rsid w:val="00C4018A"/>
    <w:rsid w:val="00C40557"/>
    <w:rsid w:val="00C41216"/>
    <w:rsid w:val="00C418B3"/>
    <w:rsid w:val="00C41F11"/>
    <w:rsid w:val="00C422BA"/>
    <w:rsid w:val="00C424D6"/>
    <w:rsid w:val="00C4277C"/>
    <w:rsid w:val="00C42992"/>
    <w:rsid w:val="00C42B66"/>
    <w:rsid w:val="00C42FA8"/>
    <w:rsid w:val="00C431F9"/>
    <w:rsid w:val="00C4338C"/>
    <w:rsid w:val="00C4395A"/>
    <w:rsid w:val="00C43EE2"/>
    <w:rsid w:val="00C445D2"/>
    <w:rsid w:val="00C44EEA"/>
    <w:rsid w:val="00C454D3"/>
    <w:rsid w:val="00C4733D"/>
    <w:rsid w:val="00C474EF"/>
    <w:rsid w:val="00C47A40"/>
    <w:rsid w:val="00C47D8D"/>
    <w:rsid w:val="00C47F34"/>
    <w:rsid w:val="00C50227"/>
    <w:rsid w:val="00C50296"/>
    <w:rsid w:val="00C50631"/>
    <w:rsid w:val="00C5071E"/>
    <w:rsid w:val="00C5090E"/>
    <w:rsid w:val="00C50B51"/>
    <w:rsid w:val="00C50B99"/>
    <w:rsid w:val="00C514DD"/>
    <w:rsid w:val="00C522AE"/>
    <w:rsid w:val="00C52625"/>
    <w:rsid w:val="00C52B8B"/>
    <w:rsid w:val="00C52C8E"/>
    <w:rsid w:val="00C53535"/>
    <w:rsid w:val="00C536AD"/>
    <w:rsid w:val="00C53B42"/>
    <w:rsid w:val="00C53FE2"/>
    <w:rsid w:val="00C54440"/>
    <w:rsid w:val="00C544EB"/>
    <w:rsid w:val="00C54573"/>
    <w:rsid w:val="00C54A11"/>
    <w:rsid w:val="00C54BB2"/>
    <w:rsid w:val="00C54FCA"/>
    <w:rsid w:val="00C55A10"/>
    <w:rsid w:val="00C560E1"/>
    <w:rsid w:val="00C56FB3"/>
    <w:rsid w:val="00C5705A"/>
    <w:rsid w:val="00C570F8"/>
    <w:rsid w:val="00C571FE"/>
    <w:rsid w:val="00C5757B"/>
    <w:rsid w:val="00C575DA"/>
    <w:rsid w:val="00C57E84"/>
    <w:rsid w:val="00C60387"/>
    <w:rsid w:val="00C60682"/>
    <w:rsid w:val="00C6093E"/>
    <w:rsid w:val="00C61620"/>
    <w:rsid w:val="00C6163A"/>
    <w:rsid w:val="00C61C61"/>
    <w:rsid w:val="00C61CDC"/>
    <w:rsid w:val="00C6265E"/>
    <w:rsid w:val="00C62849"/>
    <w:rsid w:val="00C62B54"/>
    <w:rsid w:val="00C636C9"/>
    <w:rsid w:val="00C63BFF"/>
    <w:rsid w:val="00C63E05"/>
    <w:rsid w:val="00C646C2"/>
    <w:rsid w:val="00C647A9"/>
    <w:rsid w:val="00C652D4"/>
    <w:rsid w:val="00C65416"/>
    <w:rsid w:val="00C65450"/>
    <w:rsid w:val="00C659A2"/>
    <w:rsid w:val="00C660F5"/>
    <w:rsid w:val="00C664A3"/>
    <w:rsid w:val="00C66B1D"/>
    <w:rsid w:val="00C66F48"/>
    <w:rsid w:val="00C66F50"/>
    <w:rsid w:val="00C66F7C"/>
    <w:rsid w:val="00C6736E"/>
    <w:rsid w:val="00C67DE6"/>
    <w:rsid w:val="00C70400"/>
    <w:rsid w:val="00C70992"/>
    <w:rsid w:val="00C70DD2"/>
    <w:rsid w:val="00C70E7B"/>
    <w:rsid w:val="00C70FB7"/>
    <w:rsid w:val="00C71A83"/>
    <w:rsid w:val="00C71ECC"/>
    <w:rsid w:val="00C72624"/>
    <w:rsid w:val="00C72A10"/>
    <w:rsid w:val="00C72B02"/>
    <w:rsid w:val="00C73808"/>
    <w:rsid w:val="00C7384F"/>
    <w:rsid w:val="00C73984"/>
    <w:rsid w:val="00C747F6"/>
    <w:rsid w:val="00C74DAC"/>
    <w:rsid w:val="00C75F99"/>
    <w:rsid w:val="00C76712"/>
    <w:rsid w:val="00C76F0B"/>
    <w:rsid w:val="00C77324"/>
    <w:rsid w:val="00C77A13"/>
    <w:rsid w:val="00C77B27"/>
    <w:rsid w:val="00C80BC1"/>
    <w:rsid w:val="00C80C93"/>
    <w:rsid w:val="00C80D78"/>
    <w:rsid w:val="00C80F1A"/>
    <w:rsid w:val="00C81886"/>
    <w:rsid w:val="00C818E7"/>
    <w:rsid w:val="00C81BD0"/>
    <w:rsid w:val="00C81F7E"/>
    <w:rsid w:val="00C823FA"/>
    <w:rsid w:val="00C828FC"/>
    <w:rsid w:val="00C82AD3"/>
    <w:rsid w:val="00C83494"/>
    <w:rsid w:val="00C83498"/>
    <w:rsid w:val="00C846DA"/>
    <w:rsid w:val="00C84919"/>
    <w:rsid w:val="00C853E8"/>
    <w:rsid w:val="00C85452"/>
    <w:rsid w:val="00C85F7F"/>
    <w:rsid w:val="00C860D0"/>
    <w:rsid w:val="00C86251"/>
    <w:rsid w:val="00C8695C"/>
    <w:rsid w:val="00C86D44"/>
    <w:rsid w:val="00C86DB8"/>
    <w:rsid w:val="00C8701E"/>
    <w:rsid w:val="00C873BC"/>
    <w:rsid w:val="00C87725"/>
    <w:rsid w:val="00C87E68"/>
    <w:rsid w:val="00C87F8A"/>
    <w:rsid w:val="00C9046A"/>
    <w:rsid w:val="00C9048F"/>
    <w:rsid w:val="00C90F2E"/>
    <w:rsid w:val="00C91166"/>
    <w:rsid w:val="00C9192D"/>
    <w:rsid w:val="00C91A45"/>
    <w:rsid w:val="00C92174"/>
    <w:rsid w:val="00C92E91"/>
    <w:rsid w:val="00C9329E"/>
    <w:rsid w:val="00C93859"/>
    <w:rsid w:val="00C93B71"/>
    <w:rsid w:val="00C942FA"/>
    <w:rsid w:val="00C94BBF"/>
    <w:rsid w:val="00C956DB"/>
    <w:rsid w:val="00C95BC1"/>
    <w:rsid w:val="00C95C27"/>
    <w:rsid w:val="00C95DF8"/>
    <w:rsid w:val="00C9617A"/>
    <w:rsid w:val="00C96244"/>
    <w:rsid w:val="00C9678B"/>
    <w:rsid w:val="00C9680B"/>
    <w:rsid w:val="00C96FF7"/>
    <w:rsid w:val="00C971D8"/>
    <w:rsid w:val="00C977E8"/>
    <w:rsid w:val="00CA0B2C"/>
    <w:rsid w:val="00CA0F20"/>
    <w:rsid w:val="00CA17BD"/>
    <w:rsid w:val="00CA1A2A"/>
    <w:rsid w:val="00CA1DC5"/>
    <w:rsid w:val="00CA22C4"/>
    <w:rsid w:val="00CA2753"/>
    <w:rsid w:val="00CA27EB"/>
    <w:rsid w:val="00CA2BE7"/>
    <w:rsid w:val="00CA2D3F"/>
    <w:rsid w:val="00CA2F18"/>
    <w:rsid w:val="00CA2FBA"/>
    <w:rsid w:val="00CA34ED"/>
    <w:rsid w:val="00CA3F79"/>
    <w:rsid w:val="00CA413E"/>
    <w:rsid w:val="00CA4187"/>
    <w:rsid w:val="00CA41AB"/>
    <w:rsid w:val="00CA45AD"/>
    <w:rsid w:val="00CA46B8"/>
    <w:rsid w:val="00CA4B97"/>
    <w:rsid w:val="00CA4D46"/>
    <w:rsid w:val="00CA5AF2"/>
    <w:rsid w:val="00CA5E8D"/>
    <w:rsid w:val="00CA6448"/>
    <w:rsid w:val="00CA6464"/>
    <w:rsid w:val="00CA68C9"/>
    <w:rsid w:val="00CA69AE"/>
    <w:rsid w:val="00CA7C01"/>
    <w:rsid w:val="00CA7CA8"/>
    <w:rsid w:val="00CA7EB4"/>
    <w:rsid w:val="00CB0153"/>
    <w:rsid w:val="00CB019A"/>
    <w:rsid w:val="00CB0ED7"/>
    <w:rsid w:val="00CB1106"/>
    <w:rsid w:val="00CB15CA"/>
    <w:rsid w:val="00CB19A5"/>
    <w:rsid w:val="00CB1C7E"/>
    <w:rsid w:val="00CB1E79"/>
    <w:rsid w:val="00CB2E15"/>
    <w:rsid w:val="00CB2E79"/>
    <w:rsid w:val="00CB2FA2"/>
    <w:rsid w:val="00CB3013"/>
    <w:rsid w:val="00CB39AF"/>
    <w:rsid w:val="00CB3AA1"/>
    <w:rsid w:val="00CB3CB9"/>
    <w:rsid w:val="00CB49E4"/>
    <w:rsid w:val="00CB54D4"/>
    <w:rsid w:val="00CB57A1"/>
    <w:rsid w:val="00CB57D8"/>
    <w:rsid w:val="00CB5A40"/>
    <w:rsid w:val="00CB5EAF"/>
    <w:rsid w:val="00CB5FC6"/>
    <w:rsid w:val="00CB6ED8"/>
    <w:rsid w:val="00CB7771"/>
    <w:rsid w:val="00CB7A7A"/>
    <w:rsid w:val="00CB7FEE"/>
    <w:rsid w:val="00CC0687"/>
    <w:rsid w:val="00CC0B06"/>
    <w:rsid w:val="00CC0D88"/>
    <w:rsid w:val="00CC1AAA"/>
    <w:rsid w:val="00CC1E51"/>
    <w:rsid w:val="00CC3186"/>
    <w:rsid w:val="00CC36BC"/>
    <w:rsid w:val="00CC4022"/>
    <w:rsid w:val="00CC404A"/>
    <w:rsid w:val="00CC4216"/>
    <w:rsid w:val="00CC449A"/>
    <w:rsid w:val="00CC4BE9"/>
    <w:rsid w:val="00CC4D42"/>
    <w:rsid w:val="00CC51BE"/>
    <w:rsid w:val="00CC52AC"/>
    <w:rsid w:val="00CC561C"/>
    <w:rsid w:val="00CC5ACE"/>
    <w:rsid w:val="00CC5B57"/>
    <w:rsid w:val="00CC5BFC"/>
    <w:rsid w:val="00CC5F6E"/>
    <w:rsid w:val="00CC75BE"/>
    <w:rsid w:val="00CC75D4"/>
    <w:rsid w:val="00CC79D5"/>
    <w:rsid w:val="00CC7D7B"/>
    <w:rsid w:val="00CC7D8F"/>
    <w:rsid w:val="00CD031C"/>
    <w:rsid w:val="00CD03D6"/>
    <w:rsid w:val="00CD070B"/>
    <w:rsid w:val="00CD1994"/>
    <w:rsid w:val="00CD2A1F"/>
    <w:rsid w:val="00CD2F95"/>
    <w:rsid w:val="00CD3064"/>
    <w:rsid w:val="00CD3441"/>
    <w:rsid w:val="00CD390B"/>
    <w:rsid w:val="00CD394B"/>
    <w:rsid w:val="00CD4152"/>
    <w:rsid w:val="00CD4483"/>
    <w:rsid w:val="00CD46ED"/>
    <w:rsid w:val="00CD477E"/>
    <w:rsid w:val="00CD4B7F"/>
    <w:rsid w:val="00CD4C41"/>
    <w:rsid w:val="00CD4DC9"/>
    <w:rsid w:val="00CD5032"/>
    <w:rsid w:val="00CD5CE1"/>
    <w:rsid w:val="00CD628F"/>
    <w:rsid w:val="00CD62FE"/>
    <w:rsid w:val="00CD70D5"/>
    <w:rsid w:val="00CD766B"/>
    <w:rsid w:val="00CD7953"/>
    <w:rsid w:val="00CD7D58"/>
    <w:rsid w:val="00CD7EB6"/>
    <w:rsid w:val="00CD7FBB"/>
    <w:rsid w:val="00CE04DE"/>
    <w:rsid w:val="00CE0960"/>
    <w:rsid w:val="00CE0E84"/>
    <w:rsid w:val="00CE10B1"/>
    <w:rsid w:val="00CE1294"/>
    <w:rsid w:val="00CE14D6"/>
    <w:rsid w:val="00CE153D"/>
    <w:rsid w:val="00CE1902"/>
    <w:rsid w:val="00CE1D7B"/>
    <w:rsid w:val="00CE2118"/>
    <w:rsid w:val="00CE243F"/>
    <w:rsid w:val="00CE2852"/>
    <w:rsid w:val="00CE3175"/>
    <w:rsid w:val="00CE3293"/>
    <w:rsid w:val="00CE3C6D"/>
    <w:rsid w:val="00CE3C82"/>
    <w:rsid w:val="00CE43B1"/>
    <w:rsid w:val="00CE45DB"/>
    <w:rsid w:val="00CE537D"/>
    <w:rsid w:val="00CE55AA"/>
    <w:rsid w:val="00CE59E6"/>
    <w:rsid w:val="00CE6D9E"/>
    <w:rsid w:val="00CE794B"/>
    <w:rsid w:val="00CE7C39"/>
    <w:rsid w:val="00CE7D28"/>
    <w:rsid w:val="00CF05EA"/>
    <w:rsid w:val="00CF088B"/>
    <w:rsid w:val="00CF0FB9"/>
    <w:rsid w:val="00CF248F"/>
    <w:rsid w:val="00CF2761"/>
    <w:rsid w:val="00CF3394"/>
    <w:rsid w:val="00CF3522"/>
    <w:rsid w:val="00CF3F37"/>
    <w:rsid w:val="00CF4A46"/>
    <w:rsid w:val="00CF4BD8"/>
    <w:rsid w:val="00CF581A"/>
    <w:rsid w:val="00CF587D"/>
    <w:rsid w:val="00CF5F73"/>
    <w:rsid w:val="00CF6248"/>
    <w:rsid w:val="00CF63D1"/>
    <w:rsid w:val="00CF714F"/>
    <w:rsid w:val="00CF74C0"/>
    <w:rsid w:val="00CF7897"/>
    <w:rsid w:val="00CF7997"/>
    <w:rsid w:val="00D0080A"/>
    <w:rsid w:val="00D009E0"/>
    <w:rsid w:val="00D00DD6"/>
    <w:rsid w:val="00D013D9"/>
    <w:rsid w:val="00D01E38"/>
    <w:rsid w:val="00D026AB"/>
    <w:rsid w:val="00D0283B"/>
    <w:rsid w:val="00D02ABB"/>
    <w:rsid w:val="00D03A98"/>
    <w:rsid w:val="00D03BB9"/>
    <w:rsid w:val="00D03D4D"/>
    <w:rsid w:val="00D03E69"/>
    <w:rsid w:val="00D03F6C"/>
    <w:rsid w:val="00D0415C"/>
    <w:rsid w:val="00D04983"/>
    <w:rsid w:val="00D05778"/>
    <w:rsid w:val="00D070FF"/>
    <w:rsid w:val="00D075A4"/>
    <w:rsid w:val="00D07D94"/>
    <w:rsid w:val="00D1058E"/>
    <w:rsid w:val="00D10AA6"/>
    <w:rsid w:val="00D11257"/>
    <w:rsid w:val="00D12059"/>
    <w:rsid w:val="00D1239D"/>
    <w:rsid w:val="00D125DE"/>
    <w:rsid w:val="00D12DF5"/>
    <w:rsid w:val="00D13777"/>
    <w:rsid w:val="00D13ABE"/>
    <w:rsid w:val="00D13BB6"/>
    <w:rsid w:val="00D13C2D"/>
    <w:rsid w:val="00D1459C"/>
    <w:rsid w:val="00D145A6"/>
    <w:rsid w:val="00D151F0"/>
    <w:rsid w:val="00D15F8E"/>
    <w:rsid w:val="00D15F9A"/>
    <w:rsid w:val="00D16081"/>
    <w:rsid w:val="00D1690E"/>
    <w:rsid w:val="00D172D8"/>
    <w:rsid w:val="00D173A5"/>
    <w:rsid w:val="00D178E9"/>
    <w:rsid w:val="00D17B3F"/>
    <w:rsid w:val="00D17F1D"/>
    <w:rsid w:val="00D211E2"/>
    <w:rsid w:val="00D219D5"/>
    <w:rsid w:val="00D2203E"/>
    <w:rsid w:val="00D2231C"/>
    <w:rsid w:val="00D22704"/>
    <w:rsid w:val="00D23513"/>
    <w:rsid w:val="00D237C9"/>
    <w:rsid w:val="00D2439E"/>
    <w:rsid w:val="00D24573"/>
    <w:rsid w:val="00D245E2"/>
    <w:rsid w:val="00D24A53"/>
    <w:rsid w:val="00D24C69"/>
    <w:rsid w:val="00D251CF"/>
    <w:rsid w:val="00D252B8"/>
    <w:rsid w:val="00D2533A"/>
    <w:rsid w:val="00D267D6"/>
    <w:rsid w:val="00D26BEC"/>
    <w:rsid w:val="00D2729A"/>
    <w:rsid w:val="00D27506"/>
    <w:rsid w:val="00D27E6C"/>
    <w:rsid w:val="00D306E9"/>
    <w:rsid w:val="00D30F5A"/>
    <w:rsid w:val="00D3198D"/>
    <w:rsid w:val="00D324B8"/>
    <w:rsid w:val="00D32EAB"/>
    <w:rsid w:val="00D3357B"/>
    <w:rsid w:val="00D34338"/>
    <w:rsid w:val="00D34688"/>
    <w:rsid w:val="00D3474B"/>
    <w:rsid w:val="00D35601"/>
    <w:rsid w:val="00D35F3B"/>
    <w:rsid w:val="00D36027"/>
    <w:rsid w:val="00D36337"/>
    <w:rsid w:val="00D36522"/>
    <w:rsid w:val="00D366B7"/>
    <w:rsid w:val="00D367F5"/>
    <w:rsid w:val="00D36C23"/>
    <w:rsid w:val="00D36FB2"/>
    <w:rsid w:val="00D375C7"/>
    <w:rsid w:val="00D3769E"/>
    <w:rsid w:val="00D40081"/>
    <w:rsid w:val="00D407D8"/>
    <w:rsid w:val="00D40BD2"/>
    <w:rsid w:val="00D40EAF"/>
    <w:rsid w:val="00D41034"/>
    <w:rsid w:val="00D411A8"/>
    <w:rsid w:val="00D413DA"/>
    <w:rsid w:val="00D41B99"/>
    <w:rsid w:val="00D42249"/>
    <w:rsid w:val="00D4244A"/>
    <w:rsid w:val="00D42487"/>
    <w:rsid w:val="00D4341B"/>
    <w:rsid w:val="00D4344F"/>
    <w:rsid w:val="00D43CAE"/>
    <w:rsid w:val="00D44522"/>
    <w:rsid w:val="00D44CC7"/>
    <w:rsid w:val="00D45867"/>
    <w:rsid w:val="00D4595F"/>
    <w:rsid w:val="00D45CE3"/>
    <w:rsid w:val="00D45EEE"/>
    <w:rsid w:val="00D46157"/>
    <w:rsid w:val="00D4646A"/>
    <w:rsid w:val="00D466A8"/>
    <w:rsid w:val="00D46A18"/>
    <w:rsid w:val="00D46BEF"/>
    <w:rsid w:val="00D47187"/>
    <w:rsid w:val="00D4751A"/>
    <w:rsid w:val="00D47669"/>
    <w:rsid w:val="00D47B68"/>
    <w:rsid w:val="00D50011"/>
    <w:rsid w:val="00D500F2"/>
    <w:rsid w:val="00D5017E"/>
    <w:rsid w:val="00D508E4"/>
    <w:rsid w:val="00D50A0E"/>
    <w:rsid w:val="00D50B2C"/>
    <w:rsid w:val="00D50EB3"/>
    <w:rsid w:val="00D519D2"/>
    <w:rsid w:val="00D52284"/>
    <w:rsid w:val="00D52D89"/>
    <w:rsid w:val="00D5322C"/>
    <w:rsid w:val="00D533BF"/>
    <w:rsid w:val="00D53841"/>
    <w:rsid w:val="00D53C05"/>
    <w:rsid w:val="00D546B8"/>
    <w:rsid w:val="00D54BFD"/>
    <w:rsid w:val="00D55294"/>
    <w:rsid w:val="00D552F7"/>
    <w:rsid w:val="00D554DB"/>
    <w:rsid w:val="00D56ACF"/>
    <w:rsid w:val="00D56BDE"/>
    <w:rsid w:val="00D57152"/>
    <w:rsid w:val="00D57692"/>
    <w:rsid w:val="00D57AF1"/>
    <w:rsid w:val="00D57CBB"/>
    <w:rsid w:val="00D60236"/>
    <w:rsid w:val="00D60B43"/>
    <w:rsid w:val="00D60C45"/>
    <w:rsid w:val="00D614C7"/>
    <w:rsid w:val="00D61DB7"/>
    <w:rsid w:val="00D61E9C"/>
    <w:rsid w:val="00D61F3D"/>
    <w:rsid w:val="00D61F93"/>
    <w:rsid w:val="00D623A8"/>
    <w:rsid w:val="00D62545"/>
    <w:rsid w:val="00D62EEF"/>
    <w:rsid w:val="00D6312F"/>
    <w:rsid w:val="00D633BB"/>
    <w:rsid w:val="00D63798"/>
    <w:rsid w:val="00D63A3E"/>
    <w:rsid w:val="00D63D69"/>
    <w:rsid w:val="00D640F2"/>
    <w:rsid w:val="00D64236"/>
    <w:rsid w:val="00D642AD"/>
    <w:rsid w:val="00D64A40"/>
    <w:rsid w:val="00D64BD4"/>
    <w:rsid w:val="00D64E02"/>
    <w:rsid w:val="00D654E8"/>
    <w:rsid w:val="00D654FB"/>
    <w:rsid w:val="00D65619"/>
    <w:rsid w:val="00D66AAB"/>
    <w:rsid w:val="00D66C42"/>
    <w:rsid w:val="00D67216"/>
    <w:rsid w:val="00D67780"/>
    <w:rsid w:val="00D701C2"/>
    <w:rsid w:val="00D7055C"/>
    <w:rsid w:val="00D709B0"/>
    <w:rsid w:val="00D70D3E"/>
    <w:rsid w:val="00D7130C"/>
    <w:rsid w:val="00D71468"/>
    <w:rsid w:val="00D7160C"/>
    <w:rsid w:val="00D71741"/>
    <w:rsid w:val="00D71C1F"/>
    <w:rsid w:val="00D71CE6"/>
    <w:rsid w:val="00D72304"/>
    <w:rsid w:val="00D727B3"/>
    <w:rsid w:val="00D73210"/>
    <w:rsid w:val="00D73AD4"/>
    <w:rsid w:val="00D73C15"/>
    <w:rsid w:val="00D73C8C"/>
    <w:rsid w:val="00D744AF"/>
    <w:rsid w:val="00D74862"/>
    <w:rsid w:val="00D756D2"/>
    <w:rsid w:val="00D75879"/>
    <w:rsid w:val="00D75908"/>
    <w:rsid w:val="00D75ECA"/>
    <w:rsid w:val="00D766A9"/>
    <w:rsid w:val="00D775CD"/>
    <w:rsid w:val="00D7762B"/>
    <w:rsid w:val="00D8005C"/>
    <w:rsid w:val="00D80A72"/>
    <w:rsid w:val="00D80BC7"/>
    <w:rsid w:val="00D81003"/>
    <w:rsid w:val="00D8102B"/>
    <w:rsid w:val="00D810D4"/>
    <w:rsid w:val="00D81129"/>
    <w:rsid w:val="00D818D0"/>
    <w:rsid w:val="00D81A7D"/>
    <w:rsid w:val="00D8202C"/>
    <w:rsid w:val="00D82F39"/>
    <w:rsid w:val="00D8378B"/>
    <w:rsid w:val="00D846D9"/>
    <w:rsid w:val="00D84B62"/>
    <w:rsid w:val="00D84CF1"/>
    <w:rsid w:val="00D84F1E"/>
    <w:rsid w:val="00D859E0"/>
    <w:rsid w:val="00D85CF7"/>
    <w:rsid w:val="00D863B6"/>
    <w:rsid w:val="00D863F7"/>
    <w:rsid w:val="00D86DD1"/>
    <w:rsid w:val="00D86FAC"/>
    <w:rsid w:val="00D87225"/>
    <w:rsid w:val="00D87307"/>
    <w:rsid w:val="00D87322"/>
    <w:rsid w:val="00D8792C"/>
    <w:rsid w:val="00D87974"/>
    <w:rsid w:val="00D87B4D"/>
    <w:rsid w:val="00D87C8F"/>
    <w:rsid w:val="00D87F7F"/>
    <w:rsid w:val="00D9076C"/>
    <w:rsid w:val="00D90E12"/>
    <w:rsid w:val="00D90F3C"/>
    <w:rsid w:val="00D91686"/>
    <w:rsid w:val="00D9181C"/>
    <w:rsid w:val="00D91841"/>
    <w:rsid w:val="00D918BC"/>
    <w:rsid w:val="00D9191D"/>
    <w:rsid w:val="00D91D95"/>
    <w:rsid w:val="00D91E5A"/>
    <w:rsid w:val="00D92454"/>
    <w:rsid w:val="00D9270B"/>
    <w:rsid w:val="00D927AB"/>
    <w:rsid w:val="00D93C21"/>
    <w:rsid w:val="00D93CB4"/>
    <w:rsid w:val="00D93CB6"/>
    <w:rsid w:val="00D94506"/>
    <w:rsid w:val="00D94C19"/>
    <w:rsid w:val="00D94FA6"/>
    <w:rsid w:val="00D95910"/>
    <w:rsid w:val="00D95DD1"/>
    <w:rsid w:val="00D96A20"/>
    <w:rsid w:val="00D97020"/>
    <w:rsid w:val="00DA123A"/>
    <w:rsid w:val="00DA2813"/>
    <w:rsid w:val="00DA2C32"/>
    <w:rsid w:val="00DA2DF2"/>
    <w:rsid w:val="00DA31ED"/>
    <w:rsid w:val="00DA36B3"/>
    <w:rsid w:val="00DA400C"/>
    <w:rsid w:val="00DA45C1"/>
    <w:rsid w:val="00DA467B"/>
    <w:rsid w:val="00DA4DDB"/>
    <w:rsid w:val="00DA53B9"/>
    <w:rsid w:val="00DA64C9"/>
    <w:rsid w:val="00DA6B67"/>
    <w:rsid w:val="00DA7371"/>
    <w:rsid w:val="00DA74CE"/>
    <w:rsid w:val="00DA7705"/>
    <w:rsid w:val="00DA7878"/>
    <w:rsid w:val="00DA7D78"/>
    <w:rsid w:val="00DA7F35"/>
    <w:rsid w:val="00DB005E"/>
    <w:rsid w:val="00DB0592"/>
    <w:rsid w:val="00DB0B44"/>
    <w:rsid w:val="00DB3023"/>
    <w:rsid w:val="00DB3562"/>
    <w:rsid w:val="00DB3613"/>
    <w:rsid w:val="00DB3DB1"/>
    <w:rsid w:val="00DB3E6A"/>
    <w:rsid w:val="00DB3F71"/>
    <w:rsid w:val="00DB3FDB"/>
    <w:rsid w:val="00DB4D86"/>
    <w:rsid w:val="00DB514B"/>
    <w:rsid w:val="00DB5712"/>
    <w:rsid w:val="00DB5790"/>
    <w:rsid w:val="00DB5C0E"/>
    <w:rsid w:val="00DB5E0E"/>
    <w:rsid w:val="00DB6379"/>
    <w:rsid w:val="00DB64AA"/>
    <w:rsid w:val="00DB657F"/>
    <w:rsid w:val="00DB65C2"/>
    <w:rsid w:val="00DB6D9C"/>
    <w:rsid w:val="00DB70EE"/>
    <w:rsid w:val="00DB75A4"/>
    <w:rsid w:val="00DB7827"/>
    <w:rsid w:val="00DB7BF9"/>
    <w:rsid w:val="00DB7D10"/>
    <w:rsid w:val="00DC00C7"/>
    <w:rsid w:val="00DC0554"/>
    <w:rsid w:val="00DC07F1"/>
    <w:rsid w:val="00DC0907"/>
    <w:rsid w:val="00DC1828"/>
    <w:rsid w:val="00DC1A6F"/>
    <w:rsid w:val="00DC2DC5"/>
    <w:rsid w:val="00DC309B"/>
    <w:rsid w:val="00DC30EA"/>
    <w:rsid w:val="00DC33EC"/>
    <w:rsid w:val="00DC3F9B"/>
    <w:rsid w:val="00DC433F"/>
    <w:rsid w:val="00DC4D22"/>
    <w:rsid w:val="00DC5B2D"/>
    <w:rsid w:val="00DC6491"/>
    <w:rsid w:val="00DC70CD"/>
    <w:rsid w:val="00DC7E6F"/>
    <w:rsid w:val="00DD00EA"/>
    <w:rsid w:val="00DD1107"/>
    <w:rsid w:val="00DD1BD3"/>
    <w:rsid w:val="00DD1EFE"/>
    <w:rsid w:val="00DD20DE"/>
    <w:rsid w:val="00DD3850"/>
    <w:rsid w:val="00DD3B6A"/>
    <w:rsid w:val="00DD3C87"/>
    <w:rsid w:val="00DD405B"/>
    <w:rsid w:val="00DD4856"/>
    <w:rsid w:val="00DD4974"/>
    <w:rsid w:val="00DD53FC"/>
    <w:rsid w:val="00DD54D1"/>
    <w:rsid w:val="00DD553E"/>
    <w:rsid w:val="00DD638A"/>
    <w:rsid w:val="00DD64CB"/>
    <w:rsid w:val="00DD6531"/>
    <w:rsid w:val="00DD6E0E"/>
    <w:rsid w:val="00DD6F13"/>
    <w:rsid w:val="00DD7BF9"/>
    <w:rsid w:val="00DD7C13"/>
    <w:rsid w:val="00DD7C7A"/>
    <w:rsid w:val="00DE037E"/>
    <w:rsid w:val="00DE0759"/>
    <w:rsid w:val="00DE0DFB"/>
    <w:rsid w:val="00DE1550"/>
    <w:rsid w:val="00DE176E"/>
    <w:rsid w:val="00DE1EC9"/>
    <w:rsid w:val="00DE23F2"/>
    <w:rsid w:val="00DE28B1"/>
    <w:rsid w:val="00DE31DC"/>
    <w:rsid w:val="00DE38AA"/>
    <w:rsid w:val="00DE4CB8"/>
    <w:rsid w:val="00DE53F2"/>
    <w:rsid w:val="00DE5A1E"/>
    <w:rsid w:val="00DE5EEE"/>
    <w:rsid w:val="00DE6680"/>
    <w:rsid w:val="00DE6721"/>
    <w:rsid w:val="00DE6912"/>
    <w:rsid w:val="00DE6F95"/>
    <w:rsid w:val="00DE7355"/>
    <w:rsid w:val="00DE77E7"/>
    <w:rsid w:val="00DE7E8B"/>
    <w:rsid w:val="00DF04A6"/>
    <w:rsid w:val="00DF0745"/>
    <w:rsid w:val="00DF0790"/>
    <w:rsid w:val="00DF083B"/>
    <w:rsid w:val="00DF0F72"/>
    <w:rsid w:val="00DF15B6"/>
    <w:rsid w:val="00DF15EC"/>
    <w:rsid w:val="00DF1806"/>
    <w:rsid w:val="00DF1BF7"/>
    <w:rsid w:val="00DF1C2D"/>
    <w:rsid w:val="00DF1F85"/>
    <w:rsid w:val="00DF20CE"/>
    <w:rsid w:val="00DF20EA"/>
    <w:rsid w:val="00DF2425"/>
    <w:rsid w:val="00DF28FB"/>
    <w:rsid w:val="00DF2974"/>
    <w:rsid w:val="00DF3235"/>
    <w:rsid w:val="00DF3422"/>
    <w:rsid w:val="00DF3E3B"/>
    <w:rsid w:val="00DF45FF"/>
    <w:rsid w:val="00DF4CEB"/>
    <w:rsid w:val="00DF6AC1"/>
    <w:rsid w:val="00DF745D"/>
    <w:rsid w:val="00DF79A3"/>
    <w:rsid w:val="00E00282"/>
    <w:rsid w:val="00E0043E"/>
    <w:rsid w:val="00E00A75"/>
    <w:rsid w:val="00E00C22"/>
    <w:rsid w:val="00E00D73"/>
    <w:rsid w:val="00E0156F"/>
    <w:rsid w:val="00E01C97"/>
    <w:rsid w:val="00E027C2"/>
    <w:rsid w:val="00E02F4E"/>
    <w:rsid w:val="00E0357E"/>
    <w:rsid w:val="00E045EF"/>
    <w:rsid w:val="00E04E2B"/>
    <w:rsid w:val="00E052C4"/>
    <w:rsid w:val="00E05CBA"/>
    <w:rsid w:val="00E06166"/>
    <w:rsid w:val="00E0621A"/>
    <w:rsid w:val="00E063EC"/>
    <w:rsid w:val="00E06561"/>
    <w:rsid w:val="00E06583"/>
    <w:rsid w:val="00E06588"/>
    <w:rsid w:val="00E0766D"/>
    <w:rsid w:val="00E10090"/>
    <w:rsid w:val="00E102DD"/>
    <w:rsid w:val="00E10331"/>
    <w:rsid w:val="00E10935"/>
    <w:rsid w:val="00E10B43"/>
    <w:rsid w:val="00E10C1D"/>
    <w:rsid w:val="00E10D76"/>
    <w:rsid w:val="00E10F4D"/>
    <w:rsid w:val="00E11A6C"/>
    <w:rsid w:val="00E11AE0"/>
    <w:rsid w:val="00E12585"/>
    <w:rsid w:val="00E126E5"/>
    <w:rsid w:val="00E13325"/>
    <w:rsid w:val="00E1421F"/>
    <w:rsid w:val="00E14A2C"/>
    <w:rsid w:val="00E14C3C"/>
    <w:rsid w:val="00E15157"/>
    <w:rsid w:val="00E15680"/>
    <w:rsid w:val="00E15BCB"/>
    <w:rsid w:val="00E1644C"/>
    <w:rsid w:val="00E16730"/>
    <w:rsid w:val="00E16852"/>
    <w:rsid w:val="00E16DB7"/>
    <w:rsid w:val="00E177F1"/>
    <w:rsid w:val="00E17D33"/>
    <w:rsid w:val="00E203ED"/>
    <w:rsid w:val="00E20A8B"/>
    <w:rsid w:val="00E20CD7"/>
    <w:rsid w:val="00E20D09"/>
    <w:rsid w:val="00E2106E"/>
    <w:rsid w:val="00E21495"/>
    <w:rsid w:val="00E21AD7"/>
    <w:rsid w:val="00E226D9"/>
    <w:rsid w:val="00E22D0F"/>
    <w:rsid w:val="00E23557"/>
    <w:rsid w:val="00E23876"/>
    <w:rsid w:val="00E23E7D"/>
    <w:rsid w:val="00E240B1"/>
    <w:rsid w:val="00E24B81"/>
    <w:rsid w:val="00E24C2A"/>
    <w:rsid w:val="00E250A2"/>
    <w:rsid w:val="00E251C3"/>
    <w:rsid w:val="00E252E5"/>
    <w:rsid w:val="00E25EB1"/>
    <w:rsid w:val="00E26382"/>
    <w:rsid w:val="00E264C0"/>
    <w:rsid w:val="00E267AA"/>
    <w:rsid w:val="00E26870"/>
    <w:rsid w:val="00E273E5"/>
    <w:rsid w:val="00E27FB8"/>
    <w:rsid w:val="00E30064"/>
    <w:rsid w:val="00E301E4"/>
    <w:rsid w:val="00E3078A"/>
    <w:rsid w:val="00E30DD3"/>
    <w:rsid w:val="00E319E0"/>
    <w:rsid w:val="00E31ACB"/>
    <w:rsid w:val="00E32209"/>
    <w:rsid w:val="00E3275C"/>
    <w:rsid w:val="00E327B1"/>
    <w:rsid w:val="00E327B9"/>
    <w:rsid w:val="00E32A5E"/>
    <w:rsid w:val="00E32E66"/>
    <w:rsid w:val="00E331E4"/>
    <w:rsid w:val="00E3328F"/>
    <w:rsid w:val="00E3413D"/>
    <w:rsid w:val="00E34633"/>
    <w:rsid w:val="00E3470A"/>
    <w:rsid w:val="00E347E8"/>
    <w:rsid w:val="00E34CED"/>
    <w:rsid w:val="00E35CBE"/>
    <w:rsid w:val="00E35CE6"/>
    <w:rsid w:val="00E35DC5"/>
    <w:rsid w:val="00E36239"/>
    <w:rsid w:val="00E367CC"/>
    <w:rsid w:val="00E36C10"/>
    <w:rsid w:val="00E374E2"/>
    <w:rsid w:val="00E37695"/>
    <w:rsid w:val="00E37830"/>
    <w:rsid w:val="00E37F55"/>
    <w:rsid w:val="00E40453"/>
    <w:rsid w:val="00E4059C"/>
    <w:rsid w:val="00E405F0"/>
    <w:rsid w:val="00E40680"/>
    <w:rsid w:val="00E40C1A"/>
    <w:rsid w:val="00E41014"/>
    <w:rsid w:val="00E417E6"/>
    <w:rsid w:val="00E421F2"/>
    <w:rsid w:val="00E428CB"/>
    <w:rsid w:val="00E4423D"/>
    <w:rsid w:val="00E449C3"/>
    <w:rsid w:val="00E45020"/>
    <w:rsid w:val="00E450D8"/>
    <w:rsid w:val="00E4528A"/>
    <w:rsid w:val="00E456B6"/>
    <w:rsid w:val="00E45C08"/>
    <w:rsid w:val="00E460C7"/>
    <w:rsid w:val="00E464DF"/>
    <w:rsid w:val="00E46502"/>
    <w:rsid w:val="00E46F6A"/>
    <w:rsid w:val="00E471E6"/>
    <w:rsid w:val="00E476E0"/>
    <w:rsid w:val="00E47DDE"/>
    <w:rsid w:val="00E50124"/>
    <w:rsid w:val="00E5115F"/>
    <w:rsid w:val="00E519D8"/>
    <w:rsid w:val="00E51B87"/>
    <w:rsid w:val="00E51DD3"/>
    <w:rsid w:val="00E5209E"/>
    <w:rsid w:val="00E5241D"/>
    <w:rsid w:val="00E5271E"/>
    <w:rsid w:val="00E52BC4"/>
    <w:rsid w:val="00E53315"/>
    <w:rsid w:val="00E5334A"/>
    <w:rsid w:val="00E536C6"/>
    <w:rsid w:val="00E53B8E"/>
    <w:rsid w:val="00E53E3A"/>
    <w:rsid w:val="00E543EE"/>
    <w:rsid w:val="00E548D1"/>
    <w:rsid w:val="00E54C25"/>
    <w:rsid w:val="00E54D9C"/>
    <w:rsid w:val="00E54E59"/>
    <w:rsid w:val="00E55EA3"/>
    <w:rsid w:val="00E55FAC"/>
    <w:rsid w:val="00E56130"/>
    <w:rsid w:val="00E561D3"/>
    <w:rsid w:val="00E563CF"/>
    <w:rsid w:val="00E56574"/>
    <w:rsid w:val="00E56D19"/>
    <w:rsid w:val="00E56D77"/>
    <w:rsid w:val="00E5737A"/>
    <w:rsid w:val="00E57704"/>
    <w:rsid w:val="00E5776E"/>
    <w:rsid w:val="00E57954"/>
    <w:rsid w:val="00E57AA2"/>
    <w:rsid w:val="00E57C07"/>
    <w:rsid w:val="00E57D82"/>
    <w:rsid w:val="00E57EE7"/>
    <w:rsid w:val="00E60D04"/>
    <w:rsid w:val="00E60F91"/>
    <w:rsid w:val="00E61123"/>
    <w:rsid w:val="00E612CC"/>
    <w:rsid w:val="00E617FF"/>
    <w:rsid w:val="00E62268"/>
    <w:rsid w:val="00E6294C"/>
    <w:rsid w:val="00E62B0B"/>
    <w:rsid w:val="00E63305"/>
    <w:rsid w:val="00E6347D"/>
    <w:rsid w:val="00E63504"/>
    <w:rsid w:val="00E638BA"/>
    <w:rsid w:val="00E64509"/>
    <w:rsid w:val="00E649FC"/>
    <w:rsid w:val="00E64AAF"/>
    <w:rsid w:val="00E652D3"/>
    <w:rsid w:val="00E65DDD"/>
    <w:rsid w:val="00E65EFB"/>
    <w:rsid w:val="00E6668F"/>
    <w:rsid w:val="00E666DD"/>
    <w:rsid w:val="00E66B4A"/>
    <w:rsid w:val="00E671F0"/>
    <w:rsid w:val="00E67C01"/>
    <w:rsid w:val="00E70359"/>
    <w:rsid w:val="00E70402"/>
    <w:rsid w:val="00E707EA"/>
    <w:rsid w:val="00E70A48"/>
    <w:rsid w:val="00E7123B"/>
    <w:rsid w:val="00E712EA"/>
    <w:rsid w:val="00E71769"/>
    <w:rsid w:val="00E71C27"/>
    <w:rsid w:val="00E71E40"/>
    <w:rsid w:val="00E722A5"/>
    <w:rsid w:val="00E7292C"/>
    <w:rsid w:val="00E731CD"/>
    <w:rsid w:val="00E73482"/>
    <w:rsid w:val="00E73537"/>
    <w:rsid w:val="00E740DA"/>
    <w:rsid w:val="00E741FB"/>
    <w:rsid w:val="00E7440C"/>
    <w:rsid w:val="00E7455D"/>
    <w:rsid w:val="00E747EE"/>
    <w:rsid w:val="00E74802"/>
    <w:rsid w:val="00E74B06"/>
    <w:rsid w:val="00E74D9F"/>
    <w:rsid w:val="00E75036"/>
    <w:rsid w:val="00E75AAC"/>
    <w:rsid w:val="00E75C94"/>
    <w:rsid w:val="00E75D1F"/>
    <w:rsid w:val="00E76625"/>
    <w:rsid w:val="00E76C41"/>
    <w:rsid w:val="00E76F7A"/>
    <w:rsid w:val="00E775FB"/>
    <w:rsid w:val="00E77687"/>
    <w:rsid w:val="00E776F4"/>
    <w:rsid w:val="00E77DAA"/>
    <w:rsid w:val="00E804A3"/>
    <w:rsid w:val="00E80681"/>
    <w:rsid w:val="00E8086C"/>
    <w:rsid w:val="00E808FE"/>
    <w:rsid w:val="00E813F4"/>
    <w:rsid w:val="00E819A8"/>
    <w:rsid w:val="00E81A7F"/>
    <w:rsid w:val="00E81D5C"/>
    <w:rsid w:val="00E826D1"/>
    <w:rsid w:val="00E828CB"/>
    <w:rsid w:val="00E83286"/>
    <w:rsid w:val="00E83AFD"/>
    <w:rsid w:val="00E844C3"/>
    <w:rsid w:val="00E845F8"/>
    <w:rsid w:val="00E846DB"/>
    <w:rsid w:val="00E85157"/>
    <w:rsid w:val="00E86555"/>
    <w:rsid w:val="00E8695C"/>
    <w:rsid w:val="00E86FEA"/>
    <w:rsid w:val="00E87559"/>
    <w:rsid w:val="00E87581"/>
    <w:rsid w:val="00E87DDD"/>
    <w:rsid w:val="00E9006C"/>
    <w:rsid w:val="00E9023B"/>
    <w:rsid w:val="00E90356"/>
    <w:rsid w:val="00E9047A"/>
    <w:rsid w:val="00E90609"/>
    <w:rsid w:val="00E913B3"/>
    <w:rsid w:val="00E91578"/>
    <w:rsid w:val="00E918B7"/>
    <w:rsid w:val="00E9194D"/>
    <w:rsid w:val="00E92565"/>
    <w:rsid w:val="00E9260C"/>
    <w:rsid w:val="00E9266C"/>
    <w:rsid w:val="00E92A2C"/>
    <w:rsid w:val="00E932D1"/>
    <w:rsid w:val="00E93698"/>
    <w:rsid w:val="00E93C7E"/>
    <w:rsid w:val="00E93EB9"/>
    <w:rsid w:val="00E94DAA"/>
    <w:rsid w:val="00E9526E"/>
    <w:rsid w:val="00E96468"/>
    <w:rsid w:val="00E96F68"/>
    <w:rsid w:val="00E970D7"/>
    <w:rsid w:val="00E972EE"/>
    <w:rsid w:val="00E978CC"/>
    <w:rsid w:val="00E97B84"/>
    <w:rsid w:val="00E97D00"/>
    <w:rsid w:val="00E97F38"/>
    <w:rsid w:val="00EA0289"/>
    <w:rsid w:val="00EA0C73"/>
    <w:rsid w:val="00EA0FCE"/>
    <w:rsid w:val="00EA18A8"/>
    <w:rsid w:val="00EA2142"/>
    <w:rsid w:val="00EA2D29"/>
    <w:rsid w:val="00EA3749"/>
    <w:rsid w:val="00EA3CF5"/>
    <w:rsid w:val="00EA444E"/>
    <w:rsid w:val="00EA4BB6"/>
    <w:rsid w:val="00EA59B0"/>
    <w:rsid w:val="00EA59FB"/>
    <w:rsid w:val="00EA5D93"/>
    <w:rsid w:val="00EA6094"/>
    <w:rsid w:val="00EA6123"/>
    <w:rsid w:val="00EA6224"/>
    <w:rsid w:val="00EA6D93"/>
    <w:rsid w:val="00EA70F7"/>
    <w:rsid w:val="00EA7446"/>
    <w:rsid w:val="00EB004D"/>
    <w:rsid w:val="00EB0146"/>
    <w:rsid w:val="00EB02C1"/>
    <w:rsid w:val="00EB0322"/>
    <w:rsid w:val="00EB05F5"/>
    <w:rsid w:val="00EB0ACA"/>
    <w:rsid w:val="00EB153B"/>
    <w:rsid w:val="00EB159C"/>
    <w:rsid w:val="00EB16A3"/>
    <w:rsid w:val="00EB1820"/>
    <w:rsid w:val="00EB1981"/>
    <w:rsid w:val="00EB1BE8"/>
    <w:rsid w:val="00EB2D5C"/>
    <w:rsid w:val="00EB3802"/>
    <w:rsid w:val="00EB3C37"/>
    <w:rsid w:val="00EB46FA"/>
    <w:rsid w:val="00EB48F6"/>
    <w:rsid w:val="00EB4BEB"/>
    <w:rsid w:val="00EB5287"/>
    <w:rsid w:val="00EB5AC2"/>
    <w:rsid w:val="00EB6405"/>
    <w:rsid w:val="00EB6587"/>
    <w:rsid w:val="00EB66AC"/>
    <w:rsid w:val="00EB69B4"/>
    <w:rsid w:val="00EB7059"/>
    <w:rsid w:val="00EB7932"/>
    <w:rsid w:val="00EB7E38"/>
    <w:rsid w:val="00EC0214"/>
    <w:rsid w:val="00EC0492"/>
    <w:rsid w:val="00EC05BA"/>
    <w:rsid w:val="00EC178C"/>
    <w:rsid w:val="00EC1A16"/>
    <w:rsid w:val="00EC1D75"/>
    <w:rsid w:val="00EC20DA"/>
    <w:rsid w:val="00EC2127"/>
    <w:rsid w:val="00EC238B"/>
    <w:rsid w:val="00EC3117"/>
    <w:rsid w:val="00EC3329"/>
    <w:rsid w:val="00EC3C44"/>
    <w:rsid w:val="00EC478C"/>
    <w:rsid w:val="00EC517B"/>
    <w:rsid w:val="00EC5B0D"/>
    <w:rsid w:val="00EC6364"/>
    <w:rsid w:val="00EC7114"/>
    <w:rsid w:val="00EC7D15"/>
    <w:rsid w:val="00EC7DAA"/>
    <w:rsid w:val="00EC7DB0"/>
    <w:rsid w:val="00EC7EDB"/>
    <w:rsid w:val="00ED024A"/>
    <w:rsid w:val="00ED12B0"/>
    <w:rsid w:val="00ED1F83"/>
    <w:rsid w:val="00ED213F"/>
    <w:rsid w:val="00ED2540"/>
    <w:rsid w:val="00ED2DB8"/>
    <w:rsid w:val="00ED2E7D"/>
    <w:rsid w:val="00ED379B"/>
    <w:rsid w:val="00ED45E3"/>
    <w:rsid w:val="00ED4783"/>
    <w:rsid w:val="00ED49B3"/>
    <w:rsid w:val="00ED51C6"/>
    <w:rsid w:val="00ED51DE"/>
    <w:rsid w:val="00ED53CB"/>
    <w:rsid w:val="00ED54B4"/>
    <w:rsid w:val="00ED5993"/>
    <w:rsid w:val="00ED5A24"/>
    <w:rsid w:val="00ED6222"/>
    <w:rsid w:val="00ED6F3C"/>
    <w:rsid w:val="00ED74B3"/>
    <w:rsid w:val="00ED74C3"/>
    <w:rsid w:val="00ED79B4"/>
    <w:rsid w:val="00ED7E44"/>
    <w:rsid w:val="00EE009B"/>
    <w:rsid w:val="00EE0A57"/>
    <w:rsid w:val="00EE1B4A"/>
    <w:rsid w:val="00EE1C17"/>
    <w:rsid w:val="00EE1D56"/>
    <w:rsid w:val="00EE235A"/>
    <w:rsid w:val="00EE294E"/>
    <w:rsid w:val="00EE35B8"/>
    <w:rsid w:val="00EE3B35"/>
    <w:rsid w:val="00EE3EC0"/>
    <w:rsid w:val="00EE427C"/>
    <w:rsid w:val="00EE4392"/>
    <w:rsid w:val="00EE4B3F"/>
    <w:rsid w:val="00EE4DCC"/>
    <w:rsid w:val="00EE5425"/>
    <w:rsid w:val="00EE551F"/>
    <w:rsid w:val="00EE5BB3"/>
    <w:rsid w:val="00EE70BB"/>
    <w:rsid w:val="00EE715D"/>
    <w:rsid w:val="00EE7273"/>
    <w:rsid w:val="00EE74FC"/>
    <w:rsid w:val="00EE7916"/>
    <w:rsid w:val="00EE793A"/>
    <w:rsid w:val="00EE7A69"/>
    <w:rsid w:val="00EE7C99"/>
    <w:rsid w:val="00EF00A6"/>
    <w:rsid w:val="00EF0A64"/>
    <w:rsid w:val="00EF132F"/>
    <w:rsid w:val="00EF1392"/>
    <w:rsid w:val="00EF19D9"/>
    <w:rsid w:val="00EF2467"/>
    <w:rsid w:val="00EF4844"/>
    <w:rsid w:val="00EF4853"/>
    <w:rsid w:val="00EF4A5A"/>
    <w:rsid w:val="00EF4E5E"/>
    <w:rsid w:val="00EF5667"/>
    <w:rsid w:val="00EF5D5A"/>
    <w:rsid w:val="00EF5D5C"/>
    <w:rsid w:val="00EF5D91"/>
    <w:rsid w:val="00EF6786"/>
    <w:rsid w:val="00EF6D04"/>
    <w:rsid w:val="00EF6D93"/>
    <w:rsid w:val="00EF6EEB"/>
    <w:rsid w:val="00EF7278"/>
    <w:rsid w:val="00EF760F"/>
    <w:rsid w:val="00EF7671"/>
    <w:rsid w:val="00EF79AA"/>
    <w:rsid w:val="00EF7A71"/>
    <w:rsid w:val="00EF7B7D"/>
    <w:rsid w:val="00F00002"/>
    <w:rsid w:val="00F003C1"/>
    <w:rsid w:val="00F00557"/>
    <w:rsid w:val="00F00918"/>
    <w:rsid w:val="00F009C1"/>
    <w:rsid w:val="00F00EA8"/>
    <w:rsid w:val="00F011DB"/>
    <w:rsid w:val="00F01A4D"/>
    <w:rsid w:val="00F01EB1"/>
    <w:rsid w:val="00F021AC"/>
    <w:rsid w:val="00F0223F"/>
    <w:rsid w:val="00F029BC"/>
    <w:rsid w:val="00F02BBD"/>
    <w:rsid w:val="00F02C66"/>
    <w:rsid w:val="00F031F5"/>
    <w:rsid w:val="00F036A3"/>
    <w:rsid w:val="00F0373C"/>
    <w:rsid w:val="00F03B42"/>
    <w:rsid w:val="00F04921"/>
    <w:rsid w:val="00F05D9F"/>
    <w:rsid w:val="00F06854"/>
    <w:rsid w:val="00F07604"/>
    <w:rsid w:val="00F07613"/>
    <w:rsid w:val="00F0767F"/>
    <w:rsid w:val="00F0785A"/>
    <w:rsid w:val="00F078EC"/>
    <w:rsid w:val="00F07B9B"/>
    <w:rsid w:val="00F07C18"/>
    <w:rsid w:val="00F11356"/>
    <w:rsid w:val="00F11778"/>
    <w:rsid w:val="00F12629"/>
    <w:rsid w:val="00F12B69"/>
    <w:rsid w:val="00F1308B"/>
    <w:rsid w:val="00F13503"/>
    <w:rsid w:val="00F143DE"/>
    <w:rsid w:val="00F1440B"/>
    <w:rsid w:val="00F14777"/>
    <w:rsid w:val="00F147E6"/>
    <w:rsid w:val="00F14FD5"/>
    <w:rsid w:val="00F15DA8"/>
    <w:rsid w:val="00F15E67"/>
    <w:rsid w:val="00F15EFD"/>
    <w:rsid w:val="00F15EFE"/>
    <w:rsid w:val="00F164DE"/>
    <w:rsid w:val="00F16634"/>
    <w:rsid w:val="00F16E04"/>
    <w:rsid w:val="00F1730F"/>
    <w:rsid w:val="00F178D2"/>
    <w:rsid w:val="00F17A79"/>
    <w:rsid w:val="00F17C66"/>
    <w:rsid w:val="00F17CE0"/>
    <w:rsid w:val="00F202DD"/>
    <w:rsid w:val="00F20837"/>
    <w:rsid w:val="00F20C34"/>
    <w:rsid w:val="00F21609"/>
    <w:rsid w:val="00F21A45"/>
    <w:rsid w:val="00F21B53"/>
    <w:rsid w:val="00F2201B"/>
    <w:rsid w:val="00F22343"/>
    <w:rsid w:val="00F22404"/>
    <w:rsid w:val="00F226B6"/>
    <w:rsid w:val="00F2270B"/>
    <w:rsid w:val="00F22D6E"/>
    <w:rsid w:val="00F236D5"/>
    <w:rsid w:val="00F238EF"/>
    <w:rsid w:val="00F24346"/>
    <w:rsid w:val="00F24B8E"/>
    <w:rsid w:val="00F24D6A"/>
    <w:rsid w:val="00F2574A"/>
    <w:rsid w:val="00F25763"/>
    <w:rsid w:val="00F2594A"/>
    <w:rsid w:val="00F25CA3"/>
    <w:rsid w:val="00F25FC7"/>
    <w:rsid w:val="00F2630A"/>
    <w:rsid w:val="00F263AD"/>
    <w:rsid w:val="00F264B8"/>
    <w:rsid w:val="00F26A5A"/>
    <w:rsid w:val="00F26D06"/>
    <w:rsid w:val="00F26D38"/>
    <w:rsid w:val="00F27627"/>
    <w:rsid w:val="00F3040E"/>
    <w:rsid w:val="00F304A8"/>
    <w:rsid w:val="00F309CA"/>
    <w:rsid w:val="00F30B91"/>
    <w:rsid w:val="00F30F5D"/>
    <w:rsid w:val="00F31206"/>
    <w:rsid w:val="00F3173A"/>
    <w:rsid w:val="00F31861"/>
    <w:rsid w:val="00F32088"/>
    <w:rsid w:val="00F327FB"/>
    <w:rsid w:val="00F32913"/>
    <w:rsid w:val="00F32A66"/>
    <w:rsid w:val="00F34B6F"/>
    <w:rsid w:val="00F350C6"/>
    <w:rsid w:val="00F366FB"/>
    <w:rsid w:val="00F36C9F"/>
    <w:rsid w:val="00F3706E"/>
    <w:rsid w:val="00F375F4"/>
    <w:rsid w:val="00F378A6"/>
    <w:rsid w:val="00F3796D"/>
    <w:rsid w:val="00F40202"/>
    <w:rsid w:val="00F40BE9"/>
    <w:rsid w:val="00F40ECF"/>
    <w:rsid w:val="00F40FE8"/>
    <w:rsid w:val="00F411C1"/>
    <w:rsid w:val="00F4123C"/>
    <w:rsid w:val="00F4131E"/>
    <w:rsid w:val="00F41596"/>
    <w:rsid w:val="00F417E7"/>
    <w:rsid w:val="00F4201B"/>
    <w:rsid w:val="00F42164"/>
    <w:rsid w:val="00F42AC0"/>
    <w:rsid w:val="00F43192"/>
    <w:rsid w:val="00F44203"/>
    <w:rsid w:val="00F445FF"/>
    <w:rsid w:val="00F4463B"/>
    <w:rsid w:val="00F451D4"/>
    <w:rsid w:val="00F4541A"/>
    <w:rsid w:val="00F45BD4"/>
    <w:rsid w:val="00F45EDF"/>
    <w:rsid w:val="00F46184"/>
    <w:rsid w:val="00F4625D"/>
    <w:rsid w:val="00F4638F"/>
    <w:rsid w:val="00F4642B"/>
    <w:rsid w:val="00F468E9"/>
    <w:rsid w:val="00F473D8"/>
    <w:rsid w:val="00F473F4"/>
    <w:rsid w:val="00F47788"/>
    <w:rsid w:val="00F47849"/>
    <w:rsid w:val="00F50BF8"/>
    <w:rsid w:val="00F51106"/>
    <w:rsid w:val="00F514E3"/>
    <w:rsid w:val="00F51A14"/>
    <w:rsid w:val="00F521AA"/>
    <w:rsid w:val="00F52501"/>
    <w:rsid w:val="00F52838"/>
    <w:rsid w:val="00F53B78"/>
    <w:rsid w:val="00F54251"/>
    <w:rsid w:val="00F5455E"/>
    <w:rsid w:val="00F547A4"/>
    <w:rsid w:val="00F54897"/>
    <w:rsid w:val="00F54D38"/>
    <w:rsid w:val="00F55082"/>
    <w:rsid w:val="00F553BF"/>
    <w:rsid w:val="00F5579B"/>
    <w:rsid w:val="00F55EAA"/>
    <w:rsid w:val="00F5629A"/>
    <w:rsid w:val="00F562A2"/>
    <w:rsid w:val="00F5647B"/>
    <w:rsid w:val="00F57054"/>
    <w:rsid w:val="00F571DB"/>
    <w:rsid w:val="00F572FE"/>
    <w:rsid w:val="00F5774F"/>
    <w:rsid w:val="00F579D5"/>
    <w:rsid w:val="00F57C05"/>
    <w:rsid w:val="00F57E50"/>
    <w:rsid w:val="00F57F20"/>
    <w:rsid w:val="00F60617"/>
    <w:rsid w:val="00F60639"/>
    <w:rsid w:val="00F60862"/>
    <w:rsid w:val="00F60F0A"/>
    <w:rsid w:val="00F6140D"/>
    <w:rsid w:val="00F61C2B"/>
    <w:rsid w:val="00F61F54"/>
    <w:rsid w:val="00F61F7C"/>
    <w:rsid w:val="00F62348"/>
    <w:rsid w:val="00F625E6"/>
    <w:rsid w:val="00F62660"/>
    <w:rsid w:val="00F62FEE"/>
    <w:rsid w:val="00F630ED"/>
    <w:rsid w:val="00F6367D"/>
    <w:rsid w:val="00F6436A"/>
    <w:rsid w:val="00F6480B"/>
    <w:rsid w:val="00F64A00"/>
    <w:rsid w:val="00F64B26"/>
    <w:rsid w:val="00F64BC9"/>
    <w:rsid w:val="00F64D37"/>
    <w:rsid w:val="00F651EC"/>
    <w:rsid w:val="00F651FB"/>
    <w:rsid w:val="00F655F5"/>
    <w:rsid w:val="00F657F0"/>
    <w:rsid w:val="00F65A67"/>
    <w:rsid w:val="00F66042"/>
    <w:rsid w:val="00F663E4"/>
    <w:rsid w:val="00F66822"/>
    <w:rsid w:val="00F66A6E"/>
    <w:rsid w:val="00F66D44"/>
    <w:rsid w:val="00F674DA"/>
    <w:rsid w:val="00F67D3F"/>
    <w:rsid w:val="00F700D8"/>
    <w:rsid w:val="00F708F1"/>
    <w:rsid w:val="00F70FDD"/>
    <w:rsid w:val="00F715E5"/>
    <w:rsid w:val="00F7206E"/>
    <w:rsid w:val="00F729F1"/>
    <w:rsid w:val="00F72B73"/>
    <w:rsid w:val="00F73BCF"/>
    <w:rsid w:val="00F752A2"/>
    <w:rsid w:val="00F75776"/>
    <w:rsid w:val="00F75AC3"/>
    <w:rsid w:val="00F75ADB"/>
    <w:rsid w:val="00F75EF5"/>
    <w:rsid w:val="00F76363"/>
    <w:rsid w:val="00F7685D"/>
    <w:rsid w:val="00F76C6C"/>
    <w:rsid w:val="00F76D4A"/>
    <w:rsid w:val="00F77119"/>
    <w:rsid w:val="00F77E63"/>
    <w:rsid w:val="00F8037E"/>
    <w:rsid w:val="00F803B7"/>
    <w:rsid w:val="00F806C9"/>
    <w:rsid w:val="00F807F7"/>
    <w:rsid w:val="00F80AE2"/>
    <w:rsid w:val="00F816F6"/>
    <w:rsid w:val="00F81989"/>
    <w:rsid w:val="00F838A8"/>
    <w:rsid w:val="00F83A8A"/>
    <w:rsid w:val="00F84620"/>
    <w:rsid w:val="00F84A5A"/>
    <w:rsid w:val="00F85A9D"/>
    <w:rsid w:val="00F85B83"/>
    <w:rsid w:val="00F85D64"/>
    <w:rsid w:val="00F860D8"/>
    <w:rsid w:val="00F861DB"/>
    <w:rsid w:val="00F86914"/>
    <w:rsid w:val="00F86B73"/>
    <w:rsid w:val="00F870BF"/>
    <w:rsid w:val="00F8754B"/>
    <w:rsid w:val="00F87C67"/>
    <w:rsid w:val="00F90377"/>
    <w:rsid w:val="00F90ADE"/>
    <w:rsid w:val="00F9176D"/>
    <w:rsid w:val="00F919D1"/>
    <w:rsid w:val="00F91D3B"/>
    <w:rsid w:val="00F91D8E"/>
    <w:rsid w:val="00F923B9"/>
    <w:rsid w:val="00F9257D"/>
    <w:rsid w:val="00F925D6"/>
    <w:rsid w:val="00F927E3"/>
    <w:rsid w:val="00F92F2C"/>
    <w:rsid w:val="00F934BB"/>
    <w:rsid w:val="00F939B6"/>
    <w:rsid w:val="00F9440D"/>
    <w:rsid w:val="00F94A68"/>
    <w:rsid w:val="00F94BC8"/>
    <w:rsid w:val="00F9640C"/>
    <w:rsid w:val="00F97BCC"/>
    <w:rsid w:val="00F97F50"/>
    <w:rsid w:val="00FA057A"/>
    <w:rsid w:val="00FA0665"/>
    <w:rsid w:val="00FA189A"/>
    <w:rsid w:val="00FA1A50"/>
    <w:rsid w:val="00FA1D9A"/>
    <w:rsid w:val="00FA1F76"/>
    <w:rsid w:val="00FA26F8"/>
    <w:rsid w:val="00FA276F"/>
    <w:rsid w:val="00FA3509"/>
    <w:rsid w:val="00FA357D"/>
    <w:rsid w:val="00FA3AE6"/>
    <w:rsid w:val="00FA3E60"/>
    <w:rsid w:val="00FA3EC1"/>
    <w:rsid w:val="00FA40E6"/>
    <w:rsid w:val="00FA49E0"/>
    <w:rsid w:val="00FA5819"/>
    <w:rsid w:val="00FA5C9E"/>
    <w:rsid w:val="00FA6EA6"/>
    <w:rsid w:val="00FA6F3D"/>
    <w:rsid w:val="00FA77FB"/>
    <w:rsid w:val="00FB016A"/>
    <w:rsid w:val="00FB055C"/>
    <w:rsid w:val="00FB0D77"/>
    <w:rsid w:val="00FB0D91"/>
    <w:rsid w:val="00FB0E86"/>
    <w:rsid w:val="00FB0F89"/>
    <w:rsid w:val="00FB1657"/>
    <w:rsid w:val="00FB274B"/>
    <w:rsid w:val="00FB351A"/>
    <w:rsid w:val="00FB39F2"/>
    <w:rsid w:val="00FB53F0"/>
    <w:rsid w:val="00FB5B5B"/>
    <w:rsid w:val="00FB6CE2"/>
    <w:rsid w:val="00FB7A8F"/>
    <w:rsid w:val="00FC01EC"/>
    <w:rsid w:val="00FC051A"/>
    <w:rsid w:val="00FC0FC3"/>
    <w:rsid w:val="00FC1402"/>
    <w:rsid w:val="00FC15F6"/>
    <w:rsid w:val="00FC194F"/>
    <w:rsid w:val="00FC1B18"/>
    <w:rsid w:val="00FC2295"/>
    <w:rsid w:val="00FC35FA"/>
    <w:rsid w:val="00FC370E"/>
    <w:rsid w:val="00FC3D4C"/>
    <w:rsid w:val="00FC3F9C"/>
    <w:rsid w:val="00FC40E0"/>
    <w:rsid w:val="00FC4846"/>
    <w:rsid w:val="00FC4E2A"/>
    <w:rsid w:val="00FC5486"/>
    <w:rsid w:val="00FC58D3"/>
    <w:rsid w:val="00FC69BD"/>
    <w:rsid w:val="00FC7770"/>
    <w:rsid w:val="00FC7C2C"/>
    <w:rsid w:val="00FC7F65"/>
    <w:rsid w:val="00FD0D3F"/>
    <w:rsid w:val="00FD1298"/>
    <w:rsid w:val="00FD1CCA"/>
    <w:rsid w:val="00FD277B"/>
    <w:rsid w:val="00FD2CBA"/>
    <w:rsid w:val="00FD33FE"/>
    <w:rsid w:val="00FD362E"/>
    <w:rsid w:val="00FD3816"/>
    <w:rsid w:val="00FD3AEE"/>
    <w:rsid w:val="00FD4281"/>
    <w:rsid w:val="00FD5DF2"/>
    <w:rsid w:val="00FD5E9E"/>
    <w:rsid w:val="00FD675A"/>
    <w:rsid w:val="00FD6EA3"/>
    <w:rsid w:val="00FD7514"/>
    <w:rsid w:val="00FD7B96"/>
    <w:rsid w:val="00FD7D96"/>
    <w:rsid w:val="00FE02DD"/>
    <w:rsid w:val="00FE0940"/>
    <w:rsid w:val="00FE0E36"/>
    <w:rsid w:val="00FE1A57"/>
    <w:rsid w:val="00FE28C4"/>
    <w:rsid w:val="00FE34DC"/>
    <w:rsid w:val="00FE354B"/>
    <w:rsid w:val="00FE37E9"/>
    <w:rsid w:val="00FE3D93"/>
    <w:rsid w:val="00FE44CB"/>
    <w:rsid w:val="00FE45BD"/>
    <w:rsid w:val="00FE4D06"/>
    <w:rsid w:val="00FE62B1"/>
    <w:rsid w:val="00FE6632"/>
    <w:rsid w:val="00FE66ED"/>
    <w:rsid w:val="00FE6C64"/>
    <w:rsid w:val="00FE76FA"/>
    <w:rsid w:val="00FE77D3"/>
    <w:rsid w:val="00FF02F7"/>
    <w:rsid w:val="00FF0B47"/>
    <w:rsid w:val="00FF1329"/>
    <w:rsid w:val="00FF1B15"/>
    <w:rsid w:val="00FF1CE1"/>
    <w:rsid w:val="00FF1E0B"/>
    <w:rsid w:val="00FF2021"/>
    <w:rsid w:val="00FF2247"/>
    <w:rsid w:val="00FF24A7"/>
    <w:rsid w:val="00FF2A25"/>
    <w:rsid w:val="00FF2F44"/>
    <w:rsid w:val="00FF3253"/>
    <w:rsid w:val="00FF352D"/>
    <w:rsid w:val="00FF360F"/>
    <w:rsid w:val="00FF396F"/>
    <w:rsid w:val="00FF3AA1"/>
    <w:rsid w:val="00FF3D42"/>
    <w:rsid w:val="00FF4397"/>
    <w:rsid w:val="00FF44C5"/>
    <w:rsid w:val="00FF463E"/>
    <w:rsid w:val="00FF47A9"/>
    <w:rsid w:val="00FF4BAF"/>
    <w:rsid w:val="00FF4ED3"/>
    <w:rsid w:val="00FF537D"/>
    <w:rsid w:val="00FF6008"/>
    <w:rsid w:val="00FF61EA"/>
    <w:rsid w:val="00FF64E9"/>
    <w:rsid w:val="00FF6C82"/>
    <w:rsid w:val="00FF7965"/>
    <w:rsid w:val="00FF799E"/>
    <w:rsid w:val="00FF7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E4588"/>
  <w15:docId w15:val="{6E121BA7-F4E5-4D14-A226-15586CD0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E15"/>
    <w:rPr>
      <w:sz w:val="24"/>
      <w:szCs w:val="24"/>
      <w:lang w:val="bg-BG"/>
    </w:rPr>
  </w:style>
  <w:style w:type="paragraph" w:styleId="Heading1">
    <w:name w:val="heading 1"/>
    <w:basedOn w:val="Normal"/>
    <w:next w:val="Normal"/>
    <w:link w:val="Heading1Char"/>
    <w:qFormat/>
    <w:rsid w:val="00063E15"/>
    <w:pPr>
      <w:keepNext/>
      <w:jc w:val="center"/>
      <w:outlineLvl w:val="0"/>
    </w:pPr>
    <w:rPr>
      <w:b/>
      <w:bCs/>
      <w:sz w:val="28"/>
    </w:rPr>
  </w:style>
  <w:style w:type="paragraph" w:styleId="Heading2">
    <w:name w:val="heading 2"/>
    <w:basedOn w:val="Normal"/>
    <w:next w:val="Normal"/>
    <w:qFormat/>
    <w:rsid w:val="00C26FE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6239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63E15"/>
    <w:pPr>
      <w:jc w:val="center"/>
    </w:pPr>
    <w:rPr>
      <w:b/>
      <w:szCs w:val="20"/>
    </w:rPr>
  </w:style>
  <w:style w:type="paragraph" w:customStyle="1" w:styleId="ParagraphNumbering">
    <w:name w:val="Paragraph Numbering"/>
    <w:basedOn w:val="Normal"/>
    <w:rsid w:val="0028159B"/>
    <w:pPr>
      <w:numPr>
        <w:numId w:val="1"/>
      </w:numPr>
      <w:spacing w:after="240"/>
    </w:pPr>
    <w:rPr>
      <w:lang w:val="en-US"/>
    </w:rPr>
  </w:style>
  <w:style w:type="paragraph" w:styleId="FootnoteText">
    <w:name w:val="footnote text"/>
    <w:aliases w:val="Fußnotentext arial,Footnote1,Footnote2,Footnote3,stile 1,Footnote4,Footnote5,Footnote6,Footnote7,Footnote8,Footnote9,Footnote10,Footnote11,Footnote21,Footnote31,Footnote41,Footnote51,Footnote61,Footnote71,Footnote81,Footnote91,single spa"/>
    <w:basedOn w:val="Normal"/>
    <w:link w:val="FootnoteTextChar"/>
    <w:qFormat/>
    <w:rsid w:val="003459AC"/>
    <w:rPr>
      <w:sz w:val="20"/>
      <w:szCs w:val="20"/>
      <w:lang w:val="en-US"/>
    </w:rPr>
  </w:style>
  <w:style w:type="character" w:styleId="FootnoteReference">
    <w:name w:val="footnote reference"/>
    <w:aliases w:val="Footnote,Footnote symbol,SUPERS,BVI fnr,Footnote reference number,Times 10 Point,Exposant 3 Point,Ref,de nota al pie,note TESI,EN Footnote text,EN Footnote Reference,Footnote Reference Number,E FNZ,Appel note de bas de p,Nota,BVI fnr1"/>
    <w:qFormat/>
    <w:rsid w:val="003459AC"/>
    <w:rPr>
      <w:vertAlign w:val="superscript"/>
    </w:rPr>
  </w:style>
  <w:style w:type="paragraph" w:styleId="BodyText">
    <w:name w:val="Body Text"/>
    <w:basedOn w:val="Normal"/>
    <w:link w:val="BodyTextChar"/>
    <w:rsid w:val="003459AC"/>
    <w:pPr>
      <w:jc w:val="both"/>
    </w:pPr>
  </w:style>
  <w:style w:type="paragraph" w:styleId="BodyTextIndent">
    <w:name w:val="Body Text Indent"/>
    <w:basedOn w:val="Normal"/>
    <w:link w:val="BodyTextIndentChar"/>
    <w:uiPriority w:val="99"/>
    <w:rsid w:val="003459AC"/>
    <w:pPr>
      <w:spacing w:after="120"/>
      <w:ind w:left="283"/>
    </w:pPr>
  </w:style>
  <w:style w:type="paragraph" w:styleId="BodyText2">
    <w:name w:val="Body Text 2"/>
    <w:basedOn w:val="Normal"/>
    <w:link w:val="BodyText2Char"/>
    <w:rsid w:val="003459AC"/>
    <w:pPr>
      <w:spacing w:after="120" w:line="480" w:lineRule="auto"/>
    </w:pPr>
  </w:style>
  <w:style w:type="paragraph" w:styleId="BlockText">
    <w:name w:val="Block Text"/>
    <w:basedOn w:val="Normal"/>
    <w:rsid w:val="003459AC"/>
    <w:pPr>
      <w:ind w:left="720" w:right="1106"/>
    </w:pPr>
    <w:rPr>
      <w:b/>
      <w:bCs/>
    </w:rPr>
  </w:style>
  <w:style w:type="table" w:styleId="TableGrid">
    <w:name w:val="Table Grid"/>
    <w:basedOn w:val="TableNormal"/>
    <w:rsid w:val="00345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Header Char1 Char,Header Char Char Char,Header Char3 Char Char Char,Header Char1 Char Char Char Char1 Char,Header Char Char Char Char Char Char1 Char,Header Char2 Char1 Char Char Char"/>
    <w:basedOn w:val="Normal"/>
    <w:link w:val="HeaderChar1"/>
    <w:rsid w:val="001D40DA"/>
    <w:pPr>
      <w:tabs>
        <w:tab w:val="center" w:pos="4153"/>
        <w:tab w:val="right" w:pos="8306"/>
      </w:tabs>
    </w:pPr>
    <w:rPr>
      <w:lang w:eastAsia="bg-BG"/>
    </w:rPr>
  </w:style>
  <w:style w:type="paragraph" w:styleId="BodyText3">
    <w:name w:val="Body Text 3"/>
    <w:basedOn w:val="Normal"/>
    <w:rsid w:val="00262391"/>
    <w:pPr>
      <w:spacing w:after="120"/>
    </w:pPr>
    <w:rPr>
      <w:sz w:val="16"/>
      <w:szCs w:val="16"/>
    </w:rPr>
  </w:style>
  <w:style w:type="paragraph" w:styleId="Footer">
    <w:name w:val="footer"/>
    <w:basedOn w:val="Normal"/>
    <w:rsid w:val="00A74112"/>
    <w:pPr>
      <w:tabs>
        <w:tab w:val="center" w:pos="4536"/>
        <w:tab w:val="right" w:pos="9072"/>
      </w:tabs>
    </w:pPr>
  </w:style>
  <w:style w:type="character" w:styleId="PageNumber">
    <w:name w:val="page number"/>
    <w:basedOn w:val="DefaultParagraphFont"/>
    <w:rsid w:val="00A74112"/>
  </w:style>
  <w:style w:type="paragraph" w:customStyle="1" w:styleId="CharChar3CharChar">
    <w:name w:val="Char Char3 Char Char"/>
    <w:basedOn w:val="Normal"/>
    <w:semiHidden/>
    <w:rsid w:val="00EE4B3F"/>
    <w:pPr>
      <w:tabs>
        <w:tab w:val="left" w:pos="709"/>
      </w:tabs>
    </w:pPr>
    <w:rPr>
      <w:rFonts w:ascii="Futura Bk" w:hAnsi="Futura Bk"/>
      <w:lang w:val="pl-PL" w:eastAsia="pl-PL"/>
    </w:rPr>
  </w:style>
  <w:style w:type="paragraph" w:customStyle="1" w:styleId="CharCharCharChar">
    <w:name w:val="Char Char Char Char"/>
    <w:basedOn w:val="Normal"/>
    <w:rsid w:val="00A14560"/>
    <w:pPr>
      <w:spacing w:after="160" w:line="240" w:lineRule="exact"/>
    </w:pPr>
    <w:rPr>
      <w:rFonts w:ascii="Tahoma" w:hAnsi="Tahoma"/>
      <w:sz w:val="20"/>
      <w:szCs w:val="20"/>
      <w:lang w:val="en-US"/>
    </w:rPr>
  </w:style>
  <w:style w:type="paragraph" w:styleId="BodyTextIndent2">
    <w:name w:val="Body Text Indent 2"/>
    <w:basedOn w:val="Normal"/>
    <w:rsid w:val="00C32154"/>
    <w:pPr>
      <w:spacing w:after="120" w:line="480" w:lineRule="auto"/>
      <w:ind w:left="283"/>
    </w:pPr>
  </w:style>
  <w:style w:type="paragraph" w:styleId="BalloonText">
    <w:name w:val="Balloon Text"/>
    <w:basedOn w:val="Normal"/>
    <w:link w:val="BalloonTextChar"/>
    <w:semiHidden/>
    <w:rsid w:val="00144BF2"/>
    <w:rPr>
      <w:rFonts w:ascii="Tahoma" w:hAnsi="Tahoma" w:cs="Tahoma"/>
      <w:sz w:val="16"/>
      <w:szCs w:val="16"/>
    </w:rPr>
  </w:style>
  <w:style w:type="paragraph" w:styleId="EndnoteText">
    <w:name w:val="endnote text"/>
    <w:basedOn w:val="Normal"/>
    <w:semiHidden/>
    <w:rsid w:val="00F870BF"/>
    <w:rPr>
      <w:sz w:val="20"/>
      <w:szCs w:val="20"/>
    </w:rPr>
  </w:style>
  <w:style w:type="character" w:styleId="EndnoteReference">
    <w:name w:val="endnote reference"/>
    <w:semiHidden/>
    <w:rsid w:val="00F870BF"/>
    <w:rPr>
      <w:vertAlign w:val="superscript"/>
    </w:rPr>
  </w:style>
  <w:style w:type="character" w:styleId="CommentReference">
    <w:name w:val="annotation reference"/>
    <w:uiPriority w:val="99"/>
    <w:semiHidden/>
    <w:rsid w:val="00A252C3"/>
    <w:rPr>
      <w:sz w:val="16"/>
      <w:szCs w:val="16"/>
    </w:rPr>
  </w:style>
  <w:style w:type="paragraph" w:styleId="CommentText">
    <w:name w:val="annotation text"/>
    <w:basedOn w:val="Normal"/>
    <w:link w:val="CommentTextChar"/>
    <w:uiPriority w:val="99"/>
    <w:semiHidden/>
    <w:rsid w:val="00A252C3"/>
    <w:rPr>
      <w:sz w:val="20"/>
      <w:szCs w:val="20"/>
    </w:rPr>
  </w:style>
  <w:style w:type="character" w:customStyle="1" w:styleId="HeaderChar1">
    <w:name w:val="Header Char1"/>
    <w:aliases w:val="Header Char Char,Header Char1 Char Char,Header Char Char Char Char,Header Char3 Char Char Char Char,Header Char1 Char Char Char Char1 Char Char,Header Char Char Char Char Char Char1 Char Char,Header Char2 Char1 Char Char Char Char"/>
    <w:link w:val="Header"/>
    <w:rsid w:val="00166023"/>
    <w:rPr>
      <w:sz w:val="24"/>
      <w:szCs w:val="24"/>
      <w:lang w:val="bg-BG" w:eastAsia="bg-BG" w:bidi="ar-SA"/>
    </w:rPr>
  </w:style>
  <w:style w:type="paragraph" w:customStyle="1" w:styleId="Char1">
    <w:name w:val="Char1"/>
    <w:basedOn w:val="Normal"/>
    <w:semiHidden/>
    <w:rsid w:val="008138E4"/>
    <w:pPr>
      <w:tabs>
        <w:tab w:val="left" w:pos="709"/>
      </w:tabs>
    </w:pPr>
    <w:rPr>
      <w:rFonts w:ascii="Futura Bk" w:hAnsi="Futura Bk"/>
      <w:lang w:val="pl-PL" w:eastAsia="pl-PL"/>
    </w:rPr>
  </w:style>
  <w:style w:type="paragraph" w:customStyle="1" w:styleId="default">
    <w:name w:val="default"/>
    <w:basedOn w:val="Normal"/>
    <w:rsid w:val="003C14B1"/>
    <w:pPr>
      <w:spacing w:before="100" w:beforeAutospacing="1" w:after="100" w:afterAutospacing="1"/>
    </w:pPr>
    <w:rPr>
      <w:lang w:eastAsia="bg-BG"/>
    </w:rPr>
  </w:style>
  <w:style w:type="character" w:styleId="Strong">
    <w:name w:val="Strong"/>
    <w:uiPriority w:val="99"/>
    <w:qFormat/>
    <w:rsid w:val="003E37A0"/>
    <w:rPr>
      <w:b/>
      <w:bCs/>
    </w:rPr>
  </w:style>
  <w:style w:type="character" w:customStyle="1" w:styleId="BalloonTextChar">
    <w:name w:val="Balloon Text Char"/>
    <w:link w:val="BalloonText"/>
    <w:semiHidden/>
    <w:locked/>
    <w:rsid w:val="00DD1EFE"/>
    <w:rPr>
      <w:rFonts w:ascii="Tahoma" w:hAnsi="Tahoma" w:cs="Tahoma"/>
      <w:sz w:val="16"/>
      <w:szCs w:val="16"/>
      <w:lang w:val="en-GB" w:eastAsia="en-US" w:bidi="ar-SA"/>
    </w:rPr>
  </w:style>
  <w:style w:type="paragraph" w:customStyle="1" w:styleId="Default0">
    <w:name w:val="Default"/>
    <w:rsid w:val="00DD1EFE"/>
    <w:pPr>
      <w:autoSpaceDE w:val="0"/>
      <w:autoSpaceDN w:val="0"/>
      <w:adjustRightInd w:val="0"/>
    </w:pPr>
    <w:rPr>
      <w:rFonts w:ascii="Calibri" w:hAnsi="Calibri" w:cs="Calibri"/>
      <w:color w:val="000000"/>
      <w:sz w:val="24"/>
      <w:szCs w:val="24"/>
      <w:lang w:val="bg-BG"/>
    </w:rPr>
  </w:style>
  <w:style w:type="character" w:customStyle="1" w:styleId="FootnoteTextChar">
    <w:name w:val="Footnote Text Char"/>
    <w:aliases w:val="Fußnotentext arial Char,Footnote1 Char,Footnote2 Char,Footnote3 Char,stile 1 Char,Footnote4 Char,Footnote5 Char,Footnote6 Char,Footnote7 Char,Footnote8 Char,Footnote9 Char,Footnote10 Char,Footnote11 Char,Footnote21 Char"/>
    <w:link w:val="FootnoteText"/>
    <w:rsid w:val="009A3FA1"/>
    <w:rPr>
      <w:lang w:val="en-US" w:eastAsia="en-US" w:bidi="ar-SA"/>
    </w:rPr>
  </w:style>
  <w:style w:type="paragraph" w:customStyle="1" w:styleId="CharCharCharChar1">
    <w:name w:val="Char Char Char Char1"/>
    <w:basedOn w:val="Normal"/>
    <w:semiHidden/>
    <w:rsid w:val="00B20BB9"/>
    <w:pPr>
      <w:tabs>
        <w:tab w:val="left" w:pos="709"/>
      </w:tabs>
    </w:pPr>
    <w:rPr>
      <w:rFonts w:ascii="Futura Bk" w:hAnsi="Futura Bk"/>
      <w:lang w:val="pl-PL" w:eastAsia="pl-PL"/>
    </w:rPr>
  </w:style>
  <w:style w:type="character" w:customStyle="1" w:styleId="BodyText2Char">
    <w:name w:val="Body Text 2 Char"/>
    <w:link w:val="BodyText2"/>
    <w:locked/>
    <w:rsid w:val="002D5811"/>
    <w:rPr>
      <w:sz w:val="24"/>
      <w:szCs w:val="24"/>
      <w:lang w:val="en-GB" w:eastAsia="en-US" w:bidi="ar-SA"/>
    </w:rPr>
  </w:style>
  <w:style w:type="character" w:styleId="Hyperlink">
    <w:name w:val="Hyperlink"/>
    <w:uiPriority w:val="99"/>
    <w:unhideWhenUsed/>
    <w:rsid w:val="00231385"/>
    <w:rPr>
      <w:strike w:val="0"/>
      <w:dstrike w:val="0"/>
      <w:color w:val="004A8F"/>
      <w:u w:val="none"/>
      <w:effect w:val="none"/>
    </w:rPr>
  </w:style>
  <w:style w:type="paragraph" w:styleId="NormalWeb">
    <w:name w:val="Normal (Web)"/>
    <w:basedOn w:val="Normal"/>
    <w:uiPriority w:val="99"/>
    <w:unhideWhenUsed/>
    <w:rsid w:val="00231385"/>
    <w:pPr>
      <w:spacing w:before="100" w:beforeAutospacing="1" w:after="100" w:afterAutospacing="1" w:line="312" w:lineRule="atLeast"/>
      <w:jc w:val="both"/>
    </w:pPr>
    <w:rPr>
      <w:lang w:val="en-US"/>
    </w:rPr>
  </w:style>
  <w:style w:type="character" w:customStyle="1" w:styleId="ala13">
    <w:name w:val="al_a13"/>
    <w:uiPriority w:val="99"/>
    <w:rsid w:val="00B7424D"/>
  </w:style>
  <w:style w:type="paragraph" w:styleId="ListParagraph">
    <w:name w:val="List Paragraph"/>
    <w:aliases w:val="Recommendatio,Párrafo de lista,Recommendation,OBC Bullet,Dot pt,F5 List Paragraph,No Spacing1,List Paragraph Char Char Char,Indicator Text,Numbered Para 1,Bullet 1,Bullet Points,List Paragraph2,L,3,References,Colorful List - Accent 11"/>
    <w:basedOn w:val="Normal"/>
    <w:link w:val="ListParagraphChar"/>
    <w:uiPriority w:val="34"/>
    <w:qFormat/>
    <w:rsid w:val="00C818E7"/>
    <w:pPr>
      <w:spacing w:after="120" w:line="360" w:lineRule="auto"/>
      <w:ind w:left="720" w:firstLine="720"/>
      <w:contextualSpacing/>
      <w:jc w:val="both"/>
    </w:pPr>
    <w:rPr>
      <w:rFonts w:ascii="Arial" w:hAnsi="Arial"/>
      <w:szCs w:val="20"/>
    </w:rPr>
  </w:style>
  <w:style w:type="paragraph" w:customStyle="1" w:styleId="CharChar3">
    <w:name w:val="Char Char3"/>
    <w:basedOn w:val="Normal"/>
    <w:semiHidden/>
    <w:rsid w:val="009269F4"/>
    <w:pPr>
      <w:tabs>
        <w:tab w:val="left" w:pos="709"/>
      </w:tabs>
    </w:pPr>
    <w:rPr>
      <w:rFonts w:ascii="Futura Bk" w:hAnsi="Futura Bk"/>
      <w:lang w:val="pl-PL" w:eastAsia="pl-PL"/>
    </w:rPr>
  </w:style>
  <w:style w:type="character" w:customStyle="1" w:styleId="BodyTextIndentChar">
    <w:name w:val="Body Text Indent Char"/>
    <w:link w:val="BodyTextIndent"/>
    <w:uiPriority w:val="99"/>
    <w:locked/>
    <w:rsid w:val="00DA31ED"/>
    <w:rPr>
      <w:sz w:val="24"/>
      <w:szCs w:val="24"/>
      <w:lang w:val="bg-BG"/>
    </w:rPr>
  </w:style>
  <w:style w:type="paragraph" w:customStyle="1" w:styleId="NormalFirstline">
    <w:name w:val="Normal + First line"/>
    <w:aliases w:val="1.25 cm,After 6 pt"/>
    <w:basedOn w:val="Normal"/>
    <w:rsid w:val="00BD3B54"/>
    <w:rPr>
      <w:sz w:val="20"/>
      <w:szCs w:val="20"/>
    </w:rPr>
  </w:style>
  <w:style w:type="paragraph" w:styleId="CommentSubject">
    <w:name w:val="annotation subject"/>
    <w:basedOn w:val="CommentText"/>
    <w:next w:val="CommentText"/>
    <w:link w:val="CommentSubjectChar"/>
    <w:semiHidden/>
    <w:rsid w:val="00381745"/>
    <w:rPr>
      <w:b/>
      <w:bCs/>
    </w:rPr>
  </w:style>
  <w:style w:type="character" w:customStyle="1" w:styleId="CommentTextChar">
    <w:name w:val="Comment Text Char"/>
    <w:link w:val="CommentText"/>
    <w:uiPriority w:val="99"/>
    <w:semiHidden/>
    <w:rsid w:val="009F38CE"/>
    <w:rPr>
      <w:lang w:eastAsia="en-US"/>
    </w:rPr>
  </w:style>
  <w:style w:type="character" w:customStyle="1" w:styleId="CommentSubjectChar">
    <w:name w:val="Comment Subject Char"/>
    <w:link w:val="CommentSubject"/>
    <w:semiHidden/>
    <w:rsid w:val="009F38CE"/>
    <w:rPr>
      <w:b/>
      <w:bCs/>
      <w:lang w:eastAsia="en-US"/>
    </w:rPr>
  </w:style>
  <w:style w:type="character" w:customStyle="1" w:styleId="TitleChar">
    <w:name w:val="Title Char"/>
    <w:link w:val="Title"/>
    <w:rsid w:val="00C1518C"/>
    <w:rPr>
      <w:b/>
      <w:sz w:val="24"/>
      <w:lang w:eastAsia="en-US"/>
    </w:rPr>
  </w:style>
  <w:style w:type="character" w:customStyle="1" w:styleId="BodyTextChar">
    <w:name w:val="Body Text Char"/>
    <w:link w:val="BodyText"/>
    <w:rsid w:val="00A10AC7"/>
    <w:rPr>
      <w:sz w:val="24"/>
      <w:szCs w:val="24"/>
      <w:lang w:val="bg-BG"/>
    </w:rPr>
  </w:style>
  <w:style w:type="paragraph" w:styleId="Revision">
    <w:name w:val="Revision"/>
    <w:hidden/>
    <w:uiPriority w:val="99"/>
    <w:semiHidden/>
    <w:rsid w:val="00F32913"/>
    <w:rPr>
      <w:sz w:val="24"/>
      <w:szCs w:val="24"/>
      <w:lang w:val="bg-BG"/>
    </w:rPr>
  </w:style>
  <w:style w:type="paragraph" w:customStyle="1" w:styleId="m">
    <w:name w:val="m"/>
    <w:basedOn w:val="Normal"/>
    <w:rsid w:val="00675E99"/>
    <w:pPr>
      <w:spacing w:before="100" w:beforeAutospacing="1" w:after="100" w:afterAutospacing="1"/>
    </w:pPr>
    <w:rPr>
      <w:lang w:eastAsia="bg-BG"/>
    </w:rPr>
  </w:style>
  <w:style w:type="character" w:customStyle="1" w:styleId="Heading1Char">
    <w:name w:val="Heading 1 Char"/>
    <w:basedOn w:val="DefaultParagraphFont"/>
    <w:link w:val="Heading1"/>
    <w:rsid w:val="002E2C27"/>
    <w:rPr>
      <w:b/>
      <w:bCs/>
      <w:sz w:val="28"/>
      <w:szCs w:val="24"/>
      <w:lang w:val="bg-BG"/>
    </w:rPr>
  </w:style>
  <w:style w:type="character" w:customStyle="1" w:styleId="ListParagraphChar">
    <w:name w:val="List Paragraph Char"/>
    <w:aliases w:val="Recommendatio Char,Párrafo de lista Char,Recommendation Char,OBC Bullet Char,Dot pt Char,F5 List Paragraph Char,No Spacing1 Char,List Paragraph Char Char Char Char,Indicator Text Char,Numbered Para 1 Char,Bullet 1 Char,L Char,3 Char"/>
    <w:link w:val="ListParagraph"/>
    <w:uiPriority w:val="34"/>
    <w:qFormat/>
    <w:rsid w:val="009C6F72"/>
    <w:rPr>
      <w:rFonts w:ascii="Arial" w:hAnsi="Arial"/>
      <w:sz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0982">
      <w:bodyDiv w:val="1"/>
      <w:marLeft w:val="0"/>
      <w:marRight w:val="0"/>
      <w:marTop w:val="0"/>
      <w:marBottom w:val="0"/>
      <w:divBdr>
        <w:top w:val="none" w:sz="0" w:space="0" w:color="auto"/>
        <w:left w:val="none" w:sz="0" w:space="0" w:color="auto"/>
        <w:bottom w:val="none" w:sz="0" w:space="0" w:color="auto"/>
        <w:right w:val="none" w:sz="0" w:space="0" w:color="auto"/>
      </w:divBdr>
    </w:div>
    <w:div w:id="75978455">
      <w:bodyDiv w:val="1"/>
      <w:marLeft w:val="0"/>
      <w:marRight w:val="0"/>
      <w:marTop w:val="0"/>
      <w:marBottom w:val="0"/>
      <w:divBdr>
        <w:top w:val="none" w:sz="0" w:space="0" w:color="auto"/>
        <w:left w:val="none" w:sz="0" w:space="0" w:color="auto"/>
        <w:bottom w:val="none" w:sz="0" w:space="0" w:color="auto"/>
        <w:right w:val="none" w:sz="0" w:space="0" w:color="auto"/>
      </w:divBdr>
    </w:div>
    <w:div w:id="129785754">
      <w:bodyDiv w:val="1"/>
      <w:marLeft w:val="0"/>
      <w:marRight w:val="0"/>
      <w:marTop w:val="0"/>
      <w:marBottom w:val="0"/>
      <w:divBdr>
        <w:top w:val="none" w:sz="0" w:space="0" w:color="auto"/>
        <w:left w:val="none" w:sz="0" w:space="0" w:color="auto"/>
        <w:bottom w:val="none" w:sz="0" w:space="0" w:color="auto"/>
        <w:right w:val="none" w:sz="0" w:space="0" w:color="auto"/>
      </w:divBdr>
    </w:div>
    <w:div w:id="180748500">
      <w:bodyDiv w:val="1"/>
      <w:marLeft w:val="0"/>
      <w:marRight w:val="0"/>
      <w:marTop w:val="0"/>
      <w:marBottom w:val="0"/>
      <w:divBdr>
        <w:top w:val="none" w:sz="0" w:space="0" w:color="auto"/>
        <w:left w:val="none" w:sz="0" w:space="0" w:color="auto"/>
        <w:bottom w:val="none" w:sz="0" w:space="0" w:color="auto"/>
        <w:right w:val="none" w:sz="0" w:space="0" w:color="auto"/>
      </w:divBdr>
    </w:div>
    <w:div w:id="482699226">
      <w:bodyDiv w:val="1"/>
      <w:marLeft w:val="0"/>
      <w:marRight w:val="0"/>
      <w:marTop w:val="0"/>
      <w:marBottom w:val="0"/>
      <w:divBdr>
        <w:top w:val="none" w:sz="0" w:space="0" w:color="auto"/>
        <w:left w:val="none" w:sz="0" w:space="0" w:color="auto"/>
        <w:bottom w:val="none" w:sz="0" w:space="0" w:color="auto"/>
        <w:right w:val="none" w:sz="0" w:space="0" w:color="auto"/>
      </w:divBdr>
    </w:div>
    <w:div w:id="488985167">
      <w:bodyDiv w:val="1"/>
      <w:marLeft w:val="0"/>
      <w:marRight w:val="0"/>
      <w:marTop w:val="0"/>
      <w:marBottom w:val="0"/>
      <w:divBdr>
        <w:top w:val="none" w:sz="0" w:space="0" w:color="auto"/>
        <w:left w:val="none" w:sz="0" w:space="0" w:color="auto"/>
        <w:bottom w:val="none" w:sz="0" w:space="0" w:color="auto"/>
        <w:right w:val="none" w:sz="0" w:space="0" w:color="auto"/>
      </w:divBdr>
    </w:div>
    <w:div w:id="567035072">
      <w:bodyDiv w:val="1"/>
      <w:marLeft w:val="0"/>
      <w:marRight w:val="0"/>
      <w:marTop w:val="0"/>
      <w:marBottom w:val="0"/>
      <w:divBdr>
        <w:top w:val="none" w:sz="0" w:space="0" w:color="auto"/>
        <w:left w:val="none" w:sz="0" w:space="0" w:color="auto"/>
        <w:bottom w:val="none" w:sz="0" w:space="0" w:color="auto"/>
        <w:right w:val="none" w:sz="0" w:space="0" w:color="auto"/>
      </w:divBdr>
      <w:divsChild>
        <w:div w:id="1294481459">
          <w:marLeft w:val="0"/>
          <w:marRight w:val="0"/>
          <w:marTop w:val="0"/>
          <w:marBottom w:val="0"/>
          <w:divBdr>
            <w:top w:val="none" w:sz="0" w:space="0" w:color="auto"/>
            <w:left w:val="none" w:sz="0" w:space="0" w:color="auto"/>
            <w:bottom w:val="none" w:sz="0" w:space="0" w:color="auto"/>
            <w:right w:val="none" w:sz="0" w:space="0" w:color="auto"/>
          </w:divBdr>
        </w:div>
      </w:divsChild>
    </w:div>
    <w:div w:id="769817748">
      <w:bodyDiv w:val="1"/>
      <w:marLeft w:val="0"/>
      <w:marRight w:val="0"/>
      <w:marTop w:val="0"/>
      <w:marBottom w:val="0"/>
      <w:divBdr>
        <w:top w:val="none" w:sz="0" w:space="0" w:color="auto"/>
        <w:left w:val="none" w:sz="0" w:space="0" w:color="auto"/>
        <w:bottom w:val="none" w:sz="0" w:space="0" w:color="auto"/>
        <w:right w:val="none" w:sz="0" w:space="0" w:color="auto"/>
      </w:divBdr>
    </w:div>
    <w:div w:id="893932612">
      <w:bodyDiv w:val="1"/>
      <w:marLeft w:val="0"/>
      <w:marRight w:val="0"/>
      <w:marTop w:val="0"/>
      <w:marBottom w:val="0"/>
      <w:divBdr>
        <w:top w:val="none" w:sz="0" w:space="0" w:color="auto"/>
        <w:left w:val="none" w:sz="0" w:space="0" w:color="auto"/>
        <w:bottom w:val="none" w:sz="0" w:space="0" w:color="auto"/>
        <w:right w:val="none" w:sz="0" w:space="0" w:color="auto"/>
      </w:divBdr>
    </w:div>
    <w:div w:id="894782214">
      <w:bodyDiv w:val="1"/>
      <w:marLeft w:val="0"/>
      <w:marRight w:val="0"/>
      <w:marTop w:val="0"/>
      <w:marBottom w:val="0"/>
      <w:divBdr>
        <w:top w:val="none" w:sz="0" w:space="0" w:color="auto"/>
        <w:left w:val="none" w:sz="0" w:space="0" w:color="auto"/>
        <w:bottom w:val="none" w:sz="0" w:space="0" w:color="auto"/>
        <w:right w:val="none" w:sz="0" w:space="0" w:color="auto"/>
      </w:divBdr>
    </w:div>
    <w:div w:id="963465745">
      <w:bodyDiv w:val="1"/>
      <w:marLeft w:val="0"/>
      <w:marRight w:val="0"/>
      <w:marTop w:val="0"/>
      <w:marBottom w:val="0"/>
      <w:divBdr>
        <w:top w:val="none" w:sz="0" w:space="0" w:color="auto"/>
        <w:left w:val="none" w:sz="0" w:space="0" w:color="auto"/>
        <w:bottom w:val="none" w:sz="0" w:space="0" w:color="auto"/>
        <w:right w:val="none" w:sz="0" w:space="0" w:color="auto"/>
      </w:divBdr>
    </w:div>
    <w:div w:id="1105271783">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73255090">
      <w:bodyDiv w:val="1"/>
      <w:marLeft w:val="0"/>
      <w:marRight w:val="0"/>
      <w:marTop w:val="0"/>
      <w:marBottom w:val="0"/>
      <w:divBdr>
        <w:top w:val="none" w:sz="0" w:space="0" w:color="auto"/>
        <w:left w:val="none" w:sz="0" w:space="0" w:color="auto"/>
        <w:bottom w:val="none" w:sz="0" w:space="0" w:color="auto"/>
        <w:right w:val="none" w:sz="0" w:space="0" w:color="auto"/>
      </w:divBdr>
    </w:div>
    <w:div w:id="1188835793">
      <w:bodyDiv w:val="1"/>
      <w:marLeft w:val="0"/>
      <w:marRight w:val="0"/>
      <w:marTop w:val="0"/>
      <w:marBottom w:val="0"/>
      <w:divBdr>
        <w:top w:val="none" w:sz="0" w:space="0" w:color="auto"/>
        <w:left w:val="none" w:sz="0" w:space="0" w:color="auto"/>
        <w:bottom w:val="none" w:sz="0" w:space="0" w:color="auto"/>
        <w:right w:val="none" w:sz="0" w:space="0" w:color="auto"/>
      </w:divBdr>
    </w:div>
    <w:div w:id="1228757899">
      <w:bodyDiv w:val="1"/>
      <w:marLeft w:val="0"/>
      <w:marRight w:val="0"/>
      <w:marTop w:val="0"/>
      <w:marBottom w:val="0"/>
      <w:divBdr>
        <w:top w:val="none" w:sz="0" w:space="0" w:color="auto"/>
        <w:left w:val="none" w:sz="0" w:space="0" w:color="auto"/>
        <w:bottom w:val="none" w:sz="0" w:space="0" w:color="auto"/>
        <w:right w:val="none" w:sz="0" w:space="0" w:color="auto"/>
      </w:divBdr>
      <w:divsChild>
        <w:div w:id="1764762949">
          <w:marLeft w:val="0"/>
          <w:marRight w:val="0"/>
          <w:marTop w:val="0"/>
          <w:marBottom w:val="0"/>
          <w:divBdr>
            <w:top w:val="none" w:sz="0" w:space="0" w:color="auto"/>
            <w:left w:val="none" w:sz="0" w:space="0" w:color="auto"/>
            <w:bottom w:val="none" w:sz="0" w:space="0" w:color="auto"/>
            <w:right w:val="none" w:sz="0" w:space="0" w:color="auto"/>
          </w:divBdr>
          <w:divsChild>
            <w:div w:id="1689597285">
              <w:marLeft w:val="0"/>
              <w:marRight w:val="0"/>
              <w:marTop w:val="0"/>
              <w:marBottom w:val="0"/>
              <w:divBdr>
                <w:top w:val="none" w:sz="0" w:space="0" w:color="auto"/>
                <w:left w:val="none" w:sz="0" w:space="0" w:color="auto"/>
                <w:bottom w:val="none" w:sz="0" w:space="0" w:color="auto"/>
                <w:right w:val="none" w:sz="0" w:space="0" w:color="auto"/>
              </w:divBdr>
              <w:divsChild>
                <w:div w:id="754782278">
                  <w:marLeft w:val="0"/>
                  <w:marRight w:val="0"/>
                  <w:marTop w:val="0"/>
                  <w:marBottom w:val="0"/>
                  <w:divBdr>
                    <w:top w:val="none" w:sz="0" w:space="0" w:color="auto"/>
                    <w:left w:val="none" w:sz="0" w:space="0" w:color="auto"/>
                    <w:bottom w:val="none" w:sz="0" w:space="0" w:color="auto"/>
                    <w:right w:val="none" w:sz="0" w:space="0" w:color="auto"/>
                  </w:divBdr>
                  <w:divsChild>
                    <w:div w:id="20970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615969">
      <w:bodyDiv w:val="1"/>
      <w:marLeft w:val="0"/>
      <w:marRight w:val="0"/>
      <w:marTop w:val="0"/>
      <w:marBottom w:val="0"/>
      <w:divBdr>
        <w:top w:val="none" w:sz="0" w:space="0" w:color="auto"/>
        <w:left w:val="none" w:sz="0" w:space="0" w:color="auto"/>
        <w:bottom w:val="none" w:sz="0" w:space="0" w:color="auto"/>
        <w:right w:val="none" w:sz="0" w:space="0" w:color="auto"/>
      </w:divBdr>
    </w:div>
    <w:div w:id="1255555913">
      <w:bodyDiv w:val="1"/>
      <w:marLeft w:val="0"/>
      <w:marRight w:val="0"/>
      <w:marTop w:val="0"/>
      <w:marBottom w:val="0"/>
      <w:divBdr>
        <w:top w:val="none" w:sz="0" w:space="0" w:color="auto"/>
        <w:left w:val="none" w:sz="0" w:space="0" w:color="auto"/>
        <w:bottom w:val="none" w:sz="0" w:space="0" w:color="auto"/>
        <w:right w:val="none" w:sz="0" w:space="0" w:color="auto"/>
      </w:divBdr>
      <w:divsChild>
        <w:div w:id="1132287915">
          <w:marLeft w:val="240"/>
          <w:marRight w:val="240"/>
          <w:marTop w:val="0"/>
          <w:marBottom w:val="0"/>
          <w:divBdr>
            <w:top w:val="none" w:sz="0" w:space="0" w:color="auto"/>
            <w:left w:val="none" w:sz="0" w:space="0" w:color="auto"/>
            <w:bottom w:val="none" w:sz="0" w:space="0" w:color="auto"/>
            <w:right w:val="none" w:sz="0" w:space="0" w:color="auto"/>
          </w:divBdr>
          <w:divsChild>
            <w:div w:id="2001541574">
              <w:marLeft w:val="0"/>
              <w:marRight w:val="0"/>
              <w:marTop w:val="0"/>
              <w:marBottom w:val="120"/>
              <w:divBdr>
                <w:top w:val="none" w:sz="0" w:space="0" w:color="auto"/>
                <w:left w:val="none" w:sz="0" w:space="0" w:color="auto"/>
                <w:bottom w:val="single" w:sz="6" w:space="0" w:color="A7A9AC"/>
                <w:right w:val="none" w:sz="0" w:space="0" w:color="auto"/>
              </w:divBdr>
            </w:div>
          </w:divsChild>
        </w:div>
      </w:divsChild>
    </w:div>
    <w:div w:id="1334607600">
      <w:bodyDiv w:val="1"/>
      <w:marLeft w:val="0"/>
      <w:marRight w:val="0"/>
      <w:marTop w:val="0"/>
      <w:marBottom w:val="0"/>
      <w:divBdr>
        <w:top w:val="none" w:sz="0" w:space="0" w:color="auto"/>
        <w:left w:val="none" w:sz="0" w:space="0" w:color="auto"/>
        <w:bottom w:val="none" w:sz="0" w:space="0" w:color="auto"/>
        <w:right w:val="none" w:sz="0" w:space="0" w:color="auto"/>
      </w:divBdr>
    </w:div>
    <w:div w:id="1465393858">
      <w:bodyDiv w:val="1"/>
      <w:marLeft w:val="0"/>
      <w:marRight w:val="0"/>
      <w:marTop w:val="0"/>
      <w:marBottom w:val="0"/>
      <w:divBdr>
        <w:top w:val="none" w:sz="0" w:space="0" w:color="auto"/>
        <w:left w:val="none" w:sz="0" w:space="0" w:color="auto"/>
        <w:bottom w:val="none" w:sz="0" w:space="0" w:color="auto"/>
        <w:right w:val="none" w:sz="0" w:space="0" w:color="auto"/>
      </w:divBdr>
    </w:div>
    <w:div w:id="1640960128">
      <w:bodyDiv w:val="1"/>
      <w:marLeft w:val="0"/>
      <w:marRight w:val="0"/>
      <w:marTop w:val="0"/>
      <w:marBottom w:val="0"/>
      <w:divBdr>
        <w:top w:val="none" w:sz="0" w:space="0" w:color="auto"/>
        <w:left w:val="none" w:sz="0" w:space="0" w:color="auto"/>
        <w:bottom w:val="none" w:sz="0" w:space="0" w:color="auto"/>
        <w:right w:val="none" w:sz="0" w:space="0" w:color="auto"/>
      </w:divBdr>
    </w:div>
    <w:div w:id="1752582637">
      <w:bodyDiv w:val="1"/>
      <w:marLeft w:val="0"/>
      <w:marRight w:val="0"/>
      <w:marTop w:val="0"/>
      <w:marBottom w:val="0"/>
      <w:divBdr>
        <w:top w:val="none" w:sz="0" w:space="0" w:color="auto"/>
        <w:left w:val="none" w:sz="0" w:space="0" w:color="auto"/>
        <w:bottom w:val="none" w:sz="0" w:space="0" w:color="auto"/>
        <w:right w:val="none" w:sz="0" w:space="0" w:color="auto"/>
      </w:divBdr>
    </w:div>
    <w:div w:id="1821458686">
      <w:bodyDiv w:val="1"/>
      <w:marLeft w:val="0"/>
      <w:marRight w:val="0"/>
      <w:marTop w:val="0"/>
      <w:marBottom w:val="0"/>
      <w:divBdr>
        <w:top w:val="none" w:sz="0" w:space="0" w:color="auto"/>
        <w:left w:val="none" w:sz="0" w:space="0" w:color="auto"/>
        <w:bottom w:val="none" w:sz="0" w:space="0" w:color="auto"/>
        <w:right w:val="none" w:sz="0" w:space="0" w:color="auto"/>
      </w:divBdr>
    </w:div>
    <w:div w:id="1861121863">
      <w:bodyDiv w:val="1"/>
      <w:marLeft w:val="0"/>
      <w:marRight w:val="0"/>
      <w:marTop w:val="0"/>
      <w:marBottom w:val="0"/>
      <w:divBdr>
        <w:top w:val="none" w:sz="0" w:space="0" w:color="auto"/>
        <w:left w:val="none" w:sz="0" w:space="0" w:color="auto"/>
        <w:bottom w:val="none" w:sz="0" w:space="0" w:color="auto"/>
        <w:right w:val="none" w:sz="0" w:space="0" w:color="auto"/>
      </w:divBdr>
    </w:div>
    <w:div w:id="1929189253">
      <w:bodyDiv w:val="1"/>
      <w:marLeft w:val="0"/>
      <w:marRight w:val="0"/>
      <w:marTop w:val="0"/>
      <w:marBottom w:val="0"/>
      <w:divBdr>
        <w:top w:val="none" w:sz="0" w:space="0" w:color="auto"/>
        <w:left w:val="none" w:sz="0" w:space="0" w:color="auto"/>
        <w:bottom w:val="none" w:sz="0" w:space="0" w:color="auto"/>
        <w:right w:val="none" w:sz="0" w:space="0" w:color="auto"/>
      </w:divBdr>
    </w:div>
    <w:div w:id="2072146161">
      <w:bodyDiv w:val="1"/>
      <w:marLeft w:val="0"/>
      <w:marRight w:val="0"/>
      <w:marTop w:val="0"/>
      <w:marBottom w:val="0"/>
      <w:divBdr>
        <w:top w:val="none" w:sz="0" w:space="0" w:color="auto"/>
        <w:left w:val="none" w:sz="0" w:space="0" w:color="auto"/>
        <w:bottom w:val="none" w:sz="0" w:space="0" w:color="auto"/>
        <w:right w:val="none" w:sz="0" w:space="0" w:color="auto"/>
      </w:divBdr>
    </w:div>
    <w:div w:id="2078552652">
      <w:bodyDiv w:val="1"/>
      <w:marLeft w:val="0"/>
      <w:marRight w:val="0"/>
      <w:marTop w:val="0"/>
      <w:marBottom w:val="0"/>
      <w:divBdr>
        <w:top w:val="none" w:sz="0" w:space="0" w:color="auto"/>
        <w:left w:val="none" w:sz="0" w:space="0" w:color="auto"/>
        <w:bottom w:val="none" w:sz="0" w:space="0" w:color="auto"/>
        <w:right w:val="none" w:sz="0" w:space="0" w:color="auto"/>
      </w:divBdr>
      <w:divsChild>
        <w:div w:id="1512406735">
          <w:marLeft w:val="0"/>
          <w:marRight w:val="0"/>
          <w:marTop w:val="0"/>
          <w:marBottom w:val="0"/>
          <w:divBdr>
            <w:top w:val="none" w:sz="0" w:space="0" w:color="auto"/>
            <w:left w:val="none" w:sz="0" w:space="0" w:color="auto"/>
            <w:bottom w:val="none" w:sz="0" w:space="0" w:color="auto"/>
            <w:right w:val="none" w:sz="0" w:space="0" w:color="auto"/>
          </w:divBdr>
          <w:divsChild>
            <w:div w:id="1991667719">
              <w:marLeft w:val="0"/>
              <w:marRight w:val="0"/>
              <w:marTop w:val="0"/>
              <w:marBottom w:val="0"/>
              <w:divBdr>
                <w:top w:val="none" w:sz="0" w:space="0" w:color="auto"/>
                <w:left w:val="none" w:sz="0" w:space="0" w:color="auto"/>
                <w:bottom w:val="none" w:sz="0" w:space="0" w:color="auto"/>
                <w:right w:val="none" w:sz="0" w:space="0" w:color="auto"/>
              </w:divBdr>
              <w:divsChild>
                <w:div w:id="1413895954">
                  <w:marLeft w:val="0"/>
                  <w:marRight w:val="0"/>
                  <w:marTop w:val="0"/>
                  <w:marBottom w:val="0"/>
                  <w:divBdr>
                    <w:top w:val="none" w:sz="0" w:space="0" w:color="auto"/>
                    <w:left w:val="none" w:sz="0" w:space="0" w:color="auto"/>
                    <w:bottom w:val="none" w:sz="0" w:space="0" w:color="auto"/>
                    <w:right w:val="none" w:sz="0" w:space="0" w:color="auto"/>
                  </w:divBdr>
                  <w:divsChild>
                    <w:div w:id="8728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mfshare\MF\&#1044;&#1066;&#1056;&#1046;&#1040;&#1042;&#1053;&#1054;%20&#1057;&#1066;&#1050;&#1056;&#1054;&#1042;&#1048;&#1065;&#1045;\&#1050;&#1041;&#1055;&#1040;\public\&#1048;&#1085;&#1092;&#1086;&#1088;&#1084;&#1072;&#1094;&#1080;&#1086;&#1085;&#1077;&#1085;%20&#1073;&#1102;&#1083;&#1077;&#1090;&#1080;&#1085;\2021\December\&#1050;&#1060;&#1055;-12-202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oleObject" Target="file:///\\mfshare\MF\&#1044;&#1066;&#1056;&#1046;&#1040;&#1042;&#1053;&#1054;%20&#1057;&#1066;&#1050;&#1056;&#1054;&#1042;&#1048;&#1065;&#1045;\&#1050;&#1041;&#1055;&#1040;\public\&#1048;&#1085;&#1092;&#1086;&#1088;&#1084;&#1072;&#1094;&#1080;&#1086;&#1085;&#1077;&#1085;%20&#1073;&#1102;&#1083;&#1077;&#1090;&#1080;&#1085;\2021\December\CFP_STATE_BUDGET_20-21_trim.xls" TargetMode="External"/><Relationship Id="rId2" Type="http://schemas.openxmlformats.org/officeDocument/2006/relationships/image" Target="../media/image2.png"/><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Book1"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pPr>
        <a:ln>
          <a:solidFill>
            <a:schemeClr val="tx1">
              <a:lumMod val="50000"/>
              <a:lumOff val="50000"/>
            </a:schemeClr>
          </a:solidFill>
        </a:ln>
      </c:spPr>
    </c:sideWall>
    <c:backWall>
      <c:thickness val="0"/>
      <c:spPr>
        <a:ln>
          <a:solidFill>
            <a:schemeClr val="tx1">
              <a:lumMod val="50000"/>
              <a:lumOff val="50000"/>
            </a:schemeClr>
          </a:solidFill>
        </a:ln>
      </c:spPr>
    </c:backWall>
    <c:plotArea>
      <c:layout>
        <c:manualLayout>
          <c:layoutTarget val="inner"/>
          <c:xMode val="edge"/>
          <c:yMode val="edge"/>
          <c:x val="0.28764189836071979"/>
          <c:y val="7.93296537289752E-2"/>
          <c:w val="0.67906531069472398"/>
          <c:h val="0.83309419655876349"/>
        </c:manualLayout>
      </c:layout>
      <c:bar3DChart>
        <c:barDir val="bar"/>
        <c:grouping val="clustered"/>
        <c:varyColors val="0"/>
        <c:ser>
          <c:idx val="0"/>
          <c:order val="0"/>
          <c:tx>
            <c:strRef>
              <c:f>'КФП_ГРАФИКИ ПРИХОДИ И РАЗХОДИ'!$B$22</c:f>
              <c:strCache>
                <c:ptCount val="1"/>
                <c:pt idx="0">
                  <c:v>2020 г.</c:v>
                </c:pt>
              </c:strCache>
            </c:strRef>
          </c:tx>
          <c:spPr>
            <a:solidFill>
              <a:schemeClr val="accent2">
                <a:lumMod val="50000"/>
              </a:schemeClr>
            </a:solidFill>
          </c:spPr>
          <c:invertIfNegative val="0"/>
          <c:dLbls>
            <c:dLbl>
              <c:idx val="5"/>
              <c:layout>
                <c:manualLayout>
                  <c:x val="-6.2655086848635239E-3"/>
                  <c:y val="8.529761754057245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CF1-414C-9EFF-570E43520CC2}"/>
                </c:ext>
              </c:extLst>
            </c:dLbl>
            <c:spPr>
              <a:noFill/>
              <a:ln>
                <a:noFill/>
              </a:ln>
              <a:effectLst/>
            </c:spPr>
            <c:txPr>
              <a:bodyPr/>
              <a:lstStyle/>
              <a:p>
                <a:pPr>
                  <a:defRPr sz="800">
                    <a:latin typeface="Times New Roman" pitchFamily="18" charset="0"/>
                    <a:cs typeface="Times New Roman"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'КФП_ГРАФИКИ ПРИХОДИ И РАЗХОДИ'!$A$23:$A$28</c:f>
              <c:strCache>
                <c:ptCount val="6"/>
                <c:pt idx="0">
                  <c:v>Неданъчни приходи и помощи</c:v>
                </c:pt>
                <c:pt idx="1">
                  <c:v>Приходи от соц. и здр. вноски</c:v>
                </c:pt>
                <c:pt idx="2">
                  <c:v>Косвени данъци</c:v>
                </c:pt>
                <c:pt idx="3">
                  <c:v>Преки данъци</c:v>
                </c:pt>
                <c:pt idx="4">
                  <c:v>Данъчни приходи</c:v>
                </c:pt>
                <c:pt idx="5">
                  <c:v>Общо приходи и помощи</c:v>
                </c:pt>
              </c:strCache>
            </c:strRef>
          </c:cat>
          <c:val>
            <c:numRef>
              <c:f>'КФП_ГРАФИКИ ПРИХОДИ И РАЗХОДИ'!$B$23:$B$28</c:f>
              <c:numCache>
                <c:formatCode>0.0%</c:formatCode>
                <c:ptCount val="6"/>
                <c:pt idx="0">
                  <c:v>7.0607746990404535E-2</c:v>
                </c:pt>
                <c:pt idx="1">
                  <c:v>9.1773659900222501E-2</c:v>
                </c:pt>
                <c:pt idx="2">
                  <c:v>0.13941018385268991</c:v>
                </c:pt>
                <c:pt idx="3">
                  <c:v>6.7673413789072198E-2</c:v>
                </c:pt>
                <c:pt idx="4">
                  <c:v>0.29885725754198467</c:v>
                </c:pt>
                <c:pt idx="5">
                  <c:v>0.36946500453238917</c:v>
                </c:pt>
              </c:numCache>
            </c:numRef>
          </c:val>
          <c:extLst>
            <c:ext xmlns:c16="http://schemas.microsoft.com/office/drawing/2014/chart" uri="{C3380CC4-5D6E-409C-BE32-E72D297353CC}">
              <c16:uniqueId val="{00000001-4CF1-414C-9EFF-570E43520CC2}"/>
            </c:ext>
          </c:extLst>
        </c:ser>
        <c:ser>
          <c:idx val="1"/>
          <c:order val="1"/>
          <c:tx>
            <c:strRef>
              <c:f>'КФП_ГРАФИКИ ПРИХОДИ И РАЗХОДИ'!$C$22</c:f>
              <c:strCache>
                <c:ptCount val="1"/>
                <c:pt idx="0">
                  <c:v>2021 г.</c:v>
                </c:pt>
              </c:strCache>
            </c:strRef>
          </c:tx>
          <c:spPr>
            <a:pattFill prst="pct80">
              <a:fgClr>
                <a:srgbClr val="00B0F0"/>
              </a:fgClr>
              <a:bgClr>
                <a:schemeClr val="bg1"/>
              </a:bgClr>
            </a:pattFill>
          </c:spPr>
          <c:invertIfNegative val="0"/>
          <c:dLbls>
            <c:dLbl>
              <c:idx val="0"/>
              <c:layout>
                <c:manualLayout>
                  <c:x val="2.7777777777777779E-3"/>
                  <c:y val="-1.38888888888888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CF1-414C-9EFF-570E43520CC2}"/>
                </c:ext>
              </c:extLst>
            </c:dLbl>
            <c:dLbl>
              <c:idx val="1"/>
              <c:layout>
                <c:manualLayout>
                  <c:x val="2.7777777777777779E-3"/>
                  <c:y val="-4.62962962962954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CF1-414C-9EFF-570E43520CC2}"/>
                </c:ext>
              </c:extLst>
            </c:dLbl>
            <c:dLbl>
              <c:idx val="2"/>
              <c:layout>
                <c:manualLayout>
                  <c:x val="2.7777777777777779E-3"/>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CF1-414C-9EFF-570E43520CC2}"/>
                </c:ext>
              </c:extLst>
            </c:dLbl>
            <c:dLbl>
              <c:idx val="3"/>
              <c:layout>
                <c:manualLayout>
                  <c:x val="2.1298593879239039E-3"/>
                  <c:y val="-1.31596492560616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CF1-414C-9EFF-570E43520CC2}"/>
                </c:ext>
              </c:extLst>
            </c:dLbl>
            <c:dLbl>
              <c:idx val="4"/>
              <c:layout>
                <c:manualLayout>
                  <c:x val="0"/>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CF1-414C-9EFF-570E43520CC2}"/>
                </c:ext>
              </c:extLst>
            </c:dLbl>
            <c:dLbl>
              <c:idx val="5"/>
              <c:layout>
                <c:manualLayout>
                  <c:x val="-1.6742576755752318E-16"/>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CF1-414C-9EFF-570E43520CC2}"/>
                </c:ext>
              </c:extLst>
            </c:dLbl>
            <c:spPr>
              <a:noFill/>
              <a:ln>
                <a:noFill/>
              </a:ln>
              <a:effectLst/>
            </c:spPr>
            <c:txPr>
              <a:bodyPr/>
              <a:lstStyle/>
              <a:p>
                <a:pPr>
                  <a:defRPr sz="800" baseline="0">
                    <a:latin typeface="Times New Roman"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'КФП_ГРАФИКИ ПРИХОДИ И РАЗХОДИ'!$A$23:$A$28</c:f>
              <c:strCache>
                <c:ptCount val="6"/>
                <c:pt idx="0">
                  <c:v>Неданъчни приходи и помощи</c:v>
                </c:pt>
                <c:pt idx="1">
                  <c:v>Приходи от соц. и здр. вноски</c:v>
                </c:pt>
                <c:pt idx="2">
                  <c:v>Косвени данъци</c:v>
                </c:pt>
                <c:pt idx="3">
                  <c:v>Преки данъци</c:v>
                </c:pt>
                <c:pt idx="4">
                  <c:v>Данъчни приходи</c:v>
                </c:pt>
                <c:pt idx="5">
                  <c:v>Общо приходи и помощи</c:v>
                </c:pt>
              </c:strCache>
            </c:strRef>
          </c:cat>
          <c:val>
            <c:numRef>
              <c:f>'КФП_ГРАФИКИ ПРИХОДИ И РАЗХОДИ'!$C$23:$C$28</c:f>
              <c:numCache>
                <c:formatCode>0.0%</c:formatCode>
                <c:ptCount val="6"/>
                <c:pt idx="0">
                  <c:v>8.7768664664412355E-2</c:v>
                </c:pt>
                <c:pt idx="1">
                  <c:v>9.3633760761874699E-2</c:v>
                </c:pt>
                <c:pt idx="2">
                  <c:v>0.14528525015976024</c:v>
                </c:pt>
                <c:pt idx="3">
                  <c:v>7.403519530924671E-2</c:v>
                </c:pt>
                <c:pt idx="4">
                  <c:v>0.31295420623088166</c:v>
                </c:pt>
                <c:pt idx="5">
                  <c:v>0.40072287089529396</c:v>
                </c:pt>
              </c:numCache>
            </c:numRef>
          </c:val>
          <c:extLst>
            <c:ext xmlns:c16="http://schemas.microsoft.com/office/drawing/2014/chart" uri="{C3380CC4-5D6E-409C-BE32-E72D297353CC}">
              <c16:uniqueId val="{00000008-4CF1-414C-9EFF-570E43520CC2}"/>
            </c:ext>
          </c:extLst>
        </c:ser>
        <c:dLbls>
          <c:showLegendKey val="0"/>
          <c:showVal val="0"/>
          <c:showCatName val="0"/>
          <c:showSerName val="0"/>
          <c:showPercent val="0"/>
          <c:showBubbleSize val="0"/>
        </c:dLbls>
        <c:gapWidth val="150"/>
        <c:shape val="cylinder"/>
        <c:axId val="198947200"/>
        <c:axId val="198948736"/>
        <c:axId val="0"/>
      </c:bar3DChart>
      <c:catAx>
        <c:axId val="198947200"/>
        <c:scaling>
          <c:orientation val="minMax"/>
        </c:scaling>
        <c:delete val="0"/>
        <c:axPos val="l"/>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bg-BG"/>
          </a:p>
        </c:txPr>
        <c:crossAx val="198948736"/>
        <c:crossesAt val="0"/>
        <c:auto val="1"/>
        <c:lblAlgn val="ctr"/>
        <c:lblOffset val="100"/>
        <c:noMultiLvlLbl val="0"/>
      </c:catAx>
      <c:valAx>
        <c:axId val="198948736"/>
        <c:scaling>
          <c:orientation val="minMax"/>
          <c:max val="0.5"/>
        </c:scaling>
        <c:delete val="0"/>
        <c:axPos val="b"/>
        <c:majorGridlines>
          <c:spPr>
            <a:ln>
              <a:noFill/>
            </a:ln>
          </c:spPr>
        </c:majorGridlines>
        <c:numFmt formatCode="0.0%" sourceLinked="1"/>
        <c:majorTickMark val="out"/>
        <c:minorTickMark val="none"/>
        <c:tickLblPos val="nextTo"/>
        <c:txPr>
          <a:bodyPr/>
          <a:lstStyle/>
          <a:p>
            <a:pPr>
              <a:defRPr sz="800"/>
            </a:pPr>
            <a:endParaRPr lang="bg-BG"/>
          </a:p>
        </c:txPr>
        <c:crossAx val="198947200"/>
        <c:crosses val="autoZero"/>
        <c:crossBetween val="between"/>
      </c:valAx>
    </c:plotArea>
    <c:legend>
      <c:legendPos val="r"/>
      <c:legendEntry>
        <c:idx val="0"/>
        <c:txPr>
          <a:bodyPr/>
          <a:lstStyle/>
          <a:p>
            <a:pPr>
              <a:defRPr sz="900"/>
            </a:pPr>
            <a:endParaRPr lang="bg-BG"/>
          </a:p>
        </c:txPr>
      </c:legendEntry>
      <c:legendEntry>
        <c:idx val="1"/>
        <c:txPr>
          <a:bodyPr/>
          <a:lstStyle/>
          <a:p>
            <a:pPr>
              <a:defRPr sz="900"/>
            </a:pPr>
            <a:endParaRPr lang="bg-BG"/>
          </a:p>
        </c:txPr>
      </c:legendEntry>
      <c:layout>
        <c:manualLayout>
          <c:xMode val="edge"/>
          <c:yMode val="edge"/>
          <c:x val="1.7940069991251067E-2"/>
          <c:y val="0.90798556430446209"/>
          <c:w val="0.19039326334208226"/>
          <c:h val="9.1436278798483511E-2"/>
        </c:manualLayout>
      </c:layout>
      <c:overlay val="0"/>
      <c:txPr>
        <a:bodyPr/>
        <a:lstStyle/>
        <a:p>
          <a:pPr>
            <a:defRPr sz="800"/>
          </a:pPr>
          <a:endParaRPr lang="bg-BG"/>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90"/>
      <c:rAngAx val="1"/>
    </c:view3D>
    <c:floor>
      <c:thickness val="0"/>
    </c:floor>
    <c:sideWall>
      <c:thickness val="0"/>
      <c:spPr>
        <a:ln>
          <a:solidFill>
            <a:schemeClr val="tx1">
              <a:lumMod val="50000"/>
              <a:lumOff val="50000"/>
            </a:schemeClr>
          </a:solidFill>
        </a:ln>
      </c:spPr>
    </c:sideWall>
    <c:backWall>
      <c:thickness val="0"/>
      <c:spPr>
        <a:ln>
          <a:solidFill>
            <a:schemeClr val="tx1">
              <a:lumMod val="50000"/>
              <a:lumOff val="50000"/>
            </a:schemeClr>
          </a:solidFill>
        </a:ln>
      </c:spPr>
    </c:backWall>
    <c:plotArea>
      <c:layout>
        <c:manualLayout>
          <c:layoutTarget val="inner"/>
          <c:xMode val="edge"/>
          <c:yMode val="edge"/>
          <c:x val="0.35875386182195973"/>
          <c:y val="9.4091101515536346E-2"/>
          <c:w val="0.6045115288927646"/>
          <c:h val="0.83055739000366891"/>
        </c:manualLayout>
      </c:layout>
      <c:bar3DChart>
        <c:barDir val="bar"/>
        <c:grouping val="clustered"/>
        <c:varyColors val="0"/>
        <c:ser>
          <c:idx val="0"/>
          <c:order val="0"/>
          <c:tx>
            <c:strRef>
              <c:f>'КФП_ГРАФИКИ ПРИХОДИ И РАЗХОДИ'!$B$47</c:f>
              <c:strCache>
                <c:ptCount val="1"/>
                <c:pt idx="0">
                  <c:v>2020 г.</c:v>
                </c:pt>
              </c:strCache>
            </c:strRef>
          </c:tx>
          <c:spPr>
            <a:solidFill>
              <a:schemeClr val="accent2">
                <a:lumMod val="50000"/>
              </a:schemeClr>
            </a:solidFill>
          </c:spPr>
          <c:invertIfNegative val="0"/>
          <c:dLbls>
            <c:dLbl>
              <c:idx val="6"/>
              <c:layout>
                <c:manualLayout>
                  <c:x val="6.5189605205599301E-3"/>
                  <c:y val="-3.515931476307364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3B3-4979-AA49-C70CEA76852E}"/>
                </c:ext>
              </c:extLst>
            </c:dLbl>
            <c:dLbl>
              <c:idx val="7"/>
              <c:layout>
                <c:manualLayout>
                  <c:x val="2.170138888888889E-3"/>
                  <c:y val="1.07526881720430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B3-4979-AA49-C70CEA76852E}"/>
                </c:ext>
              </c:extLst>
            </c:dLbl>
            <c:spPr>
              <a:noFill/>
              <a:ln>
                <a:noFill/>
              </a:ln>
              <a:effectLst/>
            </c:spPr>
            <c:txPr>
              <a:bodyPr/>
              <a:lstStyle/>
              <a:p>
                <a:pPr>
                  <a:defRPr sz="850"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'КФП_ГРАФИКИ ПРИХОДИ И РАЗХОДИ'!$A$48:$A$57</c:f>
              <c:strCache>
                <c:ptCount val="9"/>
                <c:pt idx="0">
                  <c:v>Предост. тек. и капит. трансфери за чужбина</c:v>
                </c:pt>
                <c:pt idx="1">
                  <c:v>Капиталови разходи*</c:v>
                </c:pt>
                <c:pt idx="2">
                  <c:v>Субсидии</c:v>
                </c:pt>
                <c:pt idx="3">
                  <c:v>Социални разходи, стипендии</c:v>
                </c:pt>
                <c:pt idx="4">
                  <c:v>Лихвени разходи</c:v>
                </c:pt>
                <c:pt idx="5">
                  <c:v>Издръжка</c:v>
                </c:pt>
                <c:pt idx="6">
                  <c:v>Разходи за персонал</c:v>
                </c:pt>
                <c:pt idx="7">
                  <c:v>Вноска в бюджета на ЕС</c:v>
                </c:pt>
                <c:pt idx="8">
                  <c:v>Общо разходи и вноска в бюджета на ЕС</c:v>
                </c:pt>
              </c:strCache>
              <c:extLst/>
            </c:strRef>
          </c:cat>
          <c:val>
            <c:numRef>
              <c:f>'КФП_ГРАФИКИ ПРИХОДИ И РАЗХОДИ'!$B$48:$B$57</c:f>
              <c:numCache>
                <c:formatCode>0.0%</c:formatCode>
                <c:ptCount val="9"/>
                <c:pt idx="0" formatCode="0.00%">
                  <c:v>5.0123045546056615E-4</c:v>
                </c:pt>
                <c:pt idx="1">
                  <c:v>4.2428626961921567E-2</c:v>
                </c:pt>
                <c:pt idx="2">
                  <c:v>4.1956273993582066E-2</c:v>
                </c:pt>
                <c:pt idx="3">
                  <c:v>0.16069074351222842</c:v>
                </c:pt>
                <c:pt idx="4">
                  <c:v>5.2008982397966927E-3</c:v>
                </c:pt>
                <c:pt idx="5">
                  <c:v>4.2538709205611445E-2</c:v>
                </c:pt>
                <c:pt idx="6">
                  <c:v>9.4799677813674169E-2</c:v>
                </c:pt>
                <c:pt idx="7">
                  <c:v>1.0799822656046459E-2</c:v>
                </c:pt>
                <c:pt idx="8">
                  <c:v>0.3989159828383213</c:v>
                </c:pt>
              </c:numCache>
              <c:extLst/>
            </c:numRef>
          </c:val>
          <c:extLst>
            <c:ext xmlns:c16="http://schemas.microsoft.com/office/drawing/2014/chart" uri="{C3380CC4-5D6E-409C-BE32-E72D297353CC}">
              <c16:uniqueId val="{00000002-03B3-4979-AA49-C70CEA76852E}"/>
            </c:ext>
          </c:extLst>
        </c:ser>
        <c:ser>
          <c:idx val="1"/>
          <c:order val="1"/>
          <c:tx>
            <c:strRef>
              <c:f>'КФП_ГРАФИКИ ПРИХОДИ И РАЗХОДИ'!$C$47</c:f>
              <c:strCache>
                <c:ptCount val="1"/>
                <c:pt idx="0">
                  <c:v>2021 г.</c:v>
                </c:pt>
              </c:strCache>
            </c:strRef>
          </c:tx>
          <c:spPr>
            <a:pattFill prst="trellis">
              <a:fgClr>
                <a:srgbClr val="00B0F0"/>
              </a:fgClr>
              <a:bgClr>
                <a:schemeClr val="bg1"/>
              </a:bgClr>
            </a:pattFill>
            <a:ln>
              <a:solidFill>
                <a:schemeClr val="tx1">
                  <a:tint val="75000"/>
                  <a:shade val="95000"/>
                  <a:satMod val="105000"/>
                </a:schemeClr>
              </a:solidFill>
            </a:ln>
          </c:spPr>
          <c:invertIfNegative val="0"/>
          <c:dLbls>
            <c:dLbl>
              <c:idx val="0"/>
              <c:layout>
                <c:manualLayout>
                  <c:x val="8.6805555555555559E-3"/>
                  <c:y val="-1.43369175627240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3B3-4979-AA49-C70CEA76852E}"/>
                </c:ext>
              </c:extLst>
            </c:dLbl>
            <c:dLbl>
              <c:idx val="1"/>
              <c:layout>
                <c:manualLayout>
                  <c:x val="6.510416666666667E-3"/>
                  <c:y val="-1.07526881720430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3B3-4979-AA49-C70CEA76852E}"/>
                </c:ext>
              </c:extLst>
            </c:dLbl>
            <c:dLbl>
              <c:idx val="2"/>
              <c:layout>
                <c:manualLayout>
                  <c:x val="2.1701388888889683E-3"/>
                  <c:y val="-1.79211469534050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3B3-4979-AA49-C70CEA76852E}"/>
                </c:ext>
              </c:extLst>
            </c:dLbl>
            <c:dLbl>
              <c:idx val="3"/>
              <c:layout>
                <c:manualLayout>
                  <c:x val="4.340277777777778E-3"/>
                  <c:y val="-1.43369175627240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3B3-4979-AA49-C70CEA76852E}"/>
                </c:ext>
              </c:extLst>
            </c:dLbl>
            <c:dLbl>
              <c:idx val="4"/>
              <c:layout>
                <c:manualLayout>
                  <c:x val="4.340277777777778E-3"/>
                  <c:y val="-1.43369175627240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3B3-4979-AA49-C70CEA76852E}"/>
                </c:ext>
              </c:extLst>
            </c:dLbl>
            <c:dLbl>
              <c:idx val="5"/>
              <c:layout>
                <c:manualLayout>
                  <c:x val="4.340277777777778E-3"/>
                  <c:y val="-1.43369175627240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3B3-4979-AA49-C70CEA76852E}"/>
                </c:ext>
              </c:extLst>
            </c:dLbl>
            <c:dLbl>
              <c:idx val="6"/>
              <c:layout>
                <c:manualLayout>
                  <c:x val="2.170138888888889E-3"/>
                  <c:y val="-1.43369175627240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3B3-4979-AA49-C70CEA76852E}"/>
                </c:ext>
              </c:extLst>
            </c:dLbl>
            <c:dLbl>
              <c:idx val="7"/>
              <c:layout>
                <c:manualLayout>
                  <c:x val="8.6805555555555559E-3"/>
                  <c:y val="-1.07526881720430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3B3-4979-AA49-C70CEA76852E}"/>
                </c:ext>
              </c:extLst>
            </c:dLbl>
            <c:dLbl>
              <c:idx val="8"/>
              <c:layout>
                <c:manualLayout>
                  <c:x val="0"/>
                  <c:y val="-9.823182711198414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3B3-4979-AA49-C70CEA76852E}"/>
                </c:ext>
              </c:extLst>
            </c:dLbl>
            <c:spPr>
              <a:noFill/>
              <a:ln>
                <a:noFill/>
              </a:ln>
              <a:effectLst/>
            </c:spPr>
            <c:txPr>
              <a:bodyPr/>
              <a:lstStyle/>
              <a:p>
                <a:pPr>
                  <a:defRPr sz="850"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'КФП_ГРАФИКИ ПРИХОДИ И РАЗХОДИ'!$A$48:$A$57</c:f>
              <c:strCache>
                <c:ptCount val="9"/>
                <c:pt idx="0">
                  <c:v>Предост. тек. и капит. трансфери за чужбина</c:v>
                </c:pt>
                <c:pt idx="1">
                  <c:v>Капиталови разходи*</c:v>
                </c:pt>
                <c:pt idx="2">
                  <c:v>Субсидии</c:v>
                </c:pt>
                <c:pt idx="3">
                  <c:v>Социални разходи, стипендии</c:v>
                </c:pt>
                <c:pt idx="4">
                  <c:v>Лихвени разходи</c:v>
                </c:pt>
                <c:pt idx="5">
                  <c:v>Издръжка</c:v>
                </c:pt>
                <c:pt idx="6">
                  <c:v>Разходи за персонал</c:v>
                </c:pt>
                <c:pt idx="7">
                  <c:v>Вноска в бюджета на ЕС</c:v>
                </c:pt>
                <c:pt idx="8">
                  <c:v>Общо разходи и вноска в бюджета на ЕС</c:v>
                </c:pt>
              </c:strCache>
              <c:extLst/>
            </c:strRef>
          </c:cat>
          <c:val>
            <c:numRef>
              <c:f>'КФП_ГРАФИКИ ПРИХОДИ И РАЗХОДИ'!$C$48:$C$57</c:f>
              <c:numCache>
                <c:formatCode>0.0%</c:formatCode>
                <c:ptCount val="9"/>
                <c:pt idx="0" formatCode="0.00%">
                  <c:v>3.5144372142581839E-4</c:v>
                </c:pt>
                <c:pt idx="1">
                  <c:v>2.9601150696854622E-2</c:v>
                </c:pt>
                <c:pt idx="2">
                  <c:v>6.0378906398223048E-2</c:v>
                </c:pt>
                <c:pt idx="3">
                  <c:v>0.17902873165343522</c:v>
                </c:pt>
                <c:pt idx="4">
                  <c:v>4.8115406835151356E-3</c:v>
                </c:pt>
                <c:pt idx="5">
                  <c:v>4.186007710713037E-2</c:v>
                </c:pt>
                <c:pt idx="6">
                  <c:v>0.10175933397706458</c:v>
                </c:pt>
                <c:pt idx="7">
                  <c:v>1.2870164106392187E-2</c:v>
                </c:pt>
                <c:pt idx="8">
                  <c:v>0.43066134834404096</c:v>
                </c:pt>
              </c:numCache>
              <c:extLst/>
            </c:numRef>
          </c:val>
          <c:extLst>
            <c:ext xmlns:c16="http://schemas.microsoft.com/office/drawing/2014/chart" uri="{C3380CC4-5D6E-409C-BE32-E72D297353CC}">
              <c16:uniqueId val="{0000000C-03B3-4979-AA49-C70CEA76852E}"/>
            </c:ext>
          </c:extLst>
        </c:ser>
        <c:dLbls>
          <c:showLegendKey val="0"/>
          <c:showVal val="0"/>
          <c:showCatName val="0"/>
          <c:showSerName val="0"/>
          <c:showPercent val="0"/>
          <c:showBubbleSize val="0"/>
        </c:dLbls>
        <c:gapWidth val="150"/>
        <c:shape val="cylinder"/>
        <c:axId val="198882048"/>
        <c:axId val="198883584"/>
        <c:axId val="0"/>
      </c:bar3DChart>
      <c:catAx>
        <c:axId val="198882048"/>
        <c:scaling>
          <c:orientation val="minMax"/>
        </c:scaling>
        <c:delete val="0"/>
        <c:axPos val="l"/>
        <c:numFmt formatCode="General" sourceLinked="1"/>
        <c:majorTickMark val="none"/>
        <c:minorTickMark val="none"/>
        <c:tickLblPos val="nextTo"/>
        <c:txPr>
          <a:bodyPr rot="0" vert="horz"/>
          <a:lstStyle/>
          <a:p>
            <a:pPr>
              <a:defRPr sz="870" b="0" i="0" u="none" strike="noStrike" baseline="0">
                <a:solidFill>
                  <a:srgbClr val="000000"/>
                </a:solidFill>
                <a:latin typeface="Times New Roman"/>
                <a:ea typeface="Times New Roman"/>
                <a:cs typeface="Times New Roman"/>
              </a:defRPr>
            </a:pPr>
            <a:endParaRPr lang="bg-BG"/>
          </a:p>
        </c:txPr>
        <c:crossAx val="198883584"/>
        <c:crosses val="autoZero"/>
        <c:auto val="1"/>
        <c:lblAlgn val="ctr"/>
        <c:lblOffset val="100"/>
        <c:noMultiLvlLbl val="0"/>
      </c:catAx>
      <c:valAx>
        <c:axId val="198883584"/>
        <c:scaling>
          <c:orientation val="minMax"/>
          <c:max val="0.60000000000000009"/>
        </c:scaling>
        <c:delete val="0"/>
        <c:axPos val="b"/>
        <c:majorGridlines>
          <c:spPr>
            <a:ln>
              <a:noFill/>
            </a:ln>
          </c:spPr>
        </c:majorGridlines>
        <c:numFmt formatCode="0.0%" sourceLinked="0"/>
        <c:majorTickMark val="none"/>
        <c:minorTickMark val="none"/>
        <c:tickLblPos val="nextTo"/>
        <c:txPr>
          <a:bodyPr rot="0" vert="horz"/>
          <a:lstStyle/>
          <a:p>
            <a:pPr>
              <a:defRPr sz="800" b="0" i="0" u="none" strike="noStrike" baseline="0">
                <a:solidFill>
                  <a:srgbClr val="000000"/>
                </a:solidFill>
                <a:latin typeface="Times New Roman"/>
                <a:ea typeface="Times New Roman"/>
                <a:cs typeface="Times New Roman"/>
              </a:defRPr>
            </a:pPr>
            <a:endParaRPr lang="bg-BG"/>
          </a:p>
        </c:txPr>
        <c:crossAx val="198882048"/>
        <c:crosses val="autoZero"/>
        <c:crossBetween val="between"/>
      </c:valAx>
    </c:plotArea>
    <c:legend>
      <c:legendPos val="r"/>
      <c:layout>
        <c:manualLayout>
          <c:xMode val="edge"/>
          <c:yMode val="edge"/>
          <c:x val="8.2465277777777797E-3"/>
          <c:y val="0.94842547907318042"/>
          <c:w val="0.17954430500874891"/>
          <c:h val="5.1574520926819634E-2"/>
        </c:manualLayout>
      </c:layout>
      <c:overlay val="0"/>
      <c:txPr>
        <a:bodyPr/>
        <a:lstStyle/>
        <a:p>
          <a:pPr>
            <a:defRPr sz="900" b="0"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ln>
      <a:solidFill>
        <a:schemeClr val="tx1"/>
      </a:solidFill>
      <a:prstDash val="solid"/>
    </a:ln>
  </c:spPr>
  <c:txPr>
    <a:bodyPr/>
    <a:lstStyle/>
    <a:p>
      <a:pPr>
        <a:defRPr sz="1000" b="0" i="0" u="none" strike="noStrike" baseline="0">
          <a:solidFill>
            <a:srgbClr val="000000"/>
          </a:solidFill>
          <a:latin typeface="Times New Roman"/>
          <a:ea typeface="Times New Roman"/>
          <a:cs typeface="Times New Roman"/>
        </a:defRPr>
      </a:pPr>
      <a:endParaRPr lang="bg-BG"/>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25" b="1" i="0" u="none" strike="noStrike" baseline="0">
                <a:solidFill>
                  <a:srgbClr val="000000"/>
                </a:solidFill>
                <a:latin typeface="Arial"/>
                <a:ea typeface="Arial"/>
                <a:cs typeface="Arial"/>
              </a:defRPr>
            </a:pPr>
            <a:r>
              <a:rPr lang="bg-BG"/>
              <a:t>Разходи по консолидираната фискална програма към декември 2020 г. и 2021 г.</a:t>
            </a:r>
          </a:p>
        </c:rich>
      </c:tx>
      <c:layout>
        <c:manualLayout>
          <c:xMode val="edge"/>
          <c:yMode val="edge"/>
          <c:x val="0.15715068791093165"/>
          <c:y val="3.4782795007766883E-2"/>
        </c:manualLayout>
      </c:layout>
      <c:overlay val="0"/>
      <c:spPr>
        <a:noFill/>
        <a:ln w="25400">
          <a:noFill/>
        </a:ln>
      </c:spPr>
    </c:title>
    <c:autoTitleDeleted val="0"/>
    <c:view3D>
      <c:rotX val="24"/>
      <c:hPercent val="55"/>
      <c:rotY val="40"/>
      <c:depthPercent val="100"/>
      <c:rAngAx val="1"/>
    </c:view3D>
    <c:floor>
      <c:thickness val="0"/>
      <c:spPr>
        <a:solidFill>
          <a:srgbClr val="C0C0C0"/>
        </a:solidFill>
        <a:ln w="3175">
          <a:solidFill>
            <a:srgbClr val="000000"/>
          </a:solidFill>
          <a:prstDash val="solid"/>
        </a:ln>
      </c:spPr>
    </c:floor>
    <c:sideWall>
      <c:thickness val="0"/>
      <c:spPr>
        <a:gradFill rotWithShape="0">
          <a:gsLst>
            <a:gs pos="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000000" mc:Ignorable="a14" a14:legacySpreadsheetColorIndex="9">
                <a:gamma/>
                <a:shade val="46275"/>
                <a:invGamma/>
              </a:srgbClr>
            </a:gs>
          </a:gsLst>
          <a:lin ang="5400000" scaled="1"/>
        </a:gradFill>
        <a:ln w="3175">
          <a:solidFill>
            <a:srgbClr val="FFFFFF"/>
          </a:solidFill>
          <a:prstDash val="solid"/>
        </a:ln>
      </c:spPr>
    </c:sideWall>
    <c:backWall>
      <c:thickness val="0"/>
      <c:spPr>
        <a:gradFill rotWithShape="0">
          <a:gsLst>
            <a:gs pos="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000000" mc:Ignorable="a14" a14:legacySpreadsheetColorIndex="9">
                <a:gamma/>
                <a:shade val="46275"/>
                <a:invGamma/>
              </a:srgbClr>
            </a:gs>
          </a:gsLst>
          <a:lin ang="5400000" scaled="1"/>
        </a:gradFill>
        <a:ln w="3175">
          <a:solidFill>
            <a:srgbClr val="FFFFFF"/>
          </a:solidFill>
          <a:prstDash val="solid"/>
        </a:ln>
      </c:spPr>
    </c:backWall>
    <c:plotArea>
      <c:layout>
        <c:manualLayout>
          <c:layoutTarget val="inner"/>
          <c:xMode val="edge"/>
          <c:yMode val="edge"/>
          <c:x val="6.7394550205300482E-2"/>
          <c:y val="9.4540934757473785E-2"/>
          <c:w val="0.9273267143398789"/>
          <c:h val="0.71332271269147074"/>
        </c:manualLayout>
      </c:layout>
      <c:bar3DChart>
        <c:barDir val="col"/>
        <c:grouping val="clustered"/>
        <c:varyColors val="0"/>
        <c:ser>
          <c:idx val="0"/>
          <c:order val="0"/>
          <c:tx>
            <c:strRef>
              <c:f>Sheet1!$B$25</c:f>
              <c:strCache>
                <c:ptCount val="1"/>
                <c:pt idx="0">
                  <c:v>към декември 2020</c:v>
                </c:pt>
              </c:strCache>
            </c:strRef>
          </c:tx>
          <c:spPr>
            <a:solidFill>
              <a:schemeClr val="tx1">
                <a:lumMod val="75000"/>
                <a:lumOff val="25000"/>
              </a:schemeClr>
            </a:solidFill>
            <a:ln w="12700">
              <a:solidFill>
                <a:srgbClr val="000000"/>
              </a:solidFill>
              <a:prstDash val="solid"/>
            </a:ln>
          </c:spPr>
          <c:invertIfNegative val="0"/>
          <c:dLbls>
            <c:dLbl>
              <c:idx val="0"/>
              <c:layout>
                <c:manualLayout>
                  <c:x val="1.0007496738683912E-2"/>
                  <c:y val="0.14561494937258732"/>
                </c:manualLayout>
              </c:layout>
              <c:spPr>
                <a:solidFill>
                  <a:srgbClr val="FFFFFF"/>
                </a:solidFill>
                <a:ln w="25400">
                  <a:noFill/>
                </a:ln>
              </c:spPr>
              <c:txPr>
                <a:bodyPr rot="-5400000" vert="horz"/>
                <a:lstStyle/>
                <a:p>
                  <a:pPr algn="ctr">
                    <a:defRPr sz="8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bg-BG"/>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E1D-4A0D-923F-E460B7461860}"/>
                </c:ext>
              </c:extLst>
            </c:dLbl>
            <c:dLbl>
              <c:idx val="1"/>
              <c:layout>
                <c:manualLayout>
                  <c:x val="8.9314968888567006E-3"/>
                  <c:y val="0.1413615950666697"/>
                </c:manualLayout>
              </c:layout>
              <c:spPr>
                <a:solidFill>
                  <a:srgbClr val="FFFFFF"/>
                </a:solidFill>
                <a:ln w="25400">
                  <a:noFill/>
                </a:ln>
              </c:spPr>
              <c:txPr>
                <a:bodyPr rot="-5400000" vert="horz"/>
                <a:lstStyle/>
                <a:p>
                  <a:pPr algn="ctr">
                    <a:defRPr sz="8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bg-BG"/>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1D-4A0D-923F-E460B7461860}"/>
                </c:ext>
              </c:extLst>
            </c:dLbl>
            <c:dLbl>
              <c:idx val="2"/>
              <c:layout>
                <c:manualLayout>
                  <c:x val="7.855686469356778E-3"/>
                  <c:y val="-2.0470390387560624E-2"/>
                </c:manualLayout>
              </c:layout>
              <c:spPr>
                <a:solidFill>
                  <a:srgbClr val="FFFFFF"/>
                </a:solidFill>
                <a:ln w="25400">
                  <a:noFill/>
                </a:ln>
              </c:spPr>
              <c:txPr>
                <a:bodyPr rot="-5400000" vert="horz"/>
                <a:lstStyle/>
                <a:p>
                  <a:pPr algn="ctr">
                    <a:defRPr sz="8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bg-BG"/>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E1D-4A0D-923F-E460B7461860}"/>
                </c:ext>
              </c:extLst>
            </c:dLbl>
            <c:dLbl>
              <c:idx val="3"/>
              <c:layout>
                <c:manualLayout>
                  <c:x val="1.2695259582463913E-2"/>
                  <c:y val="-1.28380340777075E-2"/>
                </c:manualLayout>
              </c:layout>
              <c:spPr>
                <a:solidFill>
                  <a:srgbClr val="FFFFFF"/>
                </a:solidFill>
                <a:ln w="25400">
                  <a:noFill/>
                </a:ln>
              </c:spPr>
              <c:txPr>
                <a:bodyPr rot="-5400000" vert="horz"/>
                <a:lstStyle/>
                <a:p>
                  <a:pPr algn="ctr">
                    <a:defRPr sz="8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bg-BG"/>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E1D-4A0D-923F-E460B7461860}"/>
                </c:ext>
              </c:extLst>
            </c:dLbl>
            <c:dLbl>
              <c:idx val="4"/>
              <c:layout>
                <c:manualLayout>
                  <c:x val="8.0906052093027685E-3"/>
                  <c:y val="-1.2366513447686642E-2"/>
                </c:manualLayout>
              </c:layout>
              <c:spPr>
                <a:solidFill>
                  <a:srgbClr val="FFFFFF"/>
                </a:solidFill>
                <a:ln w="25400">
                  <a:noFill/>
                </a:ln>
              </c:spPr>
              <c:txPr>
                <a:bodyPr rot="-5400000" vert="horz"/>
                <a:lstStyle/>
                <a:p>
                  <a:pPr algn="ctr">
                    <a:defRPr sz="8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bg-BG"/>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E1D-4A0D-923F-E460B7461860}"/>
                </c:ext>
              </c:extLst>
            </c:dLbl>
            <c:dLbl>
              <c:idx val="5"/>
              <c:layout>
                <c:manualLayout>
                  <c:x val="1.4521488937431694E-2"/>
                  <c:y val="-2.0988394302974198E-2"/>
                </c:manualLayout>
              </c:layout>
              <c:spPr>
                <a:solidFill>
                  <a:srgbClr val="FFFFFF"/>
                </a:solidFill>
                <a:ln w="25400">
                  <a:noFill/>
                </a:ln>
              </c:spPr>
              <c:txPr>
                <a:bodyPr rot="-5400000" vert="horz"/>
                <a:lstStyle/>
                <a:p>
                  <a:pPr algn="ctr">
                    <a:defRPr sz="8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bg-BG"/>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E1D-4A0D-923F-E460B7461860}"/>
                </c:ext>
              </c:extLst>
            </c:dLbl>
            <c:dLbl>
              <c:idx val="6"/>
              <c:layout>
                <c:manualLayout>
                  <c:x val="1.5664118412969934E-2"/>
                  <c:y val="-2.7341772558535111E-2"/>
                </c:manualLayout>
              </c:layout>
              <c:spPr>
                <a:solidFill>
                  <a:srgbClr val="FFFFFF"/>
                </a:solidFill>
                <a:ln w="25400">
                  <a:noFill/>
                </a:ln>
              </c:spPr>
              <c:txPr>
                <a:bodyPr rot="-5400000" vert="horz"/>
                <a:lstStyle/>
                <a:p>
                  <a:pPr algn="ctr">
                    <a:defRPr sz="8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bg-BG"/>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E1D-4A0D-923F-E460B7461860}"/>
                </c:ext>
              </c:extLst>
            </c:dLbl>
            <c:spPr>
              <a:solidFill>
                <a:srgbClr val="FFFFFF"/>
              </a:solidFill>
              <a:ln w="25400">
                <a:noFill/>
              </a:ln>
            </c:spPr>
            <c:txPr>
              <a:bodyPr rot="-5400000" vert="horz" wrap="square" lIns="38100" tIns="19050" rIns="38100" bIns="19050" anchor="ctr">
                <a:spAutoFit/>
              </a:bodyPr>
              <a:lstStyle/>
              <a:p>
                <a:pPr algn="ctr">
                  <a:defRPr sz="8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Sheet1!$A$31:$A$36</c:f>
              <c:strCache>
                <c:ptCount val="6"/>
                <c:pt idx="0">
                  <c:v>Общо разходи</c:v>
                </c:pt>
                <c:pt idx="1">
                  <c:v>Текущи нелихвени разходи</c:v>
                </c:pt>
                <c:pt idx="2">
                  <c:v>Предоставени тек. и капит. трансфери за чужбина</c:v>
                </c:pt>
                <c:pt idx="3">
                  <c:v>Капиталови разходи *</c:v>
                </c:pt>
                <c:pt idx="4">
                  <c:v>Лихви</c:v>
                </c:pt>
                <c:pt idx="5">
                  <c:v>Вноска за бюджета на  ЕС</c:v>
                </c:pt>
              </c:strCache>
            </c:strRef>
          </c:cat>
          <c:val>
            <c:numRef>
              <c:f>Sheet1!$B$31:$B$36</c:f>
              <c:numCache>
                <c:formatCode>#,##0.0</c:formatCode>
                <c:ptCount val="6"/>
                <c:pt idx="0">
                  <c:v>47850.405519000007</c:v>
                </c:pt>
                <c:pt idx="1">
                  <c:v>40781.602082999998</c:v>
                </c:pt>
                <c:pt idx="2">
                  <c:v>60.123138000000004</c:v>
                </c:pt>
                <c:pt idx="3">
                  <c:v>5089.3764490000003</c:v>
                </c:pt>
                <c:pt idx="4">
                  <c:v>623.85338200000001</c:v>
                </c:pt>
                <c:pt idx="5">
                  <c:v>1295.4504669999999</c:v>
                </c:pt>
              </c:numCache>
            </c:numRef>
          </c:val>
          <c:extLst>
            <c:ext xmlns:c16="http://schemas.microsoft.com/office/drawing/2014/chart" uri="{C3380CC4-5D6E-409C-BE32-E72D297353CC}">
              <c16:uniqueId val="{00000007-FE1D-4A0D-923F-E460B7461860}"/>
            </c:ext>
          </c:extLst>
        </c:ser>
        <c:ser>
          <c:idx val="1"/>
          <c:order val="1"/>
          <c:tx>
            <c:strRef>
              <c:f>Sheet1!$C$25</c:f>
              <c:strCache>
                <c:ptCount val="1"/>
                <c:pt idx="0">
                  <c:v>към декември 2021</c:v>
                </c:pt>
              </c:strCache>
            </c:strRef>
          </c:tx>
          <c:spPr>
            <a:blipFill dpi="0" rotWithShape="0">
              <a:blip xmlns:r="http://schemas.openxmlformats.org/officeDocument/2006/relationships" r:embed="rId2"/>
              <a:srcRect/>
              <a:tile tx="0" ty="0" sx="100000" sy="100000" flip="none" algn="tl"/>
            </a:blipFill>
            <a:ln w="12700">
              <a:solidFill>
                <a:srgbClr val="000000"/>
              </a:solidFill>
              <a:prstDash val="solid"/>
            </a:ln>
          </c:spPr>
          <c:invertIfNegative val="0"/>
          <c:dLbls>
            <c:dLbl>
              <c:idx val="0"/>
              <c:layout>
                <c:manualLayout>
                  <c:x val="1.0417419827000875E-2"/>
                  <c:y val="0.13799142442510265"/>
                </c:manualLayout>
              </c:layout>
              <c:spPr>
                <a:solidFill>
                  <a:srgbClr val="FFFFFF"/>
                </a:solidFill>
                <a:ln w="25400">
                  <a:noFill/>
                </a:ln>
              </c:spPr>
              <c:txPr>
                <a:bodyPr rot="-5400000" vert="horz"/>
                <a:lstStyle/>
                <a:p>
                  <a:pPr algn="ctr">
                    <a:defRPr sz="8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bg-BG"/>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E1D-4A0D-923F-E460B7461860}"/>
                </c:ext>
              </c:extLst>
            </c:dLbl>
            <c:dLbl>
              <c:idx val="1"/>
              <c:layout>
                <c:manualLayout>
                  <c:x val="6.2817245828593249E-3"/>
                  <c:y val="0.1251109291330488"/>
                </c:manualLayout>
              </c:layout>
              <c:spPr>
                <a:solidFill>
                  <a:srgbClr val="FFFFFF"/>
                </a:solidFill>
                <a:ln w="25400">
                  <a:noFill/>
                </a:ln>
              </c:spPr>
              <c:txPr>
                <a:bodyPr rot="-5400000" vert="horz"/>
                <a:lstStyle/>
                <a:p>
                  <a:pPr algn="ctr">
                    <a:defRPr sz="8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bg-BG"/>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E1D-4A0D-923F-E460B7461860}"/>
                </c:ext>
              </c:extLst>
            </c:dLbl>
            <c:dLbl>
              <c:idx val="2"/>
              <c:layout>
                <c:manualLayout>
                  <c:x val="1.7119546282186062E-2"/>
                  <c:y val="-1.2557646340121638E-2"/>
                </c:manualLayout>
              </c:layout>
              <c:spPr>
                <a:solidFill>
                  <a:srgbClr val="FFFFFF"/>
                </a:solidFill>
                <a:ln w="25400">
                  <a:noFill/>
                </a:ln>
              </c:spPr>
              <c:txPr>
                <a:bodyPr rot="-5400000" vert="horz"/>
                <a:lstStyle/>
                <a:p>
                  <a:pPr algn="ctr">
                    <a:defRPr sz="8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bg-BG"/>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E1D-4A0D-923F-E460B7461860}"/>
                </c:ext>
              </c:extLst>
            </c:dLbl>
            <c:dLbl>
              <c:idx val="3"/>
              <c:layout>
                <c:manualLayout>
                  <c:x val="2.2593727006193373E-2"/>
                  <c:y val="-1.6617991910847209E-2"/>
                </c:manualLayout>
              </c:layout>
              <c:spPr>
                <a:solidFill>
                  <a:srgbClr val="FFFFFF"/>
                </a:solidFill>
                <a:ln w="25400">
                  <a:noFill/>
                </a:ln>
              </c:spPr>
              <c:txPr>
                <a:bodyPr rot="-5400000" vert="horz"/>
                <a:lstStyle/>
                <a:p>
                  <a:pPr algn="ctr">
                    <a:defRPr sz="8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bg-BG"/>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E1D-4A0D-923F-E460B7461860}"/>
                </c:ext>
              </c:extLst>
            </c:dLbl>
            <c:dLbl>
              <c:idx val="4"/>
              <c:layout>
                <c:manualLayout>
                  <c:x val="2.3125925238610359E-2"/>
                  <c:y val="-1.8085892418365484E-2"/>
                </c:manualLayout>
              </c:layout>
              <c:spPr>
                <a:solidFill>
                  <a:srgbClr val="FFFFFF"/>
                </a:solidFill>
                <a:ln w="25400">
                  <a:noFill/>
                </a:ln>
              </c:spPr>
              <c:txPr>
                <a:bodyPr rot="-5400000" vert="horz"/>
                <a:lstStyle/>
                <a:p>
                  <a:pPr algn="ctr">
                    <a:defRPr sz="8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bg-BG"/>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E1D-4A0D-923F-E460B7461860}"/>
                </c:ext>
              </c:extLst>
            </c:dLbl>
            <c:dLbl>
              <c:idx val="5"/>
              <c:layout>
                <c:manualLayout>
                  <c:x val="2.4096849467122049E-2"/>
                  <c:y val="-1.7878229192237811E-2"/>
                </c:manualLayout>
              </c:layout>
              <c:spPr>
                <a:solidFill>
                  <a:srgbClr val="FFFFFF"/>
                </a:solidFill>
                <a:ln w="25400">
                  <a:noFill/>
                </a:ln>
              </c:spPr>
              <c:txPr>
                <a:bodyPr rot="-5400000" vert="horz"/>
                <a:lstStyle/>
                <a:p>
                  <a:pPr algn="ctr">
                    <a:defRPr sz="8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bg-BG"/>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E1D-4A0D-923F-E460B7461860}"/>
                </c:ext>
              </c:extLst>
            </c:dLbl>
            <c:dLbl>
              <c:idx val="6"/>
              <c:layout>
                <c:manualLayout>
                  <c:x val="2.1263663430648998E-2"/>
                  <c:y val="-1.0868980346101571E-2"/>
                </c:manualLayout>
              </c:layout>
              <c:spPr>
                <a:solidFill>
                  <a:srgbClr val="FFFFFF"/>
                </a:solidFill>
                <a:ln w="25400">
                  <a:noFill/>
                </a:ln>
              </c:spPr>
              <c:txPr>
                <a:bodyPr rot="-5400000" vert="horz"/>
                <a:lstStyle/>
                <a:p>
                  <a:pPr algn="ctr">
                    <a:defRPr sz="8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bg-BG"/>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E1D-4A0D-923F-E460B7461860}"/>
                </c:ext>
              </c:extLst>
            </c:dLbl>
            <c:spPr>
              <a:solidFill>
                <a:srgbClr val="FFFFFF"/>
              </a:solidFill>
              <a:ln w="25400">
                <a:noFill/>
              </a:ln>
            </c:spPr>
            <c:txPr>
              <a:bodyPr rot="-5400000" vert="horz" wrap="square" lIns="38100" tIns="19050" rIns="38100" bIns="19050" anchor="ctr">
                <a:spAutoFit/>
              </a:bodyPr>
              <a:lstStyle/>
              <a:p>
                <a:pPr algn="ctr">
                  <a:defRPr sz="80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Sheet1!$A$31:$A$36</c:f>
              <c:strCache>
                <c:ptCount val="6"/>
                <c:pt idx="0">
                  <c:v>Общо разходи</c:v>
                </c:pt>
                <c:pt idx="1">
                  <c:v>Текущи нелихвени разходи</c:v>
                </c:pt>
                <c:pt idx="2">
                  <c:v>Предоставени тек. и капит. трансфери за чужбина</c:v>
                </c:pt>
                <c:pt idx="3">
                  <c:v>Капиталови разходи *</c:v>
                </c:pt>
                <c:pt idx="4">
                  <c:v>Лихви</c:v>
                </c:pt>
                <c:pt idx="5">
                  <c:v>Вноска за бюджета на  ЕС</c:v>
                </c:pt>
              </c:strCache>
            </c:strRef>
          </c:cat>
          <c:val>
            <c:numRef>
              <c:f>Sheet1!$C$31:$C$36</c:f>
              <c:numCache>
                <c:formatCode>#,##0.0</c:formatCode>
                <c:ptCount val="6"/>
                <c:pt idx="0">
                  <c:v>56250.490109000006</c:v>
                </c:pt>
                <c:pt idx="1">
                  <c:v>50028.774006000007</c:v>
                </c:pt>
                <c:pt idx="2">
                  <c:v>45.903542000000002</c:v>
                </c:pt>
                <c:pt idx="3">
                  <c:v>3866.3308270000002</c:v>
                </c:pt>
                <c:pt idx="4">
                  <c:v>628.4554700000001</c:v>
                </c:pt>
                <c:pt idx="5">
                  <c:v>1681.0262640000001</c:v>
                </c:pt>
              </c:numCache>
            </c:numRef>
          </c:val>
          <c:extLst>
            <c:ext xmlns:c16="http://schemas.microsoft.com/office/drawing/2014/chart" uri="{C3380CC4-5D6E-409C-BE32-E72D297353CC}">
              <c16:uniqueId val="{0000000F-FE1D-4A0D-923F-E460B7461860}"/>
            </c:ext>
          </c:extLst>
        </c:ser>
        <c:dLbls>
          <c:showLegendKey val="0"/>
          <c:showVal val="0"/>
          <c:showCatName val="0"/>
          <c:showSerName val="0"/>
          <c:showPercent val="0"/>
          <c:showBubbleSize val="0"/>
        </c:dLbls>
        <c:gapWidth val="150"/>
        <c:shape val="cylinder"/>
        <c:axId val="530921240"/>
        <c:axId val="1"/>
        <c:axId val="0"/>
      </c:bar3DChart>
      <c:catAx>
        <c:axId val="530921240"/>
        <c:scaling>
          <c:orientation val="minMax"/>
        </c:scaling>
        <c:delete val="0"/>
        <c:axPos val="b"/>
        <c:numFmt formatCode="General" sourceLinked="1"/>
        <c:majorTickMark val="out"/>
        <c:minorTickMark val="none"/>
        <c:tickLblPos val="low"/>
        <c:spPr>
          <a:ln w="9525">
            <a:noFill/>
          </a:ln>
        </c:spPr>
        <c:txPr>
          <a:bodyPr rot="0" vert="horz"/>
          <a:lstStyle/>
          <a:p>
            <a:pPr>
              <a:defRPr sz="730" b="0" i="0" u="none" strike="noStrike" baseline="0">
                <a:solidFill>
                  <a:srgbClr val="000000"/>
                </a:solidFill>
                <a:latin typeface="Times New Roman"/>
                <a:ea typeface="Times New Roman"/>
                <a:cs typeface="Times New Roman"/>
              </a:defRPr>
            </a:pPr>
            <a:endParaRPr lang="bg-BG"/>
          </a:p>
        </c:txPr>
        <c:crossAx val="1"/>
        <c:crosses val="autoZero"/>
        <c:auto val="1"/>
        <c:lblAlgn val="ctr"/>
        <c:lblOffset val="100"/>
        <c:tickMarkSkip val="1"/>
        <c:noMultiLvlLbl val="0"/>
      </c:catAx>
      <c:valAx>
        <c:axId val="1"/>
        <c:scaling>
          <c:orientation val="minMax"/>
        </c:scaling>
        <c:delete val="0"/>
        <c:axPos val="l"/>
        <c:majorGridlines>
          <c:spPr>
            <a:ln w="3175">
              <a:solidFill>
                <a:srgbClr val="000000"/>
              </a:solidFill>
              <a:prstDash val="solid"/>
            </a:ln>
          </c:spPr>
        </c:majorGridlines>
        <c:title>
          <c:tx>
            <c:rich>
              <a:bodyPr rot="0" vert="horz"/>
              <a:lstStyle/>
              <a:p>
                <a:pPr algn="ctr">
                  <a:defRPr sz="800" b="0" i="0" u="none" strike="noStrike" baseline="0">
                    <a:solidFill>
                      <a:srgbClr val="000000"/>
                    </a:solidFill>
                    <a:latin typeface="Arial"/>
                    <a:ea typeface="Arial"/>
                    <a:cs typeface="Arial"/>
                  </a:defRPr>
                </a:pPr>
                <a:r>
                  <a:rPr lang="bg-BG"/>
                  <a:t>млн. лв.</a:t>
                </a:r>
              </a:p>
            </c:rich>
          </c:tx>
          <c:layout>
            <c:manualLayout>
              <c:xMode val="edge"/>
              <c:yMode val="edge"/>
              <c:x val="3.6992884288120205E-2"/>
              <c:y val="0.83260994161444102"/>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bg-BG"/>
          </a:p>
        </c:txPr>
        <c:crossAx val="530921240"/>
        <c:crosses val="autoZero"/>
        <c:crossBetween val="between"/>
      </c:valAx>
      <c:spPr>
        <a:noFill/>
        <a:ln w="25400">
          <a:noFill/>
        </a:ln>
      </c:spPr>
    </c:plotArea>
    <c:legend>
      <c:legendPos val="r"/>
      <c:legendEntry>
        <c:idx val="0"/>
        <c:txPr>
          <a:bodyPr/>
          <a:lstStyle/>
          <a:p>
            <a:pPr>
              <a:defRPr sz="64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bg-BG"/>
          </a:p>
        </c:txPr>
      </c:legendEntry>
      <c:legendEntry>
        <c:idx val="1"/>
        <c:txPr>
          <a:bodyPr/>
          <a:lstStyle/>
          <a:p>
            <a:pPr>
              <a:defRPr sz="64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bg-BG"/>
          </a:p>
        </c:txPr>
      </c:legendEntry>
      <c:layout>
        <c:manualLayout>
          <c:xMode val="edge"/>
          <c:yMode val="edge"/>
          <c:x val="1.1201344288934155E-2"/>
          <c:y val="0.90352223335713155"/>
          <c:w val="0.18062167665906323"/>
          <c:h val="8.4226648872274976E-2"/>
        </c:manualLayout>
      </c:layout>
      <c:overlay val="0"/>
      <c:spPr>
        <a:solidFill>
          <a:srgbClr val="FFFFFF"/>
        </a:solidFill>
        <a:ln w="3175">
          <a:solidFill>
            <a:srgbClr val="000000"/>
          </a:solidFill>
          <a:prstDash val="solid"/>
        </a:ln>
      </c:spPr>
      <c:txPr>
        <a:bodyPr/>
        <a:lstStyle/>
        <a:p>
          <a:pPr>
            <a:defRPr sz="640" b="1"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bg-BG"/>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156840006026437"/>
          <c:y val="0.21666788151819699"/>
          <c:w val="0.62700284536358775"/>
          <c:h val="0.62341190755987297"/>
        </c:manualLayout>
      </c:layout>
      <c:pie3DChart>
        <c:varyColors val="1"/>
        <c:ser>
          <c:idx val="0"/>
          <c:order val="0"/>
          <c:dPt>
            <c:idx val="0"/>
            <c:bubble3D val="0"/>
            <c:explosion val="4"/>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FAA6-4265-8AB7-A21BBBBB8989}"/>
              </c:ext>
            </c:extLst>
          </c:dPt>
          <c:dPt>
            <c:idx val="1"/>
            <c:bubble3D val="0"/>
            <c:explosion val="13"/>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FAA6-4265-8AB7-A21BBBBB8989}"/>
              </c:ext>
            </c:extLst>
          </c:dPt>
          <c:dPt>
            <c:idx val="2"/>
            <c:bubble3D val="0"/>
            <c:explosion val="1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FAA6-4265-8AB7-A21BBBBB8989}"/>
              </c:ext>
            </c:extLst>
          </c:dPt>
          <c:dPt>
            <c:idx val="3"/>
            <c:bubble3D val="0"/>
            <c:explosion val="9"/>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FAA6-4265-8AB7-A21BBBBB8989}"/>
              </c:ext>
            </c:extLst>
          </c:dPt>
          <c:dPt>
            <c:idx val="4"/>
            <c:bubble3D val="0"/>
            <c:explosion val="6"/>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FAA6-4265-8AB7-A21BBBBB8989}"/>
              </c:ext>
            </c:extLst>
          </c:dPt>
          <c:dLbls>
            <c:dLbl>
              <c:idx val="0"/>
              <c:layout>
                <c:manualLayout>
                  <c:x val="-1.5421809010073751E-2"/>
                  <c:y val="-0.15302389271792413"/>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AA6-4265-8AB7-A21BBBBB8989}"/>
                </c:ext>
              </c:extLst>
            </c:dLbl>
            <c:dLbl>
              <c:idx val="1"/>
              <c:layout>
                <c:manualLayout>
                  <c:x val="1.082338934437319E-7"/>
                  <c:y val="8.5843426198231251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bg-BG"/>
                </a:p>
              </c:txPr>
              <c:dLblPos val="bestFit"/>
              <c:showLegendKey val="0"/>
              <c:showVal val="0"/>
              <c:showCatName val="1"/>
              <c:showSerName val="0"/>
              <c:showPercent val="0"/>
              <c:showBubbleSize val="0"/>
              <c:extLst>
                <c:ext xmlns:c15="http://schemas.microsoft.com/office/drawing/2012/chart" uri="{CE6537A1-D6FC-4f65-9D91-7224C49458BB}">
                  <c15:layout>
                    <c:manualLayout>
                      <c:w val="0.69274885415442466"/>
                      <c:h val="8.087083870806841E-2"/>
                    </c:manualLayout>
                  </c15:layout>
                </c:ext>
                <c:ext xmlns:c16="http://schemas.microsoft.com/office/drawing/2014/chart" uri="{C3380CC4-5D6E-409C-BE32-E72D297353CC}">
                  <c16:uniqueId val="{00000003-FAA6-4265-8AB7-A21BBBBB8989}"/>
                </c:ext>
              </c:extLst>
            </c:dLbl>
            <c:dLbl>
              <c:idx val="2"/>
              <c:layout>
                <c:manualLayout>
                  <c:x val="-3.5906066877591965E-2"/>
                  <c:y val="2.7689725733933249E-2"/>
                </c:manualLayout>
              </c:layout>
              <c:tx>
                <c:rich>
                  <a:bodyPr/>
                  <a:lstStyle/>
                  <a:p>
                    <a:r>
                      <a:rPr lang="bg-BG"/>
                      <a:t>Бюджети</a:t>
                    </a:r>
                    <a:r>
                      <a:rPr lang="bg-BG" baseline="0"/>
                      <a:t> на о</a:t>
                    </a:r>
                    <a:r>
                      <a:rPr lang="bg-BG"/>
                      <a:t>бщините (13.6%)</a:t>
                    </a:r>
                  </a:p>
                </c:rich>
              </c:tx>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AA6-4265-8AB7-A21BBBBB8989}"/>
                </c:ext>
              </c:extLst>
            </c:dLbl>
            <c:dLbl>
              <c:idx val="3"/>
              <c:layout>
                <c:manualLayout>
                  <c:x val="-7.6537188152789329E-2"/>
                  <c:y val="-4.8142123086789571E-2"/>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AA6-4265-8AB7-A21BBBBB8989}"/>
                </c:ext>
              </c:extLst>
            </c:dLbl>
            <c:dLbl>
              <c:idx val="4"/>
              <c:layout>
                <c:manualLayout>
                  <c:x val="7.4089096506229288E-2"/>
                  <c:y val="-1.6766124770992229E-2"/>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AA6-4265-8AB7-A21BBBBB8989}"/>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bg-BG"/>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м.12!$A$4:$A$8</c:f>
              <c:strCache>
                <c:ptCount val="5"/>
                <c:pt idx="0">
                  <c:v>Държавен бюджет (41.6%)</c:v>
                </c:pt>
                <c:pt idx="1">
                  <c:v>Социално и здравноосигурителни фондове (36.0%)</c:v>
                </c:pt>
                <c:pt idx="2">
                  <c:v>Общини (13.6%)</c:v>
                </c:pt>
                <c:pt idx="3">
                  <c:v>Други бюджети (6.2%)</c:v>
                </c:pt>
                <c:pt idx="4">
                  <c:v>Сметки за средства от ЕС (2.5%)</c:v>
                </c:pt>
              </c:strCache>
            </c:strRef>
          </c:cat>
          <c:val>
            <c:numRef>
              <c:f>м.12!$E$4:$E$8</c:f>
              <c:numCache>
                <c:formatCode>#,##0.0</c:formatCode>
                <c:ptCount val="5"/>
                <c:pt idx="0">
                  <c:v>3792.7335610474902</c:v>
                </c:pt>
                <c:pt idx="1">
                  <c:v>3278.2172069900002</c:v>
                </c:pt>
                <c:pt idx="2">
                  <c:v>1241.7080509999998</c:v>
                </c:pt>
                <c:pt idx="3">
                  <c:v>568.57985899999983</c:v>
                </c:pt>
                <c:pt idx="4">
                  <c:v>228.71577600000001</c:v>
                </c:pt>
              </c:numCache>
            </c:numRef>
          </c:val>
          <c:extLst>
            <c:ext xmlns:c16="http://schemas.microsoft.com/office/drawing/2014/chart" uri="{C3380CC4-5D6E-409C-BE32-E72D297353CC}">
              <c16:uniqueId val="{0000000A-FAA6-4265-8AB7-A21BBBBB8989}"/>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51550548409132"/>
          <c:y val="0.17592592592592593"/>
          <c:w val="0.50184417026737815"/>
          <c:h val="0.73124234470691163"/>
        </c:manualLayout>
      </c:layout>
      <c:barChart>
        <c:barDir val="bar"/>
        <c:grouping val="clustered"/>
        <c:varyColors val="0"/>
        <c:ser>
          <c:idx val="0"/>
          <c:order val="0"/>
          <c:tx>
            <c:strRef>
              <c:f>Sheet1!$B$2</c:f>
              <c:strCache>
                <c:ptCount val="1"/>
                <c:pt idx="0">
                  <c:v>2020</c:v>
                </c:pt>
              </c:strCache>
            </c:strRef>
          </c:tx>
          <c:invertIfNegative val="0"/>
          <c:dLbls>
            <c:dLbl>
              <c:idx val="2"/>
              <c:layout>
                <c:manualLayout>
                  <c:x val="0"/>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2C9-4D0C-862E-F92744C9322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Sheet1!$A$3:$A$7</c:f>
              <c:strCache>
                <c:ptCount val="5"/>
                <c:pt idx="0">
                  <c:v>Държавен бюджет</c:v>
                </c:pt>
                <c:pt idx="1">
                  <c:v>Бюджети на социално и здравноосигурителните фондове</c:v>
                </c:pt>
                <c:pt idx="2">
                  <c:v>Бюджети на общините</c:v>
                </c:pt>
                <c:pt idx="3">
                  <c:v>Сметки за средства от ЕС (вкл. ДМП)</c:v>
                </c:pt>
                <c:pt idx="4">
                  <c:v>Други бюджети</c:v>
                </c:pt>
              </c:strCache>
            </c:strRef>
          </c:cat>
          <c:val>
            <c:numRef>
              <c:f>Sheet1!$B$3:$B$7</c:f>
              <c:numCache>
                <c:formatCode>#,##0.0</c:formatCode>
                <c:ptCount val="5"/>
                <c:pt idx="0">
                  <c:v>3250.8083150399998</c:v>
                </c:pt>
                <c:pt idx="1">
                  <c:v>2329.99177009</c:v>
                </c:pt>
                <c:pt idx="2">
                  <c:v>1006.318452</c:v>
                </c:pt>
                <c:pt idx="3">
                  <c:v>592.37901399999998</c:v>
                </c:pt>
                <c:pt idx="4">
                  <c:v>647.72699999999998</c:v>
                </c:pt>
              </c:numCache>
            </c:numRef>
          </c:val>
          <c:extLst>
            <c:ext xmlns:c16="http://schemas.microsoft.com/office/drawing/2014/chart" uri="{C3380CC4-5D6E-409C-BE32-E72D297353CC}">
              <c16:uniqueId val="{00000001-62C9-4D0C-862E-F92744C93225}"/>
            </c:ext>
          </c:extLst>
        </c:ser>
        <c:ser>
          <c:idx val="1"/>
          <c:order val="1"/>
          <c:tx>
            <c:strRef>
              <c:f>Sheet1!$C$2</c:f>
              <c:strCache>
                <c:ptCount val="1"/>
                <c:pt idx="0">
                  <c:v>2021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Sheet1!$A$3:$A$7</c:f>
              <c:strCache>
                <c:ptCount val="5"/>
                <c:pt idx="0">
                  <c:v>Държавен бюджет</c:v>
                </c:pt>
                <c:pt idx="1">
                  <c:v>Бюджети на социално и здравноосигурителните фондове</c:v>
                </c:pt>
                <c:pt idx="2">
                  <c:v>Бюджети на общините</c:v>
                </c:pt>
                <c:pt idx="3">
                  <c:v>Сметки за средства от ЕС (вкл. ДМП)</c:v>
                </c:pt>
                <c:pt idx="4">
                  <c:v>Други бюджети</c:v>
                </c:pt>
              </c:strCache>
            </c:strRef>
          </c:cat>
          <c:val>
            <c:numRef>
              <c:f>Sheet1!$C$3:$C$7</c:f>
              <c:numCache>
                <c:formatCode>#,##0.0</c:formatCode>
                <c:ptCount val="5"/>
                <c:pt idx="0">
                  <c:v>3659.1236540474902</c:v>
                </c:pt>
                <c:pt idx="1">
                  <c:v>3278.2172069899998</c:v>
                </c:pt>
                <c:pt idx="2">
                  <c:v>1241.7080510000001</c:v>
                </c:pt>
                <c:pt idx="3">
                  <c:v>228.71577600000001</c:v>
                </c:pt>
                <c:pt idx="4">
                  <c:v>568.6</c:v>
                </c:pt>
              </c:numCache>
            </c:numRef>
          </c:val>
          <c:extLst>
            <c:ext xmlns:c16="http://schemas.microsoft.com/office/drawing/2014/chart" uri="{C3380CC4-5D6E-409C-BE32-E72D297353CC}">
              <c16:uniqueId val="{00000002-62C9-4D0C-862E-F92744C93225}"/>
            </c:ext>
          </c:extLst>
        </c:ser>
        <c:dLbls>
          <c:showLegendKey val="0"/>
          <c:showVal val="0"/>
          <c:showCatName val="0"/>
          <c:showSerName val="0"/>
          <c:showPercent val="0"/>
          <c:showBubbleSize val="0"/>
        </c:dLbls>
        <c:gapWidth val="150"/>
        <c:axId val="453403776"/>
        <c:axId val="453405312"/>
      </c:barChart>
      <c:catAx>
        <c:axId val="453403776"/>
        <c:scaling>
          <c:orientation val="minMax"/>
        </c:scaling>
        <c:delete val="0"/>
        <c:axPos val="l"/>
        <c:numFmt formatCode="General" sourceLinked="0"/>
        <c:majorTickMark val="out"/>
        <c:minorTickMark val="none"/>
        <c:tickLblPos val="nextTo"/>
        <c:crossAx val="453405312"/>
        <c:crosses val="autoZero"/>
        <c:auto val="1"/>
        <c:lblAlgn val="ctr"/>
        <c:lblOffset val="100"/>
        <c:noMultiLvlLbl val="0"/>
      </c:catAx>
      <c:valAx>
        <c:axId val="453405312"/>
        <c:scaling>
          <c:orientation val="minMax"/>
        </c:scaling>
        <c:delete val="0"/>
        <c:axPos val="b"/>
        <c:title>
          <c:tx>
            <c:rich>
              <a:bodyPr/>
              <a:lstStyle/>
              <a:p>
                <a:pPr>
                  <a:defRPr/>
                </a:pPr>
                <a:r>
                  <a:rPr lang="bg-BG"/>
                  <a:t>млн. лв.</a:t>
                </a:r>
                <a:endParaRPr lang="en-US"/>
              </a:p>
            </c:rich>
          </c:tx>
          <c:layout>
            <c:manualLayout>
              <c:xMode val="edge"/>
              <c:yMode val="edge"/>
              <c:x val="3.739531987007743E-2"/>
              <c:y val="0.87037037037037035"/>
            </c:manualLayout>
          </c:layout>
          <c:overlay val="0"/>
        </c:title>
        <c:numFmt formatCode="#,##0" sourceLinked="0"/>
        <c:majorTickMark val="out"/>
        <c:minorTickMark val="none"/>
        <c:tickLblPos val="nextTo"/>
        <c:crossAx val="453403776"/>
        <c:crosses val="autoZero"/>
        <c:crossBetween val="between"/>
      </c:valAx>
    </c:plotArea>
    <c:legend>
      <c:legendPos val="r"/>
      <c:layout>
        <c:manualLayout>
          <c:xMode val="edge"/>
          <c:yMode val="edge"/>
          <c:x val="0.83709112312498257"/>
          <c:y val="0.15239391951006123"/>
          <c:w val="8.9757659593042369E-2"/>
          <c:h val="0.17206401283172937"/>
        </c:manualLayout>
      </c:layou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bg-BG"/>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0.04839</cdr:x>
      <cdr:y>0</cdr:y>
    </cdr:from>
    <cdr:to>
      <cdr:x>0.57167</cdr:x>
      <cdr:y>0.08039</cdr:y>
    </cdr:to>
    <cdr:sp macro="" textlink="">
      <cdr:nvSpPr>
        <cdr:cNvPr id="2" name="TextBox 1"/>
        <cdr:cNvSpPr txBox="1"/>
      </cdr:nvSpPr>
      <cdr:spPr>
        <a:xfrm xmlns:a="http://schemas.openxmlformats.org/drawingml/2006/main">
          <a:off x="297180" y="0"/>
          <a:ext cx="3213857" cy="1905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bg-BG" sz="1000" b="1">
              <a:latin typeface="Times New Roman" pitchFamily="18" charset="0"/>
              <a:cs typeface="Times New Roman" pitchFamily="18" charset="0"/>
            </a:rPr>
            <a:t>Структура на приходите на консолидирана основа отнесени към БВП за </a:t>
          </a:r>
          <a:r>
            <a:rPr lang="bg-BG" sz="1000" b="1">
              <a:effectLst/>
              <a:latin typeface="Times New Roman" panose="02020603050405020304" pitchFamily="18" charset="0"/>
              <a:ea typeface="+mn-ea"/>
              <a:cs typeface="Times New Roman" panose="02020603050405020304" pitchFamily="18" charset="0"/>
            </a:rPr>
            <a:t>2020 г. и 2021 г.</a:t>
          </a:r>
          <a:endParaRPr lang="bg-BG" sz="1000">
            <a:effectLst/>
            <a:latin typeface="Times New Roman" panose="02020603050405020304" pitchFamily="18" charset="0"/>
            <a:cs typeface="Times New Roman" panose="02020603050405020304" pitchFamily="18" charset="0"/>
          </a:endParaRPr>
        </a:p>
        <a:p xmlns:a="http://schemas.openxmlformats.org/drawingml/2006/main">
          <a:r>
            <a:rPr lang="bg-BG" sz="1000" b="1">
              <a:latin typeface="Times New Roman" pitchFamily="18" charset="0"/>
              <a:cs typeface="Times New Roman" pitchFamily="18" charset="0"/>
            </a:rPr>
            <a:t> </a:t>
          </a:r>
        </a:p>
      </cdr:txBody>
    </cdr:sp>
  </cdr:relSizeAnchor>
</c:userShapes>
</file>

<file path=word/drawings/drawing2.xml><?xml version="1.0" encoding="utf-8"?>
<c:userShapes xmlns:c="http://schemas.openxmlformats.org/drawingml/2006/chart">
  <cdr:relSizeAnchor xmlns:cdr="http://schemas.openxmlformats.org/drawingml/2006/chartDrawing">
    <cdr:from>
      <cdr:x>0.53385</cdr:x>
      <cdr:y>0.03871</cdr:y>
    </cdr:from>
    <cdr:to>
      <cdr:x>0.6901</cdr:x>
      <cdr:y>0.10968</cdr:y>
    </cdr:to>
    <cdr:sp macro="" textlink="">
      <cdr:nvSpPr>
        <cdr:cNvPr id="2" name="TextBox 1"/>
        <cdr:cNvSpPr txBox="1"/>
      </cdr:nvSpPr>
      <cdr:spPr>
        <a:xfrm xmlns:a="http://schemas.openxmlformats.org/drawingml/2006/main">
          <a:off x="3124200" y="137160"/>
          <a:ext cx="914400" cy="25146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bg-BG" sz="1100"/>
        </a:p>
      </cdr:txBody>
    </cdr:sp>
  </cdr:relSizeAnchor>
  <cdr:relSizeAnchor xmlns:cdr="http://schemas.openxmlformats.org/drawingml/2006/chartDrawing">
    <cdr:from>
      <cdr:x>0.24089</cdr:x>
      <cdr:y>0.0258</cdr:y>
    </cdr:from>
    <cdr:to>
      <cdr:x>0.86198</cdr:x>
      <cdr:y>0.09247</cdr:y>
    </cdr:to>
    <cdr:sp macro="" textlink="">
      <cdr:nvSpPr>
        <cdr:cNvPr id="3" name="TextBox 2"/>
        <cdr:cNvSpPr txBox="1"/>
      </cdr:nvSpPr>
      <cdr:spPr>
        <a:xfrm xmlns:a="http://schemas.openxmlformats.org/drawingml/2006/main">
          <a:off x="1409700" y="91429"/>
          <a:ext cx="3634740" cy="23623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bg-BG" sz="1000" b="1">
              <a:latin typeface="Times New Roman" pitchFamily="18" charset="0"/>
              <a:cs typeface="Times New Roman" pitchFamily="18" charset="0"/>
            </a:rPr>
            <a:t>Разходи по КФП за 2020 г. и 2021 г., като </a:t>
          </a:r>
          <a:r>
            <a:rPr lang="bg-BG" sz="900" b="1">
              <a:latin typeface="Times New Roman" pitchFamily="18" charset="0"/>
              <a:cs typeface="Times New Roman" pitchFamily="18" charset="0"/>
            </a:rPr>
            <a:t>отонсителен</a:t>
          </a:r>
          <a:r>
            <a:rPr lang="bg-BG" sz="1000" b="1">
              <a:latin typeface="Times New Roman" pitchFamily="18" charset="0"/>
              <a:cs typeface="Times New Roman" pitchFamily="18" charset="0"/>
            </a:rPr>
            <a:t> дял в БВП</a:t>
          </a:r>
        </a:p>
      </cdr:txBody>
    </cdr:sp>
  </cdr:relSizeAnchor>
</c:userShapes>
</file>

<file path=word/drawings/drawing3.xml><?xml version="1.0" encoding="utf-8"?>
<c:userShapes xmlns:c="http://schemas.openxmlformats.org/drawingml/2006/chart">
  <cdr:relSizeAnchor xmlns:cdr="http://schemas.openxmlformats.org/drawingml/2006/chartDrawing">
    <cdr:from>
      <cdr:x>0.03</cdr:x>
      <cdr:y>0.02361</cdr:y>
    </cdr:from>
    <cdr:to>
      <cdr:x>0.99667</cdr:x>
      <cdr:y>0.15972</cdr:y>
    </cdr:to>
    <cdr:sp macro="" textlink="">
      <cdr:nvSpPr>
        <cdr:cNvPr id="2" name="TextBox 1"/>
        <cdr:cNvSpPr txBox="1"/>
      </cdr:nvSpPr>
      <cdr:spPr>
        <a:xfrm xmlns:a="http://schemas.openxmlformats.org/drawingml/2006/main">
          <a:off x="137160" y="64770"/>
          <a:ext cx="4419600" cy="3733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bg-BG" sz="1100" b="1">
              <a:latin typeface="Times New Roman" panose="02020603050405020304" pitchFamily="18" charset="0"/>
              <a:cs typeface="Times New Roman" panose="02020603050405020304" pitchFamily="18" charset="0"/>
            </a:rPr>
            <a:t>Разходи по бюджетни системи през месец декември 2020 г. и 2021 г.</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47E7D-B162-4FA4-BC58-C64523861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5631</TotalTime>
  <Pages>41</Pages>
  <Words>20485</Words>
  <Characters>116765</Characters>
  <Application>Microsoft Office Word</Application>
  <DocSecurity>0</DocSecurity>
  <Lines>973</Lines>
  <Paragraphs>273</Paragraphs>
  <ScaleCrop>false</ScaleCrop>
  <HeadingPairs>
    <vt:vector size="2" baseType="variant">
      <vt:variant>
        <vt:lpstr>Title</vt:lpstr>
      </vt:variant>
      <vt:variant>
        <vt:i4>1</vt:i4>
      </vt:variant>
    </vt:vector>
  </HeadingPairs>
  <TitlesOfParts>
    <vt:vector size="1" baseType="lpstr">
      <vt:lpstr>М И Н И С Т Е Р С Т В О   Н А   Ф И Н А Н С И Т Е</vt:lpstr>
    </vt:vector>
  </TitlesOfParts>
  <Company>MoF</Company>
  <LinksUpToDate>false</LinksUpToDate>
  <CharactersWithSpaces>136977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Е Р С Т В О   Н А   Ф И Н А Н С И Т Е</dc:title>
  <dc:creator>Любомир Малчев</dc:creator>
  <cp:lastModifiedBy>Симеон Ненов</cp:lastModifiedBy>
  <cp:revision>1365</cp:revision>
  <cp:lastPrinted>2022-02-04T09:20:00Z</cp:lastPrinted>
  <dcterms:created xsi:type="dcterms:W3CDTF">2020-05-08T08:39:00Z</dcterms:created>
  <dcterms:modified xsi:type="dcterms:W3CDTF">2022-02-04T12:24:00Z</dcterms:modified>
</cp:coreProperties>
</file>